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3"/>
        <w:keepNext/>
        <w:spacing w:after="110" w:before="240"/>
      </w:pPr>
      <w:r>
        <w:rPr>
          <w:rFonts w:ascii="맑은 고딕" w:cs="맑은 고딕" w:eastAsia="맑은 고딕" w:hAnsi="맑은 고딕"/>
          <w:b/>
          <w:bCs/>
          <w:color w:val="5A5A5A"/>
          <w:sz w:val="20"/>
          <w:szCs w:val="20"/>
        </w:rPr>
        <w:t xml:space="preserve">5.8.1 판정 강건성 검사 — 이 결론은 가정이 바뀌면 뒤집히는가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판정은 데이터만으로 나오지 않습니다. 연식 조정계수, LTV·DSR 한도, 단계별 공급 실현률, 촉매 실현 가능성처럼 </w:t>
      </w:r>
      <w:r>
        <w:rPr>
          <w:rFonts w:ascii="맑은 고딕" w:cs="맑은 고딕" w:eastAsia="맑은 고딕" w:hAnsi="맑은 고딕"/>
          <w:b/>
          <w:bCs/>
          <w:i w:val="false"/>
          <w:iCs w:val="false"/>
          <w:color w:val="1A1A1A"/>
          <w:sz w:val="20"/>
          <w:szCs w:val="20"/>
        </w:rPr>
        <w:t xml:space="preserve">선택된 가정</w:t>
      </w:r>
      <w:r>
        <w:rPr>
          <w:rFonts w:ascii="맑은 고딕" w:cs="맑은 고딕" w:eastAsia="맑은 고딕" w:hAnsi="맑은 고딕"/>
          <w:b w:val="false"/>
          <w:bCs w:val="false"/>
          <w:i w:val="false"/>
          <w:iCs w:val="false"/>
          <w:color w:val="1A1A1A"/>
          <w:sz w:val="20"/>
          <w:szCs w:val="20"/>
        </w:rPr>
        <w:t xml:space="preserve">이 함께 들어갑니다. 이 가정들은 리포트에 LIMITATION으로 기재되지만, 기재되어 있다는 것과 그 가정이 결론을 좌우한다는 것을 발주처가 아는 것은 다릅니다.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그래서 리포트는 매 회차 각 가정을 합리적 범위에서 흔든 뒤 </w:t>
      </w:r>
      <w:r>
        <w:rPr>
          <w:rFonts w:ascii="맑은 고딕" w:cs="맑은 고딕" w:eastAsia="맑은 고딕" w:hAnsi="맑은 고딕"/>
          <w:b/>
          <w:bCs/>
          <w:i w:val="false"/>
          <w:iCs w:val="false"/>
          <w:color w:val="1A1A1A"/>
          <w:sz w:val="20"/>
          <w:szCs w:val="20"/>
        </w:rPr>
        <w:t xml:space="preserve">운영과 동일한 판정 함수로</w:t>
      </w:r>
      <w:r>
        <w:rPr>
          <w:rFonts w:ascii="맑은 고딕" w:cs="맑은 고딕" w:eastAsia="맑은 고딕" w:hAnsi="맑은 고딕"/>
          <w:b w:val="false"/>
          <w:bCs w:val="false"/>
          <w:i w:val="false"/>
          <w:iCs w:val="false"/>
          <w:color w:val="1A1A1A"/>
          <w:sz w:val="20"/>
          <w:szCs w:val="20"/>
        </w:rPr>
        <w:t xml:space="preserve"> 판정을 다시 계산합니다. 방향이 유지되면 데이터가 지지하는 결론이고, 뒤집히면 그 판정은 가정에 의존합니다. 검사 결과는 리포트 1-2절에 표로 실리며, 뒤집힌 판정은 결론 요약 바로 아래에도 표기됩니다.</w:t>
      </w:r>
    </w:p>
    <w:p>
      <w:pPr>
        <w:keepNext/>
        <w:spacing w:after="90" w:before="220"/>
      </w:pPr>
      <w:r>
        <w:rPr>
          <w:rFonts w:ascii="맑은 고딕" w:cs="맑은 고딕" w:eastAsia="맑은 고딕" w:hAnsi="맑은 고딕"/>
          <w:b/>
          <w:bCs/>
          <w:color w:val="1F3864"/>
          <w:sz w:val="18"/>
          <w:szCs w:val="18"/>
        </w:rPr>
        <w:t xml:space="preserve">[표 5-19-1] 판정별 강건성 검사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6"/>
        <w:gridCol w:w="2090"/>
        <w:gridCol w:w="5342"/>
      </w:tblGrid>
      <w:tr>
        <w:trPr>
          <w:cantSplit/>
          <w:tblHeader/>
        </w:trPr>
        <w:tc>
          <w:tcPr>
            <w:tcW w:type="dxa" w:w="2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20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흔드는 가정</w:t>
            </w:r>
          </w:p>
        </w:tc>
        <w:tc>
          <w:tcPr>
            <w:tcW w:type="dxa" w:w="534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교란 폭</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연식 조정계수</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×0.5 / ×1.5 (조정 상한도 같은 규칙으로 재계산)</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시점수정률</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±2%p/년</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LTV·DSR 한도</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 0.5→0.4 · DSR 0.4→0.3 (규제 강화)</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가용 자기자본 배수</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연소득×4 → ×3</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공급 실현률</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 단계 ±20%p</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 '양호' 기준</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 회전율 6% → 9%</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 가능성</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±10%p</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검사에는 세 가지 규율이 적용됩니다. 첫째, </w:t>
      </w:r>
      <w:r>
        <w:rPr>
          <w:rFonts w:ascii="맑은 고딕" w:cs="맑은 고딕" w:eastAsia="맑은 고딕" w:hAnsi="맑은 고딕"/>
          <w:b/>
          <w:bCs/>
          <w:i w:val="false"/>
          <w:iCs w:val="false"/>
          <w:color w:val="1A1A1A"/>
          <w:sz w:val="20"/>
          <w:szCs w:val="20"/>
        </w:rPr>
        <w:t xml:space="preserve">판정 로직을 복제하지 않습니다</w:t>
      </w:r>
      <w:r>
        <w:rPr>
          <w:rFonts w:ascii="맑은 고딕" w:cs="맑은 고딕" w:eastAsia="맑은 고딕" w:hAnsi="맑은 고딕"/>
          <w:b w:val="false"/>
          <w:bCs w:val="false"/>
          <w:i w:val="false"/>
          <w:iCs w:val="false"/>
          <w:color w:val="1A1A1A"/>
          <w:sz w:val="20"/>
          <w:szCs w:val="20"/>
        </w:rPr>
        <w:t xml:space="preserve"> — 교란은 운영 함수의 파라미터로만 들어가며, 검사 대상과 검사 도구가 갈라지면 검사 자체가 무의미해지기 때문입니다. 둘째, </w:t>
      </w:r>
      <w:r>
        <w:rPr>
          <w:rFonts w:ascii="맑은 고딕" w:cs="맑은 고딕" w:eastAsia="맑은 고딕" w:hAnsi="맑은 고딕"/>
          <w:b/>
          <w:bCs/>
          <w:i w:val="false"/>
          <w:iCs w:val="false"/>
          <w:color w:val="1A1A1A"/>
          <w:sz w:val="20"/>
          <w:szCs w:val="20"/>
        </w:rPr>
        <w:t xml:space="preserve">흔들 수 없는 가정은 '검사 안 함'으로 남깁니다</w:t>
      </w:r>
      <w:r>
        <w:rPr>
          <w:rFonts w:ascii="맑은 고딕" w:cs="맑은 고딕" w:eastAsia="맑은 고딕" w:hAnsi="맑은 고딕"/>
          <w:b w:val="false"/>
          <w:bCs w:val="false"/>
          <w:i w:val="false"/>
          <w:iCs w:val="false"/>
          <w:color w:val="1A1A1A"/>
          <w:sz w:val="20"/>
          <w:szCs w:val="20"/>
        </w:rPr>
        <w:t xml:space="preserve"> — 소득 표본이 없어 수요 판정을 재계산할 수 없으면 그 사실을 사유와 함께 적습니다. 셋째, </w:t>
      </w:r>
      <w:r>
        <w:rPr>
          <w:rFonts w:ascii="맑은 고딕" w:cs="맑은 고딕" w:eastAsia="맑은 고딕" w:hAnsi="맑은 고딕"/>
          <w:b/>
          <w:bCs/>
          <w:i w:val="false"/>
          <w:iCs w:val="false"/>
          <w:color w:val="1A1A1A"/>
          <w:sz w:val="20"/>
          <w:szCs w:val="20"/>
        </w:rPr>
        <w:t xml:space="preserve">교란 폭 자체가 가정임을 밝힙니다</w:t>
      </w:r>
      <w:r>
        <w:rPr>
          <w:rFonts w:ascii="맑은 고딕" w:cs="맑은 고딕" w:eastAsia="맑은 고딕" w:hAnsi="맑은 고딕"/>
          <w:b w:val="false"/>
          <w:bCs w:val="false"/>
          <w:i w:val="false"/>
          <w:iCs w:val="false"/>
          <w:color w:val="1A1A1A"/>
          <w:sz w:val="20"/>
          <w:szCs w:val="20"/>
        </w:rPr>
        <w:t xml:space="preserve"> — 폭은 상수로 노출되어 있고 근거원장에 한계로 등재됩니다.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결과는 상담 단계까지 이어집니다. 가정 의존으로 판정된 축의 답변은 판매 논리 산출물(제6장)에서 </w:t>
      </w:r>
      <w:r>
        <w:rPr>
          <w:rFonts w:ascii="맑은 고딕" w:cs="맑은 고딕" w:eastAsia="맑은 고딕" w:hAnsi="맑은 고딕"/>
          <w:b/>
          <w:bCs/>
          <w:i w:val="false"/>
          <w:iCs w:val="false"/>
          <w:color w:val="1A1A1A"/>
          <w:sz w:val="20"/>
          <w:szCs w:val="20"/>
        </w:rPr>
        <w:t xml:space="preserve">단정형 문장 사용이 차단</w:t>
      </w:r>
      <w:r>
        <w:rPr>
          <w:rFonts w:ascii="맑은 고딕" w:cs="맑은 고딕" w:eastAsia="맑은 고딕" w:hAnsi="맑은 고딕"/>
          <w:b w:val="false"/>
          <w:bCs w:val="false"/>
          <w:i w:val="false"/>
          <w:iCs w:val="false"/>
          <w:color w:val="1A1A1A"/>
          <w:sz w:val="20"/>
          <w:szCs w:val="20"/>
        </w:rPr>
        <w:t xml:space="preserve">되고 "현재 가정 기준"이 병기됩니다. 분석이 스스로 흔들린다고 밝힌 결론을 상담 조직이 확언으로 사용하는 것을 구조적으로 막기 위해서입니다.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생성 방식.</w:t>
      </w:r>
      <w:r>
        <w:rPr>
          <w:rFonts w:ascii="맑은 고딕" w:cs="맑은 고딕" w:eastAsia="맑은 고딕" w:hAnsi="맑은 고딕"/>
          <w:b w:val="false"/>
          <w:bCs w:val="false"/>
          <w:i w:val="false"/>
          <w:iCs w:val="false"/>
          <w:color w:val="1A1A1A"/>
          <w:sz w:val="20"/>
          <w:szCs w:val="20"/>
        </w:rPr>
        <w:t xml:space="preserve"> 위 산출물은 분석 결과에서 </w:t>
      </w:r>
      <w:r>
        <w:rPr>
          <w:rFonts w:ascii="맑은 고딕" w:cs="맑은 고딕" w:eastAsia="맑은 고딕" w:hAnsi="맑은 고딕"/>
          <w:b/>
          <w:bCs/>
          <w:i w:val="false"/>
          <w:iCs w:val="false"/>
          <w:color w:val="1A1A1A"/>
          <w:sz w:val="20"/>
          <w:szCs w:val="20"/>
        </w:rPr>
        <w:t xml:space="preserve">직접 생성</w:t>
      </w:r>
      <w:r>
        <w:rPr>
          <w:rFonts w:ascii="맑은 고딕" w:cs="맑은 고딕" w:eastAsia="맑은 고딕" w:hAnsi="맑은 고딕"/>
          <w:b w:val="false"/>
          <w:bCs w:val="false"/>
          <w:i w:val="false"/>
          <w:iCs w:val="false"/>
          <w:color w:val="1A1A1A"/>
          <w:sz w:val="20"/>
          <w:szCs w:val="20"/>
        </w:rPr>
        <w:t xml:space="preserve">됩니다. 사람이 리포트를 읽고 옮겨 적는 방식이 아니므로, 리포트의 수치가 갱신되면 상담 자료도 같은 근거로 함께 갱신되며 둘이 어긋날 경로가 없습니다. 생성된 모든 문장은 표현 린트(6.4)를 통과해야 하고, 차단된 문장은 산출물에 실리지 않습니다.</w:t>
      </w:r>
    </w:p>
    <w:p>
      <w:pPr>
        <w:keepNext/>
        <w:spacing w:after="90" w:before="220"/>
      </w:pPr>
      <w:r>
        <w:rPr>
          <w:rFonts w:ascii="맑은 고딕" w:cs="맑은 고딕" w:eastAsia="맑은 고딕" w:hAnsi="맑은 고딕"/>
          <w:b/>
          <w:bCs/>
          <w:color w:val="1F3864"/>
          <w:sz w:val="18"/>
          <w:szCs w:val="18"/>
        </w:rPr>
        <w:t xml:space="preserve">[표 6-4-1] 질문 축별 답변 생성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61"/>
        <w:gridCol w:w="352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4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답변이 생성되는 조건</w:t>
            </w:r>
          </w:p>
        </w:tc>
        <w:tc>
          <w:tcPr>
            <w:tcW w:type="dxa" w:w="35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조건 미충족 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Q1 분양가</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밴드가 산출됨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표본 부족"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Q2 수요</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또는 실부담·청약 중 하나 이상 산출됨</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미수집"</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Q3 공급</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목록과 현장 세대수 입력됨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 미입력"</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Q4 호재</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등록 계획 중 </w:t>
            </w:r>
            <w:r>
              <w:rPr>
                <w:rFonts w:ascii="맑은 고딕" w:cs="맑은 고딕" w:eastAsia="맑은 고딕" w:hAnsi="맑은 고딕"/>
                <w:b/>
                <w:bCs/>
                <w:color w:val="1A1A1A"/>
                <w:sz w:val="18"/>
                <w:szCs w:val="18"/>
              </w:rPr>
              <w:t xml:space="preserve">검토 단계를 넘은 것이 하나 이상</w:t>
            </w:r>
            <w:r>
              <w:rPr>
                <w:rFonts w:ascii="맑은 고딕" w:cs="맑은 고딕" w:eastAsia="맑은 고딕" w:hAnsi="맑은 고딕"/>
                <w:color w:val="1A1A1A"/>
                <w:sz w:val="18"/>
                <w:szCs w:val="18"/>
              </w:rPr>
              <w:t xml:space="preserve">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"모두 검토 단계로 확정적 언급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Q5 환금성</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산출됨 (비교단지 세대수 필요)</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미산출"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Q6 시점</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공급·계획·경보 중 하나 이상의 신호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"판단 시점을 지지할 근거 없음"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답하지 않는 것이 설계의 핵심입니다.</w:t>
      </w:r>
      <w:r>
        <w:rPr>
          <w:rFonts w:ascii="맑은 고딕" w:cs="맑은 고딕" w:eastAsia="맑은 고딕" w:hAnsi="맑은 고딕"/>
          <w:b w:val="false"/>
          <w:bCs w:val="false"/>
          <w:i w:val="false"/>
          <w:iCs w:val="false"/>
          <w:color w:val="1A1A1A"/>
          <w:sz w:val="20"/>
          <w:szCs w:val="20"/>
        </w:rPr>
        <w:t xml:space="preserve"> 근거가 산출되지 않은 축에서 그럴듯한 문장을 만들어 내면, 상담원은 근거 없는 말을 손에 쥔 채 고객을 만나게 됩니다. 그 축은 답변 대신 </w:t>
      </w:r>
      <w:r>
        <w:rPr>
          <w:rFonts w:ascii="맑은 고딕" w:cs="맑은 고딕" w:eastAsia="맑은 고딕" w:hAnsi="맑은 고딕"/>
          <w:b/>
          <w:bCs/>
          <w:i w:val="false"/>
          <w:iCs w:val="false"/>
          <w:color w:val="1A1A1A"/>
          <w:sz w:val="20"/>
          <w:szCs w:val="20"/>
        </w:rPr>
        <w:t xml:space="preserve">"확인 후 회신"</w:t>
      </w:r>
      <w:r>
        <w:rPr>
          <w:rFonts w:ascii="맑은 고딕" w:cs="맑은 고딕" w:eastAsia="맑은 고딕" w:hAnsi="맑은 고딕"/>
          <w:b w:val="false"/>
          <w:bCs w:val="false"/>
          <w:i w:val="false"/>
          <w:iCs w:val="false"/>
          <w:color w:val="1A1A1A"/>
          <w:sz w:val="20"/>
          <w:szCs w:val="20"/>
        </w:rPr>
        <w:t xml:space="preserve"> 원칙이 지정되며, 근거가 확보되면 재생성됩니다.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거절 대응에도 적용됩니다. 예컨대 가격 거절에 대한 대응 논리는 Q1의 근거에 기대므로, Q1이 답변 불가 상태라면 대응 문구도 "사실 기반 대응 불가 — 확인 후 회신"으로 낮춰집니다. 근거 없는 방어 논리를 상담원에게 주지 않기 위해서입니다.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근거가 있어도 단정할 수 없는 경우가 있습니다.</w:t>
      </w:r>
      <w:r>
        <w:rPr>
          <w:rFonts w:ascii="맑은 고딕" w:cs="맑은 고딕" w:eastAsia="맑은 고딕" w:hAnsi="맑은 고딕"/>
          <w:b w:val="false"/>
          <w:bCs w:val="false"/>
          <w:i w:val="false"/>
          <w:iCs w:val="false"/>
          <w:color w:val="1A1A1A"/>
          <w:sz w:val="20"/>
          <w:szCs w:val="20"/>
        </w:rPr>
        <w:t xml:space="preserve"> 강건성 검사(5.8.1)에서 해당 축의 판정이 가정 하나로 뒤집힌다고 확인되면, 답변은 생성되되 </w:t>
      </w:r>
      <w:r>
        <w:rPr>
          <w:rFonts w:ascii="맑은 고딕" w:cs="맑은 고딕" w:eastAsia="맑은 고딕" w:hAnsi="맑은 고딕"/>
          <w:b/>
          <w:bCs/>
          <w:i w:val="false"/>
          <w:iCs w:val="false"/>
          <w:color w:val="1A1A1A"/>
          <w:sz w:val="20"/>
          <w:szCs w:val="20"/>
        </w:rPr>
        <w:t xml:space="preserve">단정형 사용이 차단</w:t>
      </w:r>
      <w:r>
        <w:rPr>
          <w:rFonts w:ascii="맑은 고딕" w:cs="맑은 고딕" w:eastAsia="맑은 고딕" w:hAnsi="맑은 고딕"/>
          <w:b w:val="false"/>
          <w:bCs w:val="false"/>
          <w:i w:val="false"/>
          <w:iCs w:val="false"/>
          <w:color w:val="1A1A1A"/>
          <w:sz w:val="20"/>
          <w:szCs w:val="20"/>
        </w:rPr>
        <w:t xml:space="preserve">되고 "현재 가정 기준"이라는 조건이 병기됩니다. 상담 자료에는 어느 가정이 결론을 좌우하는지가 그대로 적힙니다 — 예: "① 가격 위치 판정은 연식 조정계수 가정이 바뀌면 방향이 뒤집힙니다. 확언 대신 조건과 함께 제시." 분석이 스스로 불확실하다고 밝힌 결론을 상담 조직이 확언으로 사용하는 것은, 근거 없는 문장을 쓰는 것과 같은 종류의 위험이기 때문입니다.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기준선 없이는 병목을 지목하지 않습니다.</w:t>
      </w:r>
      <w:r>
        <w:rPr>
          <w:rFonts w:ascii="맑은 고딕" w:cs="맑은 고딕" w:eastAsia="맑은 고딕" w:hAnsi="맑은 고딕"/>
          <w:b w:val="false"/>
          <w:bCs w:val="false"/>
          <w:i w:val="false"/>
          <w:iCs w:val="false"/>
          <w:color w:val="1A1A1A"/>
          <w:sz w:val="20"/>
          <w:szCs w:val="20"/>
        </w:rPr>
        <w:t xml:space="preserve"> 전환율 20%가 좋은지 나쁜지는 기준선 없이 말할 수 없습니다. 계약 시 확정한 기준선(10.4)이 입력되기 전에는 단계별 실측 전환율만 제시하고 판정을 유보합니다 — 근거 없는 병목 지목은 잘못된 예산 배분으로 직결되기 때문입니다. 같은 이유로 분모가 최소 표본에 미달하는 단계는 개별적으로 판정을 유보합니다.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병목 추정은 현장 반응과 대조되어 확신 수준이 조정됩니다. 예컨대 상담→방문 병목에 가격 거절 비중이 함께 높으면 추정이 강화되지만, </w:t>
      </w:r>
      <w:r>
        <w:rPr>
          <w:rFonts w:ascii="맑은 고딕" w:cs="맑은 고딕" w:eastAsia="맑은 고딕" w:hAnsi="맑은 고딕"/>
          <w:b/>
          <w:bCs/>
          <w:i w:val="false"/>
          <w:iCs w:val="false"/>
          <w:color w:val="1A1A1A"/>
          <w:sz w:val="20"/>
          <w:szCs w:val="20"/>
        </w:rPr>
        <w:t xml:space="preserve">가격 판정(5.8 ①)이 '긍정'인데 가격 거절이 많다면</w:t>
      </w:r>
      <w:r>
        <w:rPr>
          <w:rFonts w:ascii="맑은 고딕" w:cs="맑은 고딕" w:eastAsia="맑은 고딕" w:hAnsi="맑은 고딕"/>
          <w:b w:val="false"/>
          <w:bCs w:val="false"/>
          <w:i w:val="false"/>
          <w:iCs w:val="false"/>
          <w:color w:val="1A1A1A"/>
          <w:sz w:val="20"/>
          <w:szCs w:val="20"/>
        </w:rPr>
        <w:t xml:space="preserve"> 가격 자체보다 총취득원가 설명 방식의 문제일 수 있으므로 그 어긋남을 그대로 표기하고 양쪽을 함께 점검합니다.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9"/>
        <w:gridCol w:w="2670"/>
        <w:gridCol w:w="4949"/>
      </w:tblGrid>
      <w:tr>
        <w:trPr>
          <w:cantSplit/>
          <w:tblHeader/>
        </w:trPr>
        <w:tc>
          <w:tcPr>
            <w:tcW w:type="dxa" w:w="20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26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산출물 (제6장)</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메시지맵·근거카드·거절 대응, 근거 없는 축은 답변 미생성</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병목 진단 (제10장)</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대조·운영/조건 분류·현장 반응 교차 확인</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강건성 검사</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 교란 후 동일 판정 함수 재실행, 뒤집힌 판정을 요약·상담 문장 양쪽에 표기</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강건성 교란 폭</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검사는 작동. 흔드는 폭(계수 ×0.5~1.5, 실현률 ±20%p 등)은 그 자체가 가정이며 근거원장에 한계로 등재됨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 교정·실적 누적 후 실제 변동 범위로 교체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이유로 강건성 검사(5.8.1)는 초기 회차일수록 더 중요합니다. 계수가 교정되기 전에는 판정 ①이 가정에 의존할 가능성이 높고, 그 사실을 감추지 않고 리포트 첫 장에 적는 것이 이 시스템이 신뢰를 얻는 방식입니다. 검사 결과가 "가정 의존"으로 나오는 회차는 결론을 서둘러 쓰는 대신 </w:t>
      </w:r>
      <w:r>
        <w:rPr>
          <w:rFonts w:ascii="맑은 고딕" w:cs="맑은 고딕" w:eastAsia="맑은 고딕" w:hAnsi="맑은 고딕"/>
          <w:b/>
          <w:bCs/>
          <w:i w:val="false"/>
          <w:iCs w:val="false"/>
          <w:color w:val="1A1A1A"/>
          <w:sz w:val="20"/>
          <w:szCs w:val="20"/>
        </w:rPr>
        <w:t xml:space="preserve">해당 가정의 실측 교체를 우선 안건으로 올립니다</w:t>
      </w:r>
      <w:r>
        <w:rPr>
          <w:rFonts w:ascii="맑은 고딕" w:cs="맑은 고딕" w:eastAsia="맑은 고딕" w:hAnsi="맑은 고딕"/>
          <w:b w:val="false"/>
          <w:bCs w:val="false"/>
          <w:i w:val="false"/>
          <w:iCs w:val="false"/>
          <w:color w:val="1A1A1A"/>
          <w:sz w:val="20"/>
          <w:szCs w:val="20"/>
        </w:rPr>
        <w:t xml:space="preserve">.</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2026-08-13T11:11:48.460Z</dcterms:created>
  <dcterms:modified xsi:type="dcterms:W3CDTF">2026-08-13T11:11:48.472Z</dcterms:modified>
</cp:coreProperties>
</file>

<file path=docProps/custom.xml><?xml version="1.0" encoding="utf-8"?>
<Properties xmlns="http://schemas.openxmlformats.org/officeDocument/2006/custom-properties" xmlns:vt="http://schemas.openxmlformats.org/officeDocument/2006/docPropsVTypes"/>
</file>