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300"/>
      </w:pPr>
    </w:p>
    <w:p>
      <w:pPr>
        <w:spacing w:after="0" w:before="0" w:line="300"/>
      </w:pPr>
    </w:p>
    <w:p>
      <w:pPr>
        <w:spacing w:after="0" w:before="0" w:line="300"/>
      </w:pPr>
    </w:p>
    <w:p>
      <w:pPr>
        <w:spacing w:after="0" w:before="0" w:line="300"/>
      </w:pPr>
    </w:p>
    <w:p>
      <w:pPr>
        <w:spacing w:after="120"/>
        <w:jc w:val="left"/>
      </w:pPr>
      <w:r>
        <w:rPr>
          <w:rFonts w:ascii="맑은 고딕" w:cs="맑은 고딕" w:eastAsia="맑은 고딕" w:hAnsi="맑은 고딕"/>
          <w:color w:val="5A5A5A"/>
          <w:spacing w:val="60"/>
          <w:sz w:val="20"/>
          <w:szCs w:val="20"/>
        </w:rPr>
        <w:t xml:space="preserve">사업 제안서</w:t>
      </w:r>
    </w:p>
    <w:p>
      <w:pPr>
        <w:pBdr>
          <w:bottom w:val="single" w:color="1F3864" w:sz="14" w:space="14"/>
        </w:pBdr>
        <w:spacing w:after="40"/>
        <w:jc w:val="left"/>
      </w:pPr>
      <w:r>
        <w:rPr>
          <w:rFonts w:ascii="맑은 고딕" w:cs="맑은 고딕" w:eastAsia="맑은 고딕" w:hAnsi="맑은 고딕"/>
          <w:sz w:val="6"/>
          <w:szCs w:val="6"/>
        </w:rPr>
        <w:t xml:space="preserve"> </w:t>
      </w:r>
    </w:p>
    <w:p>
      <w:pPr>
        <w:spacing w:after="0" w:before="0" w:line="300"/>
      </w:pPr>
    </w:p>
    <w:p>
      <w:pPr>
        <w:spacing w:after="80" w:before="200" w:line="420"/>
        <w:jc w:val="left"/>
      </w:pPr>
      <w:r>
        <w:rPr>
          <w:rFonts w:ascii="맑은 고딕" w:cs="맑은 고딕" w:eastAsia="맑은 고딕" w:hAnsi="맑은 고딕"/>
          <w:b/>
          <w:bCs/>
          <w:color w:val="1F3864"/>
          <w:sz w:val="46"/>
          <w:szCs w:val="46"/>
        </w:rPr>
        <w:t xml:space="preserve">분양하마 AI 분양 수요 전환 시스템</w:t>
      </w:r>
    </w:p>
    <w:p>
      <w:pPr>
        <w:spacing w:after="300" w:line="420"/>
        <w:jc w:val="left"/>
      </w:pPr>
      <w:r>
        <w:rPr>
          <w:rFonts w:ascii="맑은 고딕" w:cs="맑은 고딕" w:eastAsia="맑은 고딕" w:hAnsi="맑은 고딕"/>
          <w:b/>
          <w:bCs/>
          <w:color w:val="1F3864"/>
          <w:sz w:val="46"/>
          <w:szCs w:val="46"/>
        </w:rPr>
        <w:t xml:space="preserve">구축·운영 제안서</w:t>
      </w:r>
    </w:p>
    <w:p>
      <w:pPr>
        <w:spacing w:after="60" w:line="340"/>
        <w:jc w:val="left"/>
      </w:pPr>
      <w:r>
        <w:rPr>
          <w:rFonts w:ascii="맑은 고딕" w:cs="맑은 고딕" w:eastAsia="맑은 고딕" w:hAnsi="맑은 고딕"/>
          <w:color w:val="5A5A5A"/>
          <w:sz w:val="22"/>
          <w:szCs w:val="22"/>
        </w:rPr>
        <w:t xml:space="preserve">현장분석 · 판매논리 · 콘텐츠 · 광고 · 고객관리 · 계약 데이터를</w:t>
      </w:r>
    </w:p>
    <w:p>
      <w:pPr>
        <w:spacing w:after="500" w:line="340"/>
        <w:jc w:val="left"/>
      </w:pPr>
      <w:r>
        <w:rPr>
          <w:rFonts w:ascii="맑은 고딕" w:cs="맑은 고딕" w:eastAsia="맑은 고딕" w:hAnsi="맑은 고딕"/>
          <w:color w:val="5A5A5A"/>
          <w:sz w:val="22"/>
          <w:szCs w:val="22"/>
        </w:rPr>
        <w:t xml:space="preserve">하나의 운영체계로</w:t>
      </w:r>
    </w:p>
    <w:p>
      <w:pPr>
        <w:spacing w:after="0" w:before="0" w:line="300"/>
      </w:pPr>
    </w:p>
    <w:p>
      <w:pPr>
        <w:spacing w:after="0" w:before="0" w:line="300"/>
      </w:pPr>
    </w:p>
    <w:p>
      <w:pPr>
        <w:spacing w:after="0" w:before="0" w:line="300"/>
      </w:pPr>
    </w:p>
    <w:p>
      <w:pPr>
        <w:spacing w:after="0" w:before="0" w:line="300"/>
      </w:pPr>
    </w:p>
    <w:p>
      <w:pPr>
        <w:spacing w:after="0" w:before="0" w:line="300"/>
      </w:pPr>
    </w:p>
    <w:p>
      <w:pPr>
        <w:spacing w:after="0" w:before="0" w:line="30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438"/>
      </w:tblGrid>
      <w:tr>
        <w:tc>
          <w:tcPr>
            <w:tcW w:type="dxa" w:w="2200"/>
            <w:tcBorders>
              <w:top w:val="none" w:color="FFFFFF" w:sz="0"/>
              <w:left w:val="none" w:color="FFFFFF" w:sz="0"/>
              <w:bottom w:val="none" w:color="FFFFFF" w:sz="0"/>
              <w:right w:val="none" w:color="FFFFFF" w:sz="0"/>
            </w:tcBorders>
            <w:tcMar>
              <w:top w:type="dxa" w:w="90"/>
              <w:left w:type="dxa" w:w="0"/>
              <w:bottom w:type="dxa" w:w="90"/>
              <w:right w:type="dxa" w:w="120"/>
            </w:tcMar>
          </w:tcPr>
          <w:p>
            <w:pPr>
              <w:spacing w:after="0" w:before="0"/>
            </w:pPr>
            <w:r>
              <w:rPr>
                <w:rFonts w:ascii="맑은 고딕" w:cs="맑은 고딕" w:eastAsia="맑은 고딕" w:hAnsi="맑은 고딕"/>
                <w:b/>
                <w:bCs/>
                <w:color w:val="5A5A5A"/>
                <w:sz w:val="18"/>
                <w:szCs w:val="18"/>
              </w:rPr>
              <w:t xml:space="preserve">제 출 처</w:t>
            </w:r>
          </w:p>
        </w:tc>
        <w:tc>
          <w:tcPr>
            <w:tcW w:type="dxa" w:w="7438"/>
            <w:tcBorders>
              <w:top w:val="none" w:color="FFFFFF" w:sz="0"/>
              <w:left w:val="none" w:color="FFFFFF" w:sz="0"/>
              <w:bottom w:val="none" w:color="FFFFFF" w:sz="0"/>
              <w:right w:val="none" w:color="FFFFFF" w:sz="0"/>
            </w:tcBorders>
            <w:tcMar>
              <w:top w:type="dxa" w:w="90"/>
              <w:left w:type="dxa" w:w="0"/>
              <w:bottom w:type="dxa" w:w="90"/>
              <w:right w:type="dxa" w:w="0"/>
            </w:tcMar>
          </w:tcPr>
          <w:p>
            <w:pPr>
              <w:spacing w:after="0" w:before="0"/>
            </w:pPr>
            <w:r>
              <w:rPr>
                <w:rFonts w:ascii="맑은 고딕" w:cs="맑은 고딕" w:eastAsia="맑은 고딕" w:hAnsi="맑은 고딕"/>
                <w:color w:val="1A1A1A"/>
                <w:sz w:val="18"/>
                <w:szCs w:val="18"/>
              </w:rPr>
              <w:t xml:space="preserve">시행사 · 분양대행사 경영진, 개발사업 총괄, 현장 본부장 · 분양 총괄</w:t>
            </w:r>
          </w:p>
        </w:tc>
      </w:tr>
      <w:tr>
        <w:tc>
          <w:tcPr>
            <w:tcW w:type="dxa" w:w="2200"/>
            <w:tcBorders>
              <w:top w:val="none" w:color="FFFFFF" w:sz="0"/>
              <w:left w:val="none" w:color="FFFFFF" w:sz="0"/>
              <w:bottom w:val="none" w:color="FFFFFF" w:sz="0"/>
              <w:right w:val="none" w:color="FFFFFF" w:sz="0"/>
            </w:tcBorders>
            <w:tcMar>
              <w:top w:type="dxa" w:w="90"/>
              <w:left w:type="dxa" w:w="0"/>
              <w:bottom w:type="dxa" w:w="90"/>
              <w:right w:type="dxa" w:w="120"/>
            </w:tcMar>
          </w:tcPr>
          <w:p>
            <w:pPr>
              <w:spacing w:after="0" w:before="0"/>
            </w:pPr>
            <w:r>
              <w:rPr>
                <w:rFonts w:ascii="맑은 고딕" w:cs="맑은 고딕" w:eastAsia="맑은 고딕" w:hAnsi="맑은 고딕"/>
                <w:b/>
                <w:bCs/>
                <w:color w:val="5A5A5A"/>
                <w:sz w:val="18"/>
                <w:szCs w:val="18"/>
              </w:rPr>
              <w:t xml:space="preserve">제 출 사</w:t>
            </w:r>
          </w:p>
        </w:tc>
        <w:tc>
          <w:tcPr>
            <w:tcW w:type="dxa" w:w="7438"/>
            <w:tcBorders>
              <w:top w:val="none" w:color="FFFFFF" w:sz="0"/>
              <w:left w:val="none" w:color="FFFFFF" w:sz="0"/>
              <w:bottom w:val="none" w:color="FFFFFF" w:sz="0"/>
              <w:right w:val="none" w:color="FFFFFF" w:sz="0"/>
            </w:tcBorders>
            <w:tcMar>
              <w:top w:type="dxa" w:w="90"/>
              <w:left w:type="dxa" w:w="0"/>
              <w:bottom w:type="dxa" w:w="90"/>
              <w:right w:type="dxa" w:w="0"/>
            </w:tcMar>
          </w:tcPr>
          <w:p>
            <w:pPr>
              <w:spacing w:after="0" w:before="0"/>
            </w:pPr>
            <w:r>
              <w:rPr>
                <w:rFonts w:ascii="맑은 고딕" w:cs="맑은 고딕" w:eastAsia="맑은 고딕" w:hAnsi="맑은 고딕"/>
                <w:color w:val="1A1A1A"/>
                <w:sz w:val="18"/>
                <w:szCs w:val="18"/>
              </w:rPr>
              <w:t xml:space="preserve">분양하마 (테이블플립 자회사)</w:t>
            </w:r>
          </w:p>
        </w:tc>
      </w:tr>
      <w:tr>
        <w:tc>
          <w:tcPr>
            <w:tcW w:type="dxa" w:w="2200"/>
            <w:tcBorders>
              <w:top w:val="none" w:color="FFFFFF" w:sz="0"/>
              <w:left w:val="none" w:color="FFFFFF" w:sz="0"/>
              <w:bottom w:val="none" w:color="FFFFFF" w:sz="0"/>
              <w:right w:val="none" w:color="FFFFFF" w:sz="0"/>
            </w:tcBorders>
            <w:tcMar>
              <w:top w:type="dxa" w:w="90"/>
              <w:left w:type="dxa" w:w="0"/>
              <w:bottom w:type="dxa" w:w="90"/>
              <w:right w:type="dxa" w:w="120"/>
            </w:tcMar>
          </w:tcPr>
          <w:p>
            <w:pPr>
              <w:spacing w:after="0" w:before="0"/>
            </w:pPr>
            <w:r>
              <w:rPr>
                <w:rFonts w:ascii="맑은 고딕" w:cs="맑은 고딕" w:eastAsia="맑은 고딕" w:hAnsi="맑은 고딕"/>
                <w:b/>
                <w:bCs/>
                <w:color w:val="5A5A5A"/>
                <w:sz w:val="18"/>
                <w:szCs w:val="18"/>
              </w:rPr>
              <w:t xml:space="preserve">문서 등급</w:t>
            </w:r>
          </w:p>
        </w:tc>
        <w:tc>
          <w:tcPr>
            <w:tcW w:type="dxa" w:w="7438"/>
            <w:tcBorders>
              <w:top w:val="none" w:color="FFFFFF" w:sz="0"/>
              <w:left w:val="none" w:color="FFFFFF" w:sz="0"/>
              <w:bottom w:val="none" w:color="FFFFFF" w:sz="0"/>
              <w:right w:val="none" w:color="FFFFFF" w:sz="0"/>
            </w:tcBorders>
            <w:tcMar>
              <w:top w:type="dxa" w:w="90"/>
              <w:left w:type="dxa" w:w="0"/>
              <w:bottom w:type="dxa" w:w="90"/>
              <w:right w:type="dxa" w:w="0"/>
            </w:tcMar>
          </w:tcPr>
          <w:p>
            <w:pPr>
              <w:spacing w:after="0" w:before="0"/>
            </w:pPr>
            <w:r>
              <w:rPr>
                <w:rFonts w:ascii="맑은 고딕" w:cs="맑은 고딕" w:eastAsia="맑은 고딕" w:hAnsi="맑은 고딕"/>
                <w:color w:val="1A1A1A"/>
                <w:sz w:val="18"/>
                <w:szCs w:val="18"/>
              </w:rPr>
              <w:t xml:space="preserve">표준 제안서 (Rev. 4.0)</w:t>
            </w:r>
          </w:p>
        </w:tc>
      </w:tr>
      <w:tr>
        <w:tc>
          <w:tcPr>
            <w:tcW w:type="dxa" w:w="2200"/>
            <w:tcBorders>
              <w:top w:val="none" w:color="FFFFFF" w:sz="0"/>
              <w:left w:val="none" w:color="FFFFFF" w:sz="0"/>
              <w:bottom w:val="none" w:color="FFFFFF" w:sz="0"/>
              <w:right w:val="none" w:color="FFFFFF" w:sz="0"/>
            </w:tcBorders>
            <w:tcMar>
              <w:top w:type="dxa" w:w="90"/>
              <w:left w:type="dxa" w:w="0"/>
              <w:bottom w:type="dxa" w:w="90"/>
              <w:right w:type="dxa" w:w="120"/>
            </w:tcMar>
          </w:tcPr>
          <w:p>
            <w:pPr>
              <w:spacing w:after="0" w:before="0"/>
            </w:pPr>
            <w:r>
              <w:rPr>
                <w:rFonts w:ascii="맑은 고딕" w:cs="맑은 고딕" w:eastAsia="맑은 고딕" w:hAnsi="맑은 고딕"/>
                <w:b/>
                <w:bCs/>
                <w:color w:val="5A5A5A"/>
                <w:sz w:val="18"/>
                <w:szCs w:val="18"/>
              </w:rPr>
              <w:t xml:space="preserve">작성 기준일</w:t>
            </w:r>
          </w:p>
        </w:tc>
        <w:tc>
          <w:tcPr>
            <w:tcW w:type="dxa" w:w="7438"/>
            <w:tcBorders>
              <w:top w:val="none" w:color="FFFFFF" w:sz="0"/>
              <w:left w:val="none" w:color="FFFFFF" w:sz="0"/>
              <w:bottom w:val="none" w:color="FFFFFF" w:sz="0"/>
              <w:right w:val="none" w:color="FFFFFF" w:sz="0"/>
            </w:tcBorders>
            <w:tcMar>
              <w:top w:type="dxa" w:w="90"/>
              <w:left w:type="dxa" w:w="0"/>
              <w:bottom w:type="dxa" w:w="90"/>
              <w:right w:type="dxa" w:w="0"/>
            </w:tcMar>
          </w:tcPr>
          <w:p>
            <w:pPr>
              <w:spacing w:after="0" w:before="0"/>
            </w:pPr>
            <w:r>
              <w:rPr>
                <w:rFonts w:ascii="맑은 고딕" w:cs="맑은 고딕" w:eastAsia="맑은 고딕" w:hAnsi="맑은 고딕"/>
                <w:color w:val="1A1A1A"/>
                <w:sz w:val="18"/>
                <w:szCs w:val="18"/>
              </w:rPr>
              <w:t xml:space="preserve">2026년 7월 26일</w:t>
            </w:r>
          </w:p>
        </w:tc>
      </w:tr>
    </w:tbl>
    <w:p>
      <w:pPr>
        <w:sectPr>
          <w:pgSz w:w="11906" w:h="16838" w:orient="portrait"/>
          <w:pgMar w:top="1400" w:right="1134" w:bottom="1300" w:left="1134" w:header="708" w:footer="708" w:gutter="0"/>
          <w:pgNumType/>
          <w:docGrid w:linePitch="360"/>
        </w:sectPr>
      </w:pPr>
    </w:p>
    <w:p>
      <w:pPr>
        <w:pStyle w:val="Heading2"/>
        <w:keepNext/>
        <w:spacing w:after="140" w:before="300"/>
      </w:pPr>
      <w:r>
        <w:rPr>
          <w:rFonts w:ascii="맑은 고딕" w:cs="맑은 고딕" w:eastAsia="맑은 고딕" w:hAnsi="맑은 고딕"/>
          <w:b/>
          <w:bCs/>
          <w:color w:val="1A1A1A"/>
          <w:sz w:val="23"/>
          <w:szCs w:val="23"/>
        </w:rPr>
        <w:t xml:space="preserve">문서 관리 정보</w:t>
      </w:r>
    </w:p>
    <w:p>
      <w:pPr>
        <w:keepNext/>
        <w:spacing w:after="90" w:before="220"/>
      </w:pPr>
      <w:r>
        <w:rPr>
          <w:rFonts w:ascii="맑은 고딕" w:cs="맑은 고딕" w:eastAsia="맑은 고딕" w:hAnsi="맑은 고딕"/>
          <w:b/>
          <w:bCs/>
          <w:color w:val="1F3864"/>
          <w:sz w:val="18"/>
          <w:szCs w:val="18"/>
        </w:rPr>
        <w:t xml:space="preserve">[표 0-1] 문서 기본 정보</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7838"/>
      </w:tblGrid>
      <w:tr>
        <w:trPr>
          <w:cantSplit/>
          <w:tblHeader/>
        </w:trPr>
        <w:tc>
          <w:tcPr>
            <w:tcW w:type="dxa" w:w="1800"/>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구분</w:t>
            </w:r>
          </w:p>
        </w:tc>
        <w:tc>
          <w:tcPr>
            <w:tcW w:type="dxa" w:w="7838"/>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내용</w:t>
            </w:r>
          </w:p>
        </w:tc>
      </w:tr>
      <w:tr>
        <w:trPr>
          <w:cantSplit/>
          <w:tblHeader w:val="false"/>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문서명</w:t>
            </w:r>
          </w:p>
        </w:tc>
        <w:tc>
          <w:tcPr>
            <w:tcW w:type="dxa" w:w="783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분양하마 AI 분양 수요 전환 시스템 구축·운영 제안서</w:t>
            </w:r>
          </w:p>
        </w:tc>
      </w:tr>
      <w:tr>
        <w:trPr>
          <w:cantSplit/>
          <w:tblHeader w:val="false"/>
        </w:trPr>
        <w:tc>
          <w:tcPr>
            <w:tcW w:type="dxa" w:w="180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제안 유형</w:t>
            </w:r>
          </w:p>
        </w:tc>
        <w:tc>
          <w:tcPr>
            <w:tcW w:type="dxa" w:w="7838"/>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AI 현장분석 · 판매논리 · 콘텐츠 · 광고 · 업무툴 · 성과관리 통합 운영 제안</w:t>
            </w:r>
          </w:p>
        </w:tc>
      </w:tr>
      <w:tr>
        <w:trPr>
          <w:cantSplit/>
          <w:tblHeader w:val="false"/>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표준 수행기간</w:t>
            </w:r>
          </w:p>
        </w:tc>
        <w:tc>
          <w:tcPr>
            <w:tcW w:type="dxa" w:w="783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90일 표준 운영 (현장 여건에 따라 조정)</w:t>
            </w:r>
          </w:p>
        </w:tc>
      </w:tr>
      <w:tr>
        <w:trPr>
          <w:cantSplit/>
          <w:tblHeader w:val="false"/>
        </w:trPr>
        <w:tc>
          <w:tcPr>
            <w:tcW w:type="dxa" w:w="180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상업 조건 요지</w:t>
            </w:r>
          </w:p>
        </w:tc>
        <w:tc>
          <w:tcPr>
            <w:tcW w:type="dxa" w:w="7838"/>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광고 운영수수료 10% · 실제 매체 집행 90% · 콘텐츠 제작비 별도</w:t>
            </w:r>
          </w:p>
        </w:tc>
      </w:tr>
      <w:tr>
        <w:trPr>
          <w:cantSplit/>
          <w:tblHeader w:val="false"/>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적용 전제</w:t>
            </w:r>
          </w:p>
        </w:tc>
        <w:tc>
          <w:tcPr>
            <w:tcW w:type="dxa" w:w="783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현장자료·데이터 가용성·광고계정 권한·개인정보 기준 확인 후 확정</w:t>
            </w:r>
          </w:p>
        </w:tc>
      </w:tr>
      <w:tr>
        <w:trPr>
          <w:cantSplit/>
          <w:tblHeader w:val="false"/>
        </w:trPr>
        <w:tc>
          <w:tcPr>
            <w:tcW w:type="dxa" w:w="180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문서 상태</w:t>
            </w:r>
          </w:p>
        </w:tc>
        <w:tc>
          <w:tcPr>
            <w:tcW w:type="dxa" w:w="7838"/>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표준 제안서. 현장명·예산·수량·단가는 계약 전 개별 확정</w:t>
            </w:r>
          </w:p>
        </w:tc>
      </w:tr>
      <w:tr>
        <w:trPr>
          <w:cantSplit/>
          <w:tblHeader w:val="false"/>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유효 기간</w:t>
            </w:r>
          </w:p>
        </w:tc>
        <w:tc>
          <w:tcPr>
            <w:tcW w:type="dxa" w:w="783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작성 기준일로부터 90일 (데이터 이용조건 변동 시 재확인)</w:t>
            </w:r>
          </w:p>
        </w:tc>
      </w:tr>
      <w:tr>
        <w:trPr>
          <w:cantSplit/>
          <w:tblHeader w:val="false"/>
        </w:trPr>
        <w:tc>
          <w:tcPr>
            <w:tcW w:type="dxa" w:w="180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구현 상태</w:t>
            </w:r>
          </w:p>
        </w:tc>
        <w:tc>
          <w:tcPr>
            <w:tcW w:type="dxa" w:w="7838"/>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제5장·부록 E의 분석 체계는 </w:t>
            </w:r>
            <w:r>
              <w:rPr>
                <w:rFonts w:ascii="맑은 고딕" w:cs="맑은 고딕" w:eastAsia="맑은 고딕" w:hAnsi="맑은 고딕"/>
                <w:b/>
                <w:bCs/>
                <w:color w:val="1A1A1A"/>
                <w:sz w:val="18"/>
                <w:szCs w:val="18"/>
              </w:rPr>
              <w:t xml:space="preserve">설명이 아니라 작동하는 소프트웨어</w:t>
            </w:r>
            <w:r>
              <w:rPr>
                <w:rFonts w:ascii="맑은 고딕" w:cs="맑은 고딕" w:eastAsia="맑은 고딕" w:hAnsi="맑은 고딕"/>
                <w:color w:val="1A1A1A"/>
                <w:sz w:val="18"/>
                <w:szCs w:val="18"/>
              </w:rPr>
              <w:t xml:space="preserve">입니다. 구현 범위·검증 상태·미구현 항목은 부록 F에 명시합니다</w:t>
            </w:r>
          </w:p>
        </w:tc>
      </w:tr>
    </w:tbl>
    <w:p>
      <w:pPr>
        <w:spacing w:after="200" w:before="0"/>
      </w:pPr>
    </w:p>
    <w:p>
      <w:pPr>
        <w:pStyle w:val="Heading2"/>
        <w:keepNext/>
        <w:spacing w:after="140" w:before="300"/>
      </w:pPr>
      <w:r>
        <w:rPr>
          <w:rFonts w:ascii="맑은 고딕" w:cs="맑은 고딕" w:eastAsia="맑은 고딕" w:hAnsi="맑은 고딕"/>
          <w:b/>
          <w:bCs/>
          <w:color w:val="1A1A1A"/>
          <w:sz w:val="23"/>
          <w:szCs w:val="23"/>
        </w:rPr>
        <w:t xml:space="preserve">중요 전제 (Disclaimer)</w:t>
      </w:r>
    </w:p>
    <w:p>
      <w:pPr>
        <w:keepNext w:val="false"/>
        <w:spacing w:after="130" w:before="60" w:line="310"/>
        <w:jc w:val="both"/>
      </w:pPr>
      <w:r>
        <w:rPr>
          <w:rFonts w:ascii="맑은 고딕" w:cs="맑은 고딕" w:eastAsia="맑은 고딕" w:hAnsi="맑은 고딕"/>
          <w:b w:val="false"/>
          <w:bCs w:val="false"/>
          <w:i w:val="false"/>
          <w:iCs w:val="false"/>
          <w:color w:val="1A1A1A"/>
          <w:sz w:val="20"/>
          <w:szCs w:val="20"/>
        </w:rPr>
        <w:t xml:space="preserve">본 제안서는 </w:t>
      </w:r>
      <w:r>
        <w:rPr>
          <w:rFonts w:ascii="맑은 고딕" w:cs="맑은 고딕" w:eastAsia="맑은 고딕" w:hAnsi="맑은 고딕"/>
          <w:b/>
          <w:bCs/>
          <w:i w:val="false"/>
          <w:iCs w:val="false"/>
          <w:color w:val="1A1A1A"/>
          <w:sz w:val="20"/>
          <w:szCs w:val="20"/>
        </w:rPr>
        <w:t xml:space="preserve">가격 상승, 수익, 분양계약, AI 추천 노출을 보장하지 않습니다.</w:t>
      </w:r>
    </w:p>
    <w:p>
      <w:pPr>
        <w:pStyle w:val="ListParagraph"/>
        <w:numPr>
          <w:ilvl w:val="0"/>
          <w:numId w:val="2"/>
        </w:numPr>
        <w:spacing w:after="30" w:before="30" w:line="290"/>
      </w:pPr>
      <w:r>
        <w:rPr>
          <w:rFonts w:ascii="맑은 고딕" w:cs="맑은 고딕" w:eastAsia="맑은 고딕" w:hAnsi="맑은 고딕"/>
          <w:color w:val="1A1A1A"/>
          <w:sz w:val="20"/>
          <w:szCs w:val="20"/>
        </w:rPr>
        <w:t xml:space="preserve">미래 가격에 관한 모든 서술은 조건과 범위를 명시한 시나리오이며, 단일 예측값이 아닙니다.</w:t>
      </w:r>
    </w:p>
    <w:p>
      <w:pPr>
        <w:pStyle w:val="ListParagraph"/>
        <w:numPr>
          <w:ilvl w:val="0"/>
          <w:numId w:val="2"/>
        </w:numPr>
        <w:spacing w:after="30" w:before="30" w:line="290"/>
      </w:pPr>
      <w:r>
        <w:rPr>
          <w:rFonts w:ascii="맑은 고딕" w:cs="맑은 고딕" w:eastAsia="맑은 고딕" w:hAnsi="맑은 고딕"/>
          <w:color w:val="1A1A1A"/>
          <w:sz w:val="20"/>
          <w:szCs w:val="20"/>
        </w:rPr>
        <w:t xml:space="preserve">데이터 이용 권한과 실제 제공 범위는 계약 전에 현장별로 다시 확인하여 커버리지표로 제출합니다.</w:t>
      </w:r>
    </w:p>
    <w:p>
      <w:pPr>
        <w:pStyle w:val="ListParagraph"/>
        <w:numPr>
          <w:ilvl w:val="0"/>
          <w:numId w:val="2"/>
        </w:numPr>
        <w:spacing w:after="30" w:before="30" w:line="290"/>
      </w:pPr>
      <w:r>
        <w:rPr>
          <w:rFonts w:ascii="맑은 고딕" w:cs="맑은 고딕" w:eastAsia="맑은 고딕" w:hAnsi="맑은 고딕"/>
          <w:color w:val="1A1A1A"/>
          <w:sz w:val="20"/>
          <w:szCs w:val="20"/>
        </w:rPr>
        <w:t xml:space="preserve">현장가치 분석은 분양 마케팅·판매전략 수립을 목적으로 하며, 감정평가·투자자문에 해당하지 않습니다.</w:t>
      </w:r>
    </w:p>
    <w:p>
      <w:pPr>
        <w:pStyle w:val="ListParagraph"/>
        <w:numPr>
          <w:ilvl w:val="0"/>
          <w:numId w:val="2"/>
        </w:numPr>
        <w:spacing w:after="30" w:before="30" w:line="290"/>
      </w:pPr>
      <w:r>
        <w:rPr>
          <w:rFonts w:ascii="맑은 고딕" w:cs="맑은 고딕" w:eastAsia="맑은 고딕" w:hAnsi="맑은 고딕"/>
          <w:color w:val="1A1A1A"/>
          <w:sz w:val="20"/>
          <w:szCs w:val="20"/>
        </w:rPr>
        <w:t xml:space="preserve">본 문서는 표준 운영모델의 설명이며, 특정 현장의 확정 분석 결과나 확정 견적이 아닙니다.</w:t>
      </w:r>
    </w:p>
    <w:p>
      <w:pPr>
        <w:spacing w:after="100" w:before="0"/>
      </w:pPr>
    </w:p>
    <w:p>
      <w:pPr>
        <w:keepNext w:val="false"/>
        <w:spacing w:after="130" w:before="60" w:line="310"/>
        <w:jc w:val="both"/>
      </w:pPr>
      <w:r>
        <w:rPr>
          <w:rFonts w:ascii="맑은 고딕" w:cs="맑은 고딕" w:eastAsia="맑은 고딕" w:hAnsi="맑은 고딕"/>
          <w:b w:val="false"/>
          <w:bCs w:val="false"/>
          <w:i w:val="false"/>
          <w:iCs w:val="false"/>
          <w:color w:val="1A1A1A"/>
          <w:sz w:val="20"/>
          <w:szCs w:val="20"/>
        </w:rPr>
        <w:t xml:space="preserve">실제 착수 시 현장 주소, 분양조건, 광고계정, 고객 DB 처리 기준, 콘텐츠 제작 수량, 외부 데이터 이용조건을 반영하여 계약서와 세부 수행계획서를 별도로 확정합니다.</w:t>
      </w:r>
    </w:p>
    <w:p>
      <w:pPr>
        <w:pStyle w:val="Heading2"/>
        <w:keepNext/>
        <w:spacing w:after="140" w:before="300"/>
      </w:pPr>
      <w:r>
        <w:rPr>
          <w:rFonts w:ascii="맑은 고딕" w:cs="맑은 고딕" w:eastAsia="맑은 고딕" w:hAnsi="맑은 고딕"/>
          <w:b/>
          <w:bCs/>
          <w:color w:val="1A1A1A"/>
          <w:sz w:val="23"/>
          <w:szCs w:val="23"/>
        </w:rPr>
        <w:t xml:space="preserve">이 문서를 읽는 방법</w:t>
      </w:r>
    </w:p>
    <w:p>
      <w:pPr>
        <w:keepNext w:val="false"/>
        <w:spacing w:after="130" w:before="60" w:line="310"/>
        <w:jc w:val="both"/>
      </w:pPr>
      <w:r>
        <w:rPr>
          <w:rFonts w:ascii="맑은 고딕" w:cs="맑은 고딕" w:eastAsia="맑은 고딕" w:hAnsi="맑은 고딕"/>
          <w:b w:val="false"/>
          <w:bCs w:val="false"/>
          <w:i w:val="false"/>
          <w:iCs w:val="false"/>
          <w:color w:val="1A1A1A"/>
          <w:sz w:val="20"/>
          <w:szCs w:val="20"/>
        </w:rPr>
        <w:t xml:space="preserve">본 문서는 프레젠테이션 자료가 아니라 </w:t>
      </w:r>
      <w:r>
        <w:rPr>
          <w:rFonts w:ascii="맑은 고딕" w:cs="맑은 고딕" w:eastAsia="맑은 고딕" w:hAnsi="맑은 고딕"/>
          <w:b/>
          <w:bCs/>
          <w:i w:val="false"/>
          <w:iCs w:val="false"/>
          <w:color w:val="1A1A1A"/>
          <w:sz w:val="20"/>
          <w:szCs w:val="20"/>
        </w:rPr>
        <w:t xml:space="preserve">의사결정을 위한 검토 보고서</w:t>
      </w:r>
      <w:r>
        <w:rPr>
          <w:rFonts w:ascii="맑은 고딕" w:cs="맑은 고딕" w:eastAsia="맑은 고딕" w:hAnsi="맑은 고딕"/>
          <w:b w:val="false"/>
          <w:bCs w:val="false"/>
          <w:i w:val="false"/>
          <w:iCs w:val="false"/>
          <w:color w:val="1A1A1A"/>
          <w:sz w:val="20"/>
          <w:szCs w:val="20"/>
        </w:rPr>
        <w:t xml:space="preserve">입니다. 모든 장(章)은 동일한 4단 구조를 따릅니다.</w:t>
      </w:r>
    </w:p>
    <w:p>
      <w:pPr>
        <w:keepNext/>
        <w:spacing w:after="90" w:before="220"/>
      </w:pPr>
      <w:r>
        <w:rPr>
          <w:rFonts w:ascii="맑은 고딕" w:cs="맑은 고딕" w:eastAsia="맑은 고딕" w:hAnsi="맑은 고딕"/>
          <w:b/>
          <w:bCs/>
          <w:color w:val="1F3864"/>
          <w:sz w:val="18"/>
          <w:szCs w:val="18"/>
        </w:rPr>
        <w:t xml:space="preserve">[표 0-2] 장(章) 표준 구성</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0"/>
        <w:gridCol w:w="7338"/>
        <w:gridCol w:w="1150"/>
      </w:tblGrid>
      <w:tr>
        <w:trPr>
          <w:cantSplit/>
          <w:tblHeader/>
        </w:trPr>
        <w:tc>
          <w:tcPr>
            <w:tcW w:type="dxa" w:w="1150"/>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구성</w:t>
            </w:r>
          </w:p>
        </w:tc>
        <w:tc>
          <w:tcPr>
            <w:tcW w:type="dxa" w:w="7338"/>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내용</w:t>
            </w:r>
          </w:p>
        </w:tc>
        <w:tc>
          <w:tcPr>
            <w:tcW w:type="dxa" w:w="1150"/>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대상 독자</w:t>
            </w:r>
          </w:p>
        </w:tc>
      </w:tr>
      <w:tr>
        <w:trPr>
          <w:cantSplit/>
          <w:tblHeader w:val="false"/>
        </w:trPr>
        <w:tc>
          <w:tcPr>
            <w:tcW w:type="dxa" w:w="115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헤드라인</w:t>
            </w:r>
          </w:p>
        </w:tc>
        <w:tc>
          <w:tcPr>
            <w:tcW w:type="dxa" w:w="733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해당 장의 결론을 한 문장으로 제시</w:t>
            </w:r>
          </w:p>
        </w:tc>
        <w:tc>
          <w:tcPr>
            <w:tcW w:type="dxa" w:w="115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전체</w:t>
            </w:r>
          </w:p>
        </w:tc>
      </w:tr>
      <w:tr>
        <w:trPr>
          <w:cantSplit/>
          <w:tblHeader w:val="false"/>
        </w:trPr>
        <w:tc>
          <w:tcPr>
            <w:tcW w:type="dxa" w:w="115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장 요약</w:t>
            </w:r>
          </w:p>
        </w:tc>
        <w:tc>
          <w:tcPr>
            <w:tcW w:type="dxa" w:w="7338"/>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문제(Problem) → 원인(Reason) → 방법(Method) → 기대 효과(Effect)의 4행 요약</w:t>
            </w:r>
          </w:p>
        </w:tc>
        <w:tc>
          <w:tcPr>
            <w:tcW w:type="dxa" w:w="115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의사결정자</w:t>
            </w:r>
          </w:p>
        </w:tc>
      </w:tr>
      <w:tr>
        <w:trPr>
          <w:cantSplit/>
          <w:tblHeader w:val="false"/>
        </w:trPr>
        <w:tc>
          <w:tcPr>
            <w:tcW w:type="dxa" w:w="115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본문</w:t>
            </w:r>
          </w:p>
        </w:tc>
        <w:tc>
          <w:tcPr>
            <w:tcW w:type="dxa" w:w="733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근거·표·절차의 상세 기술</w:t>
            </w:r>
          </w:p>
        </w:tc>
        <w:tc>
          <w:tcPr>
            <w:tcW w:type="dxa" w:w="115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실무 검토자</w:t>
            </w:r>
          </w:p>
        </w:tc>
      </w:tr>
      <w:tr>
        <w:trPr>
          <w:cantSplit/>
          <w:tblHeader w:val="false"/>
        </w:trPr>
        <w:tc>
          <w:tcPr>
            <w:tcW w:type="dxa" w:w="115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소결</w:t>
            </w:r>
          </w:p>
        </w:tc>
        <w:tc>
          <w:tcPr>
            <w:tcW w:type="dxa" w:w="7338"/>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장의 결론과 다음 장으로의 연결</w:t>
            </w:r>
          </w:p>
        </w:tc>
        <w:tc>
          <w:tcPr>
            <w:tcW w:type="dxa" w:w="115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전체</w:t>
            </w:r>
          </w:p>
        </w:tc>
      </w:tr>
    </w:tbl>
    <w:p>
      <w:pPr>
        <w:spacing w:after="200" w:before="0"/>
      </w:pPr>
    </w:p>
    <w:p>
      <w:pPr>
        <w:keepNext w:val="false"/>
        <w:spacing w:after="130" w:before="60" w:line="310"/>
        <w:jc w:val="both"/>
      </w:pPr>
      <w:r>
        <w:rPr>
          <w:rFonts w:ascii="맑은 고딕" w:cs="맑은 고딕" w:eastAsia="맑은 고딕" w:hAnsi="맑은 고딕"/>
          <w:b/>
          <w:bCs/>
          <w:i w:val="false"/>
          <w:iCs w:val="false"/>
          <w:color w:val="1A1A1A"/>
          <w:sz w:val="20"/>
          <w:szCs w:val="20"/>
        </w:rPr>
        <w:t xml:space="preserve">검토 시간이 제한된 경우</w:t>
      </w:r>
      <w:r>
        <w:rPr>
          <w:rFonts w:ascii="맑은 고딕" w:cs="맑은 고딕" w:eastAsia="맑은 고딕" w:hAnsi="맑은 고딕"/>
          <w:b w:val="false"/>
          <w:bCs w:val="false"/>
          <w:i w:val="false"/>
          <w:iCs w:val="false"/>
          <w:color w:val="1A1A1A"/>
          <w:sz w:val="20"/>
          <w:szCs w:val="20"/>
        </w:rPr>
        <w:t xml:space="preserve"> 제1장(제안 요약)과 각 장의 헤드라인·장 요약·소결만으로 전체 논지를 파악할 수 있습니다. </w:t>
      </w:r>
      <w:r>
        <w:rPr>
          <w:rFonts w:ascii="맑은 고딕" w:cs="맑은 고딕" w:eastAsia="맑은 고딕" w:hAnsi="맑은 고딕"/>
          <w:b/>
          <w:bCs/>
          <w:i w:val="false"/>
          <w:iCs w:val="false"/>
          <w:color w:val="1A1A1A"/>
          <w:sz w:val="20"/>
          <w:szCs w:val="20"/>
        </w:rPr>
        <w:t xml:space="preserve">실무 검토 시</w:t>
      </w:r>
      <w:r>
        <w:rPr>
          <w:rFonts w:ascii="맑은 고딕" w:cs="맑은 고딕" w:eastAsia="맑은 고딕" w:hAnsi="맑은 고딕"/>
          <w:b w:val="false"/>
          <w:bCs w:val="false"/>
          <w:i w:val="false"/>
          <w:iCs w:val="false"/>
          <w:color w:val="1A1A1A"/>
          <w:sz w:val="20"/>
          <w:szCs w:val="20"/>
        </w:rPr>
        <w:t xml:space="preserve">에는 제5장(분석 방법론), 제11장(예산 구조), 제13장(제공 범위), 제14장(책임 분담)을 우선 확인하시기 바랍니다.</w:t>
      </w:r>
    </w:p>
    <w:p>
      <w:pPr>
        <w:keepNext w:val="false"/>
        <w:spacing w:after="130" w:before="60" w:line="310"/>
        <w:jc w:val="both"/>
      </w:pPr>
      <w:r>
        <w:rPr>
          <w:rFonts w:ascii="맑은 고딕" w:cs="맑은 고딕" w:eastAsia="맑은 고딕" w:hAnsi="맑은 고딕"/>
          <w:b w:val="false"/>
          <w:bCs w:val="false"/>
          <w:i w:val="false"/>
          <w:iCs w:val="false"/>
          <w:color w:val="1A1A1A"/>
          <w:sz w:val="20"/>
          <w:szCs w:val="20"/>
        </w:rPr>
        <w:t xml:space="preserve">본 문서에서 하나의 개념은 하나의 절에서만 정의하며, 다른 장에서는 해당 절을 참조합니다. 동일한 설명은 반복하지 않습니다.</w:t>
      </w:r>
    </w:p>
    <w:p>
      <w:pPr>
        <w:pStyle w:val="Heading2"/>
        <w:keepNext/>
        <w:spacing w:after="140" w:before="300"/>
      </w:pPr>
      <w:r>
        <w:rPr>
          <w:rFonts w:ascii="맑은 고딕" w:cs="맑은 고딕" w:eastAsia="맑은 고딕" w:hAnsi="맑은 고딕"/>
          <w:b/>
          <w:bCs/>
          <w:color w:val="1A1A1A"/>
          <w:sz w:val="23"/>
          <w:szCs w:val="23"/>
        </w:rPr>
        <w:t xml:space="preserve">목차</w:t>
      </w:r>
    </w:p>
    <w:p>
      <w:pPr>
        <w:keepNext/>
        <w:spacing w:after="90" w:before="220"/>
      </w:pPr>
      <w:r>
        <w:rPr>
          <w:rFonts w:ascii="맑은 고딕" w:cs="맑은 고딕" w:eastAsia="맑은 고딕" w:hAnsi="맑은 고딕"/>
          <w:b/>
          <w:bCs/>
          <w:color w:val="1F3864"/>
          <w:sz w:val="18"/>
          <w:szCs w:val="18"/>
        </w:rPr>
        <w:t xml:space="preserve">[표 0-3] 제안서 구성과 각 장이 답하는 질문</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0"/>
        <w:gridCol w:w="2234"/>
        <w:gridCol w:w="6254"/>
      </w:tblGrid>
      <w:tr>
        <w:trPr>
          <w:cantSplit/>
          <w:tblHeader/>
        </w:trPr>
        <w:tc>
          <w:tcPr>
            <w:tcW w:type="dxa" w:w="1150"/>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장</w:t>
            </w:r>
          </w:p>
        </w:tc>
        <w:tc>
          <w:tcPr>
            <w:tcW w:type="dxa" w:w="2234"/>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제목</w:t>
            </w:r>
          </w:p>
        </w:tc>
        <w:tc>
          <w:tcPr>
            <w:tcW w:type="dxa" w:w="6254"/>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이 장이 답하는 질문</w:t>
            </w:r>
          </w:p>
        </w:tc>
      </w:tr>
      <w:tr>
        <w:trPr>
          <w:cantSplit/>
          <w:tblHeader w:val="false"/>
        </w:trPr>
        <w:tc>
          <w:tcPr>
            <w:tcW w:type="dxa" w:w="115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1</w:t>
            </w:r>
          </w:p>
        </w:tc>
        <w:tc>
          <w:tcPr>
            <w:tcW w:type="dxa" w:w="2234"/>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제안 요약</w:t>
            </w:r>
          </w:p>
        </w:tc>
        <w:tc>
          <w:tcPr>
            <w:tcW w:type="dxa" w:w="6254"/>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분양하마는 무엇을 하는 회사이며, 무엇을 제안하는가</w:t>
            </w:r>
          </w:p>
        </w:tc>
      </w:tr>
      <w:tr>
        <w:trPr>
          <w:cantSplit/>
          <w:tblHeader w:val="false"/>
        </w:trPr>
        <w:tc>
          <w:tcPr>
            <w:tcW w:type="dxa" w:w="115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2</w:t>
            </w:r>
          </w:p>
        </w:tc>
        <w:tc>
          <w:tcPr>
            <w:tcW w:type="dxa" w:w="2234"/>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분양 산업의 구조적 문제</w:t>
            </w:r>
          </w:p>
        </w:tc>
        <w:tc>
          <w:tcPr>
            <w:tcW w:type="dxa" w:w="6254"/>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성과를 확인할 수 없는 구조는 왜 만들어졌는가</w:t>
            </w:r>
          </w:p>
        </w:tc>
      </w:tr>
      <w:tr>
        <w:trPr>
          <w:cantSplit/>
          <w:tblHeader w:val="false"/>
        </w:trPr>
        <w:tc>
          <w:tcPr>
            <w:tcW w:type="dxa" w:w="115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3</w:t>
            </w:r>
          </w:p>
        </w:tc>
        <w:tc>
          <w:tcPr>
            <w:tcW w:type="dxa" w:w="2234"/>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기존 분양광고가 실패하는 이유</w:t>
            </w:r>
          </w:p>
        </w:tc>
        <w:tc>
          <w:tcPr>
            <w:tcW w:type="dxa" w:w="6254"/>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광고비를 늘려도 계약이 늘지 않는 이유는 무엇인가</w:t>
            </w:r>
          </w:p>
        </w:tc>
      </w:tr>
      <w:tr>
        <w:trPr>
          <w:cantSplit/>
          <w:tblHeader w:val="false"/>
        </w:trPr>
        <w:tc>
          <w:tcPr>
            <w:tcW w:type="dxa" w:w="115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4</w:t>
            </w:r>
          </w:p>
        </w:tc>
        <w:tc>
          <w:tcPr>
            <w:tcW w:type="dxa" w:w="2234"/>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분양하마 운영 방법론</w:t>
            </w:r>
          </w:p>
        </w:tc>
        <w:tc>
          <w:tcPr>
            <w:tcW w:type="dxa" w:w="6254"/>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우리의 운영체계는 무엇이 다른가</w:t>
            </w:r>
          </w:p>
        </w:tc>
      </w:tr>
      <w:tr>
        <w:trPr>
          <w:cantSplit/>
          <w:tblHeader w:val="false"/>
        </w:trPr>
        <w:tc>
          <w:tcPr>
            <w:tcW w:type="dxa" w:w="115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5</w:t>
            </w:r>
          </w:p>
        </w:tc>
        <w:tc>
          <w:tcPr>
            <w:tcW w:type="dxa" w:w="2234"/>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AI 현장가치 분석</w:t>
            </w:r>
          </w:p>
        </w:tc>
        <w:tc>
          <w:tcPr>
            <w:tcW w:type="dxa" w:w="6254"/>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팔릴 근거를 어떤 방법으로 검증하는가</w:t>
            </w:r>
          </w:p>
        </w:tc>
      </w:tr>
      <w:tr>
        <w:trPr>
          <w:cantSplit/>
          <w:tblHeader w:val="false"/>
        </w:trPr>
        <w:tc>
          <w:tcPr>
            <w:tcW w:type="dxa" w:w="115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6</w:t>
            </w:r>
          </w:p>
        </w:tc>
        <w:tc>
          <w:tcPr>
            <w:tcW w:type="dxa" w:w="2234"/>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판매 논리 설계</w:t>
            </w:r>
          </w:p>
        </w:tc>
        <w:tc>
          <w:tcPr>
            <w:tcW w:type="dxa" w:w="6254"/>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분석은 어떻게 고객을 설득하는 논리가 되는가</w:t>
            </w:r>
          </w:p>
        </w:tc>
      </w:tr>
      <w:tr>
        <w:trPr>
          <w:cantSplit/>
          <w:tblHeader w:val="false"/>
        </w:trPr>
        <w:tc>
          <w:tcPr>
            <w:tcW w:type="dxa" w:w="115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7</w:t>
            </w:r>
          </w:p>
        </w:tc>
        <w:tc>
          <w:tcPr>
            <w:tcW w:type="dxa" w:w="2234"/>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콘텐츠 전략</w:t>
            </w:r>
          </w:p>
        </w:tc>
        <w:tc>
          <w:tcPr>
            <w:tcW w:type="dxa" w:w="6254"/>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판매 논리는 어떤 형태로 고객에게 전달되는가</w:t>
            </w:r>
          </w:p>
        </w:tc>
      </w:tr>
      <w:tr>
        <w:trPr>
          <w:cantSplit/>
          <w:tblHeader w:val="false"/>
        </w:trPr>
        <w:tc>
          <w:tcPr>
            <w:tcW w:type="dxa" w:w="115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8</w:t>
            </w:r>
          </w:p>
        </w:tc>
        <w:tc>
          <w:tcPr>
            <w:tcW w:type="dxa" w:w="2234"/>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광고 운영</w:t>
            </w:r>
          </w:p>
        </w:tc>
        <w:tc>
          <w:tcPr>
            <w:tcW w:type="dxa" w:w="6254"/>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매체는 어떤 원칙으로 운영되는가</w:t>
            </w:r>
          </w:p>
        </w:tc>
      </w:tr>
      <w:tr>
        <w:trPr>
          <w:cantSplit/>
          <w:tblHeader w:val="false"/>
        </w:trPr>
        <w:tc>
          <w:tcPr>
            <w:tcW w:type="dxa" w:w="115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9</w:t>
            </w:r>
          </w:p>
        </w:tc>
        <w:tc>
          <w:tcPr>
            <w:tcW w:type="dxa" w:w="2234"/>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CRM·고객관리</w:t>
            </w:r>
          </w:p>
        </w:tc>
        <w:tc>
          <w:tcPr>
            <w:tcW w:type="dxa" w:w="6254"/>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확보한 고객은 어떻게 계약까지 관리되는가</w:t>
            </w:r>
          </w:p>
        </w:tc>
      </w:tr>
      <w:tr>
        <w:trPr>
          <w:cantSplit/>
          <w:tblHeader w:val="false"/>
        </w:trPr>
        <w:tc>
          <w:tcPr>
            <w:tcW w:type="dxa" w:w="115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10</w:t>
            </w:r>
          </w:p>
        </w:tc>
        <w:tc>
          <w:tcPr>
            <w:tcW w:type="dxa" w:w="2234"/>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성과 측정</w:t>
            </w:r>
          </w:p>
        </w:tc>
        <w:tc>
          <w:tcPr>
            <w:tcW w:type="dxa" w:w="6254"/>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성과는 무엇으로, 어떤 기준으로 판정되는가</w:t>
            </w:r>
          </w:p>
        </w:tc>
      </w:tr>
      <w:tr>
        <w:trPr>
          <w:cantSplit/>
          <w:tblHeader w:val="false"/>
        </w:trPr>
        <w:tc>
          <w:tcPr>
            <w:tcW w:type="dxa" w:w="115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11</w:t>
            </w:r>
          </w:p>
        </w:tc>
        <w:tc>
          <w:tcPr>
            <w:tcW w:type="dxa" w:w="2234"/>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광고비 투명성</w:t>
            </w:r>
          </w:p>
        </w:tc>
        <w:tc>
          <w:tcPr>
            <w:tcW w:type="dxa" w:w="6254"/>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광고비는 어디에 쓰이며 어떻게 확인하는가</w:t>
            </w:r>
          </w:p>
        </w:tc>
      </w:tr>
      <w:tr>
        <w:trPr>
          <w:cantSplit/>
          <w:tblHeader w:val="false"/>
        </w:trPr>
        <w:tc>
          <w:tcPr>
            <w:tcW w:type="dxa" w:w="115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12</w:t>
            </w:r>
          </w:p>
        </w:tc>
        <w:tc>
          <w:tcPr>
            <w:tcW w:type="dxa" w:w="2234"/>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90일 운영 프로세스</w:t>
            </w:r>
          </w:p>
        </w:tc>
        <w:tc>
          <w:tcPr>
            <w:tcW w:type="dxa" w:w="6254"/>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계약하면 언제 무엇이 진행되는가</w:t>
            </w:r>
          </w:p>
        </w:tc>
      </w:tr>
      <w:tr>
        <w:trPr>
          <w:cantSplit/>
          <w:tblHeader w:val="false"/>
        </w:trPr>
        <w:tc>
          <w:tcPr>
            <w:tcW w:type="dxa" w:w="115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13</w:t>
            </w:r>
          </w:p>
        </w:tc>
        <w:tc>
          <w:tcPr>
            <w:tcW w:type="dxa" w:w="2234"/>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제공 범위</w:t>
            </w:r>
          </w:p>
        </w:tc>
        <w:tc>
          <w:tcPr>
            <w:tcW w:type="dxa" w:w="6254"/>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무엇을 납품받고, 무엇이 별도이며, 합격 기준은 무엇인가</w:t>
            </w:r>
          </w:p>
        </w:tc>
      </w:tr>
      <w:tr>
        <w:trPr>
          <w:cantSplit/>
          <w:tblHeader w:val="false"/>
        </w:trPr>
        <w:tc>
          <w:tcPr>
            <w:tcW w:type="dxa" w:w="115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14</w:t>
            </w:r>
          </w:p>
        </w:tc>
        <w:tc>
          <w:tcPr>
            <w:tcW w:type="dxa" w:w="2234"/>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수행 조직·책임과 위험 통제</w:t>
            </w:r>
          </w:p>
        </w:tc>
        <w:tc>
          <w:tcPr>
            <w:tcW w:type="dxa" w:w="6254"/>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누가 무엇을 책임지고, 사고는 어떻게 방지되는가</w:t>
            </w:r>
          </w:p>
        </w:tc>
      </w:tr>
      <w:tr>
        <w:trPr>
          <w:cantSplit/>
          <w:tblHeader w:val="false"/>
        </w:trPr>
        <w:tc>
          <w:tcPr>
            <w:tcW w:type="dxa" w:w="115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15</w:t>
            </w:r>
          </w:p>
        </w:tc>
        <w:tc>
          <w:tcPr>
            <w:tcW w:type="dxa" w:w="2234"/>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기대 효과</w:t>
            </w:r>
          </w:p>
        </w:tc>
        <w:tc>
          <w:tcPr>
            <w:tcW w:type="dxa" w:w="6254"/>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이 제안을 채택하면 무엇이 달라지는가</w:t>
            </w:r>
          </w:p>
        </w:tc>
      </w:tr>
      <w:tr>
        <w:trPr>
          <w:cantSplit/>
          <w:tblHeader w:val="false"/>
        </w:trPr>
        <w:tc>
          <w:tcPr>
            <w:tcW w:type="dxa" w:w="115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16</w:t>
            </w:r>
          </w:p>
        </w:tc>
        <w:tc>
          <w:tcPr>
            <w:tcW w:type="dxa" w:w="2234"/>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다음 단계</w:t>
            </w:r>
          </w:p>
        </w:tc>
        <w:tc>
          <w:tcPr>
            <w:tcW w:type="dxa" w:w="6254"/>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검토를 진행하려면 무엇부터 하면 되는가</w:t>
            </w:r>
          </w:p>
        </w:tc>
      </w:tr>
      <w:tr>
        <w:trPr>
          <w:cantSplit/>
          <w:tblHeader w:val="false"/>
        </w:trPr>
        <w:tc>
          <w:tcPr>
            <w:tcW w:type="dxa" w:w="115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17</w:t>
            </w:r>
          </w:p>
        </w:tc>
        <w:tc>
          <w:tcPr>
            <w:tcW w:type="dxa" w:w="2234"/>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부록</w:t>
            </w:r>
          </w:p>
        </w:tc>
        <w:tc>
          <w:tcPr>
            <w:tcW w:type="dxa" w:w="6254"/>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커버리지 기준 · 분석 기준 · 근거자료 · 용어 · 예측 검증 체계 · </w:t>
            </w:r>
            <w:r>
              <w:rPr>
                <w:rFonts w:ascii="맑은 고딕" w:cs="맑은 고딕" w:eastAsia="맑은 고딕" w:hAnsi="맑은 고딕"/>
                <w:b/>
                <w:bCs/>
                <w:color w:val="1A1A1A"/>
                <w:sz w:val="18"/>
                <w:szCs w:val="18"/>
              </w:rPr>
              <w:t xml:space="preserve">구현 현황</w:t>
            </w:r>
          </w:p>
        </w:tc>
      </w:tr>
    </w:tbl>
    <w:p>
      <w:pPr>
        <w:spacing w:after="200" w:before="0"/>
      </w:pPr>
    </w:p>
    <w:p>
      <w:pPr>
        <w:pStyle w:val="Heading1"/>
        <w:pageBreakBefore/>
        <w:pBdr>
          <w:bottom w:val="single" w:color="1F3864" w:sz="10" w:space="8"/>
        </w:pBdr>
        <w:spacing w:after="240" w:before="0"/>
      </w:pPr>
      <w:r>
        <w:rPr>
          <w:rFonts w:ascii="맑은 고딕" w:cs="맑은 고딕" w:eastAsia="맑은 고딕" w:hAnsi="맑은 고딕"/>
          <w:b/>
          <w:bCs/>
          <w:color w:val="1F3864"/>
          <w:sz w:val="30"/>
          <w:szCs w:val="30"/>
        </w:rPr>
        <w:t xml:space="preserve">제1장. 제안 요약</w:t>
      </w:r>
    </w:p>
    <w:p>
      <w:pPr>
        <w:keepNext w:val="false"/>
        <w:spacing w:after="130" w:before="60" w:line="310"/>
        <w:jc w:val="both"/>
      </w:pPr>
      <w:r>
        <w:rPr>
          <w:rFonts w:ascii="맑은 고딕" w:cs="맑은 고딕" w:eastAsia="맑은 고딕" w:hAnsi="맑은 고딕"/>
          <w:b/>
          <w:bCs/>
          <w:i w:val="false"/>
          <w:iCs w:val="false"/>
          <w:color w:val="1A1A1A"/>
          <w:sz w:val="20"/>
          <w:szCs w:val="20"/>
        </w:rPr>
        <w:t xml:space="preserve">헤드라인.</w:t>
      </w:r>
      <w:r>
        <w:rPr>
          <w:rFonts w:ascii="맑은 고딕" w:cs="맑은 고딕" w:eastAsia="맑은 고딕" w:hAnsi="맑은 고딕"/>
          <w:b w:val="false"/>
          <w:bCs w:val="false"/>
          <w:i w:val="false"/>
          <w:iCs w:val="false"/>
          <w:color w:val="1A1A1A"/>
          <w:sz w:val="20"/>
          <w:szCs w:val="20"/>
        </w:rPr>
        <w:t xml:space="preserve"> 본 제안의 요지는 광고 운영사를 교체하자는 것이 아니라, 분양 성과를 만드는 </w:t>
      </w:r>
      <w:r>
        <w:rPr>
          <w:rFonts w:ascii="맑은 고딕" w:cs="맑은 고딕" w:eastAsia="맑은 고딕" w:hAnsi="맑은 고딕"/>
          <w:b/>
          <w:bCs/>
          <w:i w:val="false"/>
          <w:iCs w:val="false"/>
          <w:color w:val="1A1A1A"/>
          <w:sz w:val="20"/>
          <w:szCs w:val="20"/>
        </w:rPr>
        <w:t xml:space="preserve">업무의 범위 자체를 재정의</w:t>
      </w:r>
      <w:r>
        <w:rPr>
          <w:rFonts w:ascii="맑은 고딕" w:cs="맑은 고딕" w:eastAsia="맑은 고딕" w:hAnsi="맑은 고딕"/>
          <w:b w:val="false"/>
          <w:bCs w:val="false"/>
          <w:i w:val="false"/>
          <w:iCs w:val="false"/>
          <w:color w:val="1A1A1A"/>
          <w:sz w:val="20"/>
          <w:szCs w:val="20"/>
        </w:rPr>
        <w:t xml:space="preserve">하자는 것입니다.</w:t>
      </w:r>
    </w:p>
    <w:p>
      <w:pPr>
        <w:keepNext/>
        <w:spacing w:after="90" w:before="220"/>
      </w:pPr>
      <w:r>
        <w:rPr>
          <w:rFonts w:ascii="맑은 고딕" w:cs="맑은 고딕" w:eastAsia="맑은 고딕" w:hAnsi="맑은 고딕"/>
          <w:b/>
          <w:bCs/>
          <w:color w:val="1F3864"/>
          <w:sz w:val="18"/>
          <w:szCs w:val="18"/>
        </w:rPr>
        <w:t xml:space="preserve">[표 1-1] 장 요약</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7838"/>
      </w:tblGrid>
      <w:tr>
        <w:trPr>
          <w:cantSplit/>
          <w:tblHeader/>
        </w:trPr>
        <w:tc>
          <w:tcPr>
            <w:tcW w:type="dxa" w:w="1800"/>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구분</w:t>
            </w:r>
          </w:p>
        </w:tc>
        <w:tc>
          <w:tcPr>
            <w:tcW w:type="dxa" w:w="7838"/>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내용</w:t>
            </w:r>
          </w:p>
        </w:tc>
      </w:tr>
      <w:tr>
        <w:trPr>
          <w:cantSplit/>
          <w:tblHeader w:val="false"/>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문제 (Problem)</w:t>
            </w:r>
          </w:p>
        </w:tc>
        <w:tc>
          <w:tcPr>
            <w:tcW w:type="dxa" w:w="783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시행사는 광고비를 집행하고도 "그 예산이 어떤 경로로 계약에 기여했는가"를 확인할 수 없다</w:t>
            </w:r>
          </w:p>
        </w:tc>
      </w:tr>
      <w:tr>
        <w:trPr>
          <w:cantSplit/>
          <w:tblHeader w:val="false"/>
        </w:trPr>
        <w:tc>
          <w:tcPr>
            <w:tcW w:type="dxa" w:w="180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원인 (Reason)</w:t>
            </w:r>
          </w:p>
        </w:tc>
        <w:tc>
          <w:tcPr>
            <w:tcW w:type="dxa" w:w="7838"/>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분석·광고·현장 영업이 분리되어 있고, 광고대행의 업무 범위가 DB 전달에서 종료되도록 정의되어 있다</w:t>
            </w:r>
          </w:p>
        </w:tc>
      </w:tr>
      <w:tr>
        <w:trPr>
          <w:cantSplit/>
          <w:tblHeader w:val="false"/>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방법 (Method)</w:t>
            </w:r>
          </w:p>
        </w:tc>
        <w:tc>
          <w:tcPr>
            <w:tcW w:type="dxa" w:w="783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현장분석부터 계약·학습까지 10단계를 단일 책임으로 운영하고, 예산 원장과 고객 원장을 같은 체계에 둔다</w:t>
            </w:r>
          </w:p>
        </w:tc>
      </w:tr>
      <w:tr>
        <w:trPr>
          <w:cantSplit/>
          <w:tblHeader w:val="false"/>
        </w:trPr>
        <w:tc>
          <w:tcPr>
            <w:tcW w:type="dxa" w:w="180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기대 효과 (Effect)</w:t>
            </w:r>
          </w:p>
        </w:tc>
        <w:tc>
          <w:tcPr>
            <w:tcW w:type="dxa" w:w="7838"/>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예산 사용처와 고객 결과가 연결되어 검증되고, 부진의 원인(광고·가격·상담·수요)이 데이터로 구분된다</w:t>
            </w:r>
          </w:p>
        </w:tc>
      </w:tr>
    </w:tbl>
    <w:p>
      <w:pPr>
        <w:spacing w:after="200" w:before="0"/>
      </w:pPr>
    </w:p>
    <w:p>
      <w:pPr>
        <w:pStyle w:val="Heading2"/>
        <w:keepNext/>
        <w:spacing w:after="140" w:before="300"/>
      </w:pPr>
      <w:r>
        <w:rPr>
          <w:rFonts w:ascii="맑은 고딕" w:cs="맑은 고딕" w:eastAsia="맑은 고딕" w:hAnsi="맑은 고딕"/>
          <w:b/>
          <w:bCs/>
          <w:color w:val="1A1A1A"/>
          <w:sz w:val="23"/>
          <w:szCs w:val="23"/>
        </w:rPr>
        <w:t xml:space="preserve">1.1 경영진께 드리는 요지</w:t>
      </w:r>
    </w:p>
    <w:p>
      <w:pPr>
        <w:keepNext w:val="false"/>
        <w:spacing w:after="130" w:before="60" w:line="310"/>
        <w:jc w:val="both"/>
      </w:pPr>
      <w:r>
        <w:rPr>
          <w:rFonts w:ascii="맑은 고딕" w:cs="맑은 고딕" w:eastAsia="맑은 고딕" w:hAnsi="맑은 고딕"/>
          <w:b w:val="false"/>
          <w:bCs w:val="false"/>
          <w:i w:val="false"/>
          <w:iCs w:val="false"/>
          <w:color w:val="1A1A1A"/>
          <w:sz w:val="20"/>
          <w:szCs w:val="20"/>
        </w:rPr>
        <w:t xml:space="preserve">분양하마는 </w:t>
      </w:r>
      <w:r>
        <w:rPr>
          <w:rFonts w:ascii="맑은 고딕" w:cs="맑은 고딕" w:eastAsia="맑은 고딕" w:hAnsi="맑은 고딕"/>
          <w:b/>
          <w:bCs/>
          <w:i w:val="false"/>
          <w:iCs w:val="false"/>
          <w:color w:val="1A1A1A"/>
          <w:sz w:val="20"/>
          <w:szCs w:val="20"/>
        </w:rPr>
        <w:t xml:space="preserve">광고를 대신 집행하는 회사가 아닙니다.</w:t>
      </w:r>
      <w:r>
        <w:rPr>
          <w:rFonts w:ascii="맑은 고딕" w:cs="맑은 고딕" w:eastAsia="맑은 고딕" w:hAnsi="맑은 고딕"/>
          <w:b w:val="false"/>
          <w:bCs w:val="false"/>
          <w:i w:val="false"/>
          <w:iCs w:val="false"/>
          <w:color w:val="1A1A1A"/>
          <w:sz w:val="20"/>
          <w:szCs w:val="20"/>
        </w:rPr>
        <w:t xml:space="preserve"> 현장의 가격과 입지에 대한 고객의 질문을 공식 데이터로 검증하고, 그 근거를 콘텐츠·광고·상담·방문·계약 관리까지 연결하여 </w:t>
      </w:r>
      <w:r>
        <w:rPr>
          <w:rFonts w:ascii="맑은 고딕" w:cs="맑은 고딕" w:eastAsia="맑은 고딕" w:hAnsi="맑은 고딕"/>
          <w:b/>
          <w:bCs/>
          <w:i w:val="false"/>
          <w:iCs w:val="false"/>
          <w:color w:val="1A1A1A"/>
          <w:sz w:val="20"/>
          <w:szCs w:val="20"/>
        </w:rPr>
        <w:t xml:space="preserve">결과로부터 다시 배우는 운영체계를 제공하는 수요 전환 운영사</w:t>
      </w:r>
      <w:r>
        <w:rPr>
          <w:rFonts w:ascii="맑은 고딕" w:cs="맑은 고딕" w:eastAsia="맑은 고딕" w:hAnsi="맑은 고딕"/>
          <w:b w:val="false"/>
          <w:bCs w:val="false"/>
          <w:i w:val="false"/>
          <w:iCs w:val="false"/>
          <w:color w:val="1A1A1A"/>
          <w:sz w:val="20"/>
          <w:szCs w:val="20"/>
        </w:rPr>
        <w:t xml:space="preserve">입니다.</w:t>
      </w:r>
    </w:p>
    <w:p>
      <w:pPr>
        <w:keepNext w:val="false"/>
        <w:spacing w:after="130" w:before="60" w:line="310"/>
        <w:jc w:val="both"/>
      </w:pPr>
      <w:r>
        <w:rPr>
          <w:rFonts w:ascii="맑은 고딕" w:cs="맑은 고딕" w:eastAsia="맑은 고딕" w:hAnsi="맑은 고딕"/>
          <w:b w:val="false"/>
          <w:bCs w:val="false"/>
          <w:i w:val="false"/>
          <w:iCs w:val="false"/>
          <w:color w:val="1A1A1A"/>
          <w:sz w:val="20"/>
          <w:szCs w:val="20"/>
        </w:rPr>
        <w:t xml:space="preserve">당사가 하나의 체계로 통합하는 기능은 일곱 가지입니다.</w:t>
      </w:r>
    </w:p>
    <w:p>
      <w:pPr>
        <w:keepNext/>
        <w:spacing w:after="90" w:before="220"/>
      </w:pPr>
      <w:r>
        <w:rPr>
          <w:rFonts w:ascii="맑은 고딕" w:cs="맑은 고딕" w:eastAsia="맑은 고딕" w:hAnsi="맑은 고딕"/>
          <w:b/>
          <w:bCs/>
          <w:color w:val="1F3864"/>
          <w:sz w:val="18"/>
          <w:szCs w:val="18"/>
        </w:rPr>
        <w:t xml:space="preserve">[표 1-2] 통합 대상 기능</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168"/>
        <w:gridCol w:w="5470"/>
      </w:tblGrid>
      <w:tr>
        <w:trPr>
          <w:cantSplit/>
          <w:tblHeader/>
        </w:trPr>
        <w:tc>
          <w:tcPr>
            <w:tcW w:type="dxa" w:w="4168"/>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기능</w:t>
            </w:r>
          </w:p>
        </w:tc>
        <w:tc>
          <w:tcPr>
            <w:tcW w:type="dxa" w:w="5470"/>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본 제안서에서의 위치</w:t>
            </w:r>
          </w:p>
        </w:tc>
      </w:tr>
      <w:tr>
        <w:trPr>
          <w:cantSplit/>
          <w:tblHeader w:val="false"/>
        </w:trPr>
        <w:tc>
          <w:tcPr>
            <w:tcW w:type="dxa" w:w="416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데이터 (Data)</w:t>
            </w:r>
          </w:p>
        </w:tc>
        <w:tc>
          <w:tcPr>
            <w:tcW w:type="dxa" w:w="547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제5장 — 7대 카테고리 · 15개 데이터 레이어</w:t>
            </w:r>
          </w:p>
        </w:tc>
      </w:tr>
      <w:tr>
        <w:trPr>
          <w:cantSplit/>
          <w:tblHeader w:val="false"/>
        </w:trPr>
        <w:tc>
          <w:tcPr>
            <w:tcW w:type="dxa" w:w="4168"/>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분석 (Analysis)</w:t>
            </w:r>
          </w:p>
        </w:tc>
        <w:tc>
          <w:tcPr>
            <w:tcW w:type="dxa" w:w="547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제5장 — 방법론 엔진 6종</w:t>
            </w:r>
          </w:p>
        </w:tc>
      </w:tr>
      <w:tr>
        <w:trPr>
          <w:cantSplit/>
          <w:tblHeader w:val="false"/>
        </w:trPr>
        <w:tc>
          <w:tcPr>
            <w:tcW w:type="dxa" w:w="416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판매 논리 (Sales Logic)</w:t>
            </w:r>
          </w:p>
        </w:tc>
        <w:tc>
          <w:tcPr>
            <w:tcW w:type="dxa" w:w="547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제6장 — 고객 질문 6축 메시지맵</w:t>
            </w:r>
          </w:p>
        </w:tc>
      </w:tr>
      <w:tr>
        <w:trPr>
          <w:cantSplit/>
          <w:tblHeader w:val="false"/>
        </w:trPr>
        <w:tc>
          <w:tcPr>
            <w:tcW w:type="dxa" w:w="4168"/>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마케팅 (Marketing)</w:t>
            </w:r>
          </w:p>
        </w:tc>
        <w:tc>
          <w:tcPr>
            <w:tcW w:type="dxa" w:w="547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제7·8장 — 콘텐츠 전략, 매체 운영</w:t>
            </w:r>
          </w:p>
        </w:tc>
      </w:tr>
      <w:tr>
        <w:trPr>
          <w:cantSplit/>
          <w:tblHeader w:val="false"/>
        </w:trPr>
        <w:tc>
          <w:tcPr>
            <w:tcW w:type="dxa" w:w="416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CRM</w:t>
            </w:r>
          </w:p>
        </w:tc>
        <w:tc>
          <w:tcPr>
            <w:tcW w:type="dxa" w:w="547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제9장 — DB 자동연동, 담당자 배정</w:t>
            </w:r>
          </w:p>
        </w:tc>
      </w:tr>
      <w:tr>
        <w:trPr>
          <w:cantSplit/>
          <w:tblHeader w:val="false"/>
        </w:trPr>
        <w:tc>
          <w:tcPr>
            <w:tcW w:type="dxa" w:w="4168"/>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고객관리 (Customer Management)</w:t>
            </w:r>
          </w:p>
        </w:tc>
        <w:tc>
          <w:tcPr>
            <w:tcW w:type="dxa" w:w="547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제9장 — 10단계 상태 관리, 연락 지연 통제</w:t>
            </w:r>
          </w:p>
        </w:tc>
      </w:tr>
      <w:tr>
        <w:trPr>
          <w:cantSplit/>
          <w:tblHeader w:val="false"/>
        </w:trPr>
        <w:tc>
          <w:tcPr>
            <w:tcW w:type="dxa" w:w="416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영업 최적화 (Sales Optimization)</w:t>
            </w:r>
          </w:p>
        </w:tc>
        <w:tc>
          <w:tcPr>
            <w:tcW w:type="dxa" w:w="547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제10장 — 퍼널 측정, 병목 진단, 재최적화</w:t>
            </w:r>
          </w:p>
        </w:tc>
      </w:tr>
    </w:tbl>
    <w:p>
      <w:pPr>
        <w:spacing w:after="200" w:before="0"/>
      </w:pPr>
    </w:p>
    <w:p>
      <w:pPr>
        <w:keepNext w:val="false"/>
        <w:spacing w:after="130" w:before="60" w:line="310"/>
        <w:jc w:val="both"/>
      </w:pPr>
      <w:r>
        <w:rPr>
          <w:rFonts w:ascii="맑은 고딕" w:cs="맑은 고딕" w:eastAsia="맑은 고딕" w:hAnsi="맑은 고딕"/>
          <w:b w:val="false"/>
          <w:bCs w:val="false"/>
          <w:i w:val="false"/>
          <w:iCs w:val="false"/>
          <w:color w:val="1A1A1A"/>
          <w:sz w:val="20"/>
          <w:szCs w:val="20"/>
        </w:rPr>
        <w:t xml:space="preserve">이 일곱 기능이 서로 다른 주체에게 분산되어 있다는 것이 기존 분양광고의 구조적 문제이며, 이를 하나의 책임 아래 연결하는 것이 본 제안의 목적입니다.</w:t>
      </w:r>
    </w:p>
    <w:p>
      <w:pPr>
        <w:keepNext w:val="false"/>
        <w:spacing w:after="130" w:before="60" w:line="310"/>
        <w:jc w:val="both"/>
      </w:pPr>
      <w:r>
        <w:rPr>
          <w:rFonts w:ascii="맑은 고딕" w:cs="맑은 고딕" w:eastAsia="맑은 고딕" w:hAnsi="맑은 고딕"/>
          <w:b/>
          <w:bCs/>
          <w:i w:val="false"/>
          <w:iCs w:val="false"/>
          <w:color w:val="1A1A1A"/>
          <w:sz w:val="20"/>
          <w:szCs w:val="20"/>
        </w:rPr>
        <w:t xml:space="preserve">한 가지를 먼저 밝힙니다.</w:t>
      </w:r>
      <w:r>
        <w:rPr>
          <w:rFonts w:ascii="맑은 고딕" w:cs="맑은 고딕" w:eastAsia="맑은 고딕" w:hAnsi="맑은 고딕"/>
          <w:b w:val="false"/>
          <w:bCs w:val="false"/>
          <w:i w:val="false"/>
          <w:iCs w:val="false"/>
          <w:color w:val="1A1A1A"/>
          <w:sz w:val="20"/>
          <w:szCs w:val="20"/>
        </w:rPr>
        <w:t xml:space="preserve"> 제5장에 기술된 분석 체계는 제안을 위해 그려 둔 설계도가 아니라 </w:t>
      </w:r>
      <w:r>
        <w:rPr>
          <w:rFonts w:ascii="맑은 고딕" w:cs="맑은 고딕" w:eastAsia="맑은 고딕" w:hAnsi="맑은 고딕"/>
          <w:b/>
          <w:bCs/>
          <w:i w:val="false"/>
          <w:iCs w:val="false"/>
          <w:color w:val="1A1A1A"/>
          <w:sz w:val="20"/>
          <w:szCs w:val="20"/>
        </w:rPr>
        <w:t xml:space="preserve">이미 작동하는 소프트웨어</w:t>
      </w:r>
      <w:r>
        <w:rPr>
          <w:rFonts w:ascii="맑은 고딕" w:cs="맑은 고딕" w:eastAsia="맑은 고딕" w:hAnsi="맑은 고딕"/>
          <w:b w:val="false"/>
          <w:bCs w:val="false"/>
          <w:i w:val="false"/>
          <w:iCs w:val="false"/>
          <w:color w:val="1A1A1A"/>
          <w:sz w:val="20"/>
          <w:szCs w:val="20"/>
        </w:rPr>
        <w:t xml:space="preserve">입니다. 15개 데이터 레이어 중 13개가 연동되어 있고, 전망은 발행 시점에 봉인되어 실적과 대조되며, 조정계수조차 검증을 통과할 때만 교체됩니다. 동시에 아직 확정되지 않은 항목 — 계수 교정의 실행, 민간 라이선스 데이터 2종, 예측 적중률의 표본 누적 — 도 부록 F에 그대로 적었습니다. 검증 가능성을 제안의 핵심으로 내세우는 문서가 스스로에 대해서만 예외를 두는 것은 성립하지 않기 때문입니다.</w:t>
      </w:r>
    </w:p>
    <w:p>
      <w:pPr>
        <w:pStyle w:val="Heading2"/>
        <w:keepNext/>
        <w:spacing w:after="140" w:before="300"/>
      </w:pPr>
      <w:r>
        <w:rPr>
          <w:rFonts w:ascii="맑은 고딕" w:cs="맑은 고딕" w:eastAsia="맑은 고딕" w:hAnsi="맑은 고딕"/>
          <w:b/>
          <w:bCs/>
          <w:color w:val="1A1A1A"/>
          <w:sz w:val="23"/>
          <w:szCs w:val="23"/>
        </w:rPr>
        <w:t xml:space="preserve">1.2 발주처가 직면한 문제</w:t>
      </w:r>
    </w:p>
    <w:p>
      <w:pPr>
        <w:keepNext w:val="false"/>
        <w:spacing w:after="130" w:before="60" w:line="310"/>
        <w:jc w:val="both"/>
      </w:pPr>
      <w:r>
        <w:rPr>
          <w:rFonts w:ascii="맑은 고딕" w:cs="맑은 고딕" w:eastAsia="맑은 고딕" w:hAnsi="맑은 고딕"/>
          <w:b w:val="false"/>
          <w:bCs w:val="false"/>
          <w:i w:val="false"/>
          <w:iCs w:val="false"/>
          <w:color w:val="1A1A1A"/>
          <w:sz w:val="20"/>
          <w:szCs w:val="20"/>
        </w:rPr>
        <w:t xml:space="preserve">분양 성과는 더 이상 마케팅 부서의 성과 지표가 아니라 </w:t>
      </w:r>
      <w:r>
        <w:rPr>
          <w:rFonts w:ascii="맑은 고딕" w:cs="맑은 고딕" w:eastAsia="맑은 고딕" w:hAnsi="맑은 고딕"/>
          <w:b/>
          <w:bCs/>
          <w:i w:val="false"/>
          <w:iCs w:val="false"/>
          <w:color w:val="1A1A1A"/>
          <w:sz w:val="20"/>
          <w:szCs w:val="20"/>
        </w:rPr>
        <w:t xml:space="preserve">사업 재무의 핵심 변수</w:t>
      </w:r>
      <w:r>
        <w:rPr>
          <w:rFonts w:ascii="맑은 고딕" w:cs="맑은 고딕" w:eastAsia="맑은 고딕" w:hAnsi="맑은 고딕"/>
          <w:b w:val="false"/>
          <w:bCs w:val="false"/>
          <w:i w:val="false"/>
          <w:iCs w:val="false"/>
          <w:color w:val="1A1A1A"/>
          <w:sz w:val="20"/>
          <w:szCs w:val="20"/>
        </w:rPr>
        <w:t xml:space="preserve">입니다. PF 상환 일정과 분양 수입금 유입이 연동되어 있고, 분양 지연은 금융비용 증가, 추가 판촉비 투입, 조건 완화로 인한 수입 감소로 이어집니다.</w:t>
      </w:r>
    </w:p>
    <w:p>
      <w:pPr>
        <w:keepNext w:val="false"/>
        <w:spacing w:after="130" w:before="60" w:line="310"/>
        <w:jc w:val="both"/>
      </w:pPr>
      <w:r>
        <w:rPr>
          <w:rFonts w:ascii="맑은 고딕" w:cs="맑은 고딕" w:eastAsia="맑은 고딕" w:hAnsi="맑은 고딕"/>
          <w:b w:val="false"/>
          <w:bCs w:val="false"/>
          <w:i w:val="false"/>
          <w:iCs w:val="false"/>
          <w:color w:val="1A1A1A"/>
          <w:sz w:val="20"/>
          <w:szCs w:val="20"/>
        </w:rPr>
        <w:t xml:space="preserve">그러나 다수의 현장에서 경영진이 확인할 수 있는 정보는 다음 수준에 머무릅니다.</w:t>
      </w:r>
    </w:p>
    <w:p>
      <w:pPr>
        <w:keepNext/>
        <w:spacing w:after="90" w:before="220"/>
      </w:pPr>
      <w:r>
        <w:rPr>
          <w:rFonts w:ascii="맑은 고딕" w:cs="맑은 고딕" w:eastAsia="맑은 고딕" w:hAnsi="맑은 고딕"/>
          <w:b/>
          <w:bCs/>
          <w:color w:val="1F3864"/>
          <w:sz w:val="18"/>
          <w:szCs w:val="18"/>
        </w:rPr>
        <w:t xml:space="preserve">[표 1-3] 경영진이 받는 정보와 실제로 필요한 정보</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0"/>
        <w:gridCol w:w="2977"/>
        <w:gridCol w:w="5511"/>
      </w:tblGrid>
      <w:tr>
        <w:trPr>
          <w:cantSplit/>
          <w:tblHeader/>
        </w:trPr>
        <w:tc>
          <w:tcPr>
            <w:tcW w:type="dxa" w:w="1150"/>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구분</w:t>
            </w:r>
          </w:p>
        </w:tc>
        <w:tc>
          <w:tcPr>
            <w:tcW w:type="dxa" w:w="2977"/>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현재 받는 정보</w:t>
            </w:r>
          </w:p>
        </w:tc>
        <w:tc>
          <w:tcPr>
            <w:tcW w:type="dxa" w:w="5511"/>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실제로 필요한 정보</w:t>
            </w:r>
          </w:p>
        </w:tc>
      </w:tr>
      <w:tr>
        <w:trPr>
          <w:cantSplit/>
          <w:tblHeader w:val="false"/>
        </w:trPr>
        <w:tc>
          <w:tcPr>
            <w:tcW w:type="dxa" w:w="115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예산</w:t>
            </w:r>
          </w:p>
        </w:tc>
        <w:tc>
          <w:tcPr>
            <w:tcW w:type="dxa" w:w="297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견적서 총액, 세금계산서</w:t>
            </w:r>
          </w:p>
        </w:tc>
        <w:tc>
          <w:tcPr>
            <w:tcW w:type="dxa" w:w="551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매체별·일별 실제 집행액, 잔여 예산</w:t>
            </w:r>
          </w:p>
        </w:tc>
      </w:tr>
      <w:tr>
        <w:trPr>
          <w:cantSplit/>
          <w:tblHeader w:val="false"/>
        </w:trPr>
        <w:tc>
          <w:tcPr>
            <w:tcW w:type="dxa" w:w="115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유입</w:t>
            </w:r>
          </w:p>
        </w:tc>
        <w:tc>
          <w:tcPr>
            <w:tcW w:type="dxa" w:w="2977"/>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총 DB 건수, DB 단가</w:t>
            </w:r>
          </w:p>
        </w:tc>
        <w:tc>
          <w:tcPr>
            <w:tcW w:type="dxa" w:w="5511"/>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유효 DB, 소재별 유입 품질</w:t>
            </w:r>
          </w:p>
        </w:tc>
      </w:tr>
      <w:tr>
        <w:trPr>
          <w:cantSplit/>
          <w:tblHeader w:val="false"/>
        </w:trPr>
        <w:tc>
          <w:tcPr>
            <w:tcW w:type="dxa" w:w="115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현장</w:t>
            </w:r>
          </w:p>
        </w:tc>
        <w:tc>
          <w:tcPr>
            <w:tcW w:type="dxa" w:w="297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상담 건수 (구두 보고)</w:t>
            </w:r>
          </w:p>
        </w:tc>
        <w:tc>
          <w:tcPr>
            <w:tcW w:type="dxa" w:w="551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미연락·연락지연 현황, 담당자별 처리 품질</w:t>
            </w:r>
          </w:p>
        </w:tc>
      </w:tr>
      <w:tr>
        <w:trPr>
          <w:cantSplit/>
          <w:tblHeader w:val="false"/>
        </w:trPr>
        <w:tc>
          <w:tcPr>
            <w:tcW w:type="dxa" w:w="115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성과</w:t>
            </w:r>
          </w:p>
        </w:tc>
        <w:tc>
          <w:tcPr>
            <w:tcW w:type="dxa" w:w="2977"/>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계약 건수</w:t>
            </w:r>
          </w:p>
        </w:tc>
        <w:tc>
          <w:tcPr>
            <w:tcW w:type="dxa" w:w="5511"/>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계약에 기여한 매체·소재·상담 경로</w:t>
            </w:r>
          </w:p>
        </w:tc>
      </w:tr>
      <w:tr>
        <w:trPr>
          <w:cantSplit/>
          <w:tblHeader w:val="false"/>
        </w:trPr>
        <w:tc>
          <w:tcPr>
            <w:tcW w:type="dxa" w:w="115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원인</w:t>
            </w:r>
          </w:p>
        </w:tc>
        <w:tc>
          <w:tcPr>
            <w:tcW w:type="dxa" w:w="297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"시장이 어렵다"</w:t>
            </w:r>
          </w:p>
        </w:tc>
        <w:tc>
          <w:tcPr>
            <w:tcW w:type="dxa" w:w="551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광고·가격·상담·수요 중 어느 것이 병목인가</w:t>
            </w:r>
          </w:p>
        </w:tc>
      </w:tr>
    </w:tbl>
    <w:p>
      <w:pPr>
        <w:spacing w:after="200" w:before="0"/>
      </w:pPr>
    </w:p>
    <w:p>
      <w:pPr>
        <w:keepNext w:val="false"/>
        <w:spacing w:after="130" w:before="60" w:line="310"/>
        <w:jc w:val="both"/>
      </w:pPr>
      <w:r>
        <w:rPr>
          <w:rFonts w:ascii="맑은 고딕" w:cs="맑은 고딕" w:eastAsia="맑은 고딕" w:hAnsi="맑은 고딕"/>
          <w:b w:val="false"/>
          <w:bCs w:val="false"/>
          <w:i w:val="false"/>
          <w:iCs w:val="false"/>
          <w:color w:val="1A1A1A"/>
          <w:sz w:val="20"/>
          <w:szCs w:val="20"/>
        </w:rPr>
        <w:t xml:space="preserve">우측 열의 정보가 없으면, 부진에 대한 대응은 추정에 의존하게 됩니다. 가격을 조정해야 할 국면에 판촉을 늘리거나, 상담을 교정해야 할 국면에 광고비를 증액하는 오판이 구조적으로 발생합니다.</w:t>
      </w:r>
    </w:p>
    <w:p>
      <w:pPr>
        <w:pStyle w:val="Heading2"/>
        <w:keepNext/>
        <w:spacing w:after="140" w:before="300"/>
      </w:pPr>
      <w:r>
        <w:rPr>
          <w:rFonts w:ascii="맑은 고딕" w:cs="맑은 고딕" w:eastAsia="맑은 고딕" w:hAnsi="맑은 고딕"/>
          <w:b/>
          <w:bCs/>
          <w:color w:val="1A1A1A"/>
          <w:sz w:val="23"/>
          <w:szCs w:val="23"/>
        </w:rPr>
        <w:t xml:space="preserve">1.3 구조의 차이</w:t>
      </w:r>
    </w:p>
    <w:p>
      <w:pPr>
        <w:keepNext w:val="false"/>
        <w:spacing w:after="130" w:before="60" w:line="310"/>
        <w:jc w:val="both"/>
      </w:pPr>
      <w:r>
        <w:rPr>
          <w:rFonts w:ascii="맑은 고딕" w:cs="맑은 고딕" w:eastAsia="맑은 고딕" w:hAnsi="맑은 고딕"/>
          <w:b w:val="false"/>
          <w:bCs w:val="false"/>
          <w:i w:val="false"/>
          <w:iCs w:val="false"/>
          <w:color w:val="1A1A1A"/>
          <w:sz w:val="20"/>
          <w:szCs w:val="20"/>
        </w:rPr>
        <w:t xml:space="preserve">문제의 근원은 개별 업체의 역량이 아니라 </w:t>
      </w:r>
      <w:r>
        <w:rPr>
          <w:rFonts w:ascii="맑은 고딕" w:cs="맑은 고딕" w:eastAsia="맑은 고딕" w:hAnsi="맑은 고딕"/>
          <w:b/>
          <w:bCs/>
          <w:i w:val="false"/>
          <w:iCs w:val="false"/>
          <w:color w:val="1A1A1A"/>
          <w:sz w:val="20"/>
          <w:szCs w:val="20"/>
        </w:rPr>
        <w:t xml:space="preserve">업무 범위의 정의</w:t>
      </w:r>
      <w:r>
        <w:rPr>
          <w:rFonts w:ascii="맑은 고딕" w:cs="맑은 고딕" w:eastAsia="맑은 고딕" w:hAnsi="맑은 고딕"/>
          <w:b w:val="false"/>
          <w:bCs w:val="false"/>
          <w:i w:val="false"/>
          <w:iCs w:val="false"/>
          <w:color w:val="1A1A1A"/>
          <w:sz w:val="20"/>
          <w:szCs w:val="20"/>
        </w:rPr>
        <w:t xml:space="preserve">에 있습니다.</w:t>
      </w:r>
    </w:p>
    <w:p>
      <w:pPr>
        <w:keepNext/>
        <w:spacing w:after="90" w:before="220"/>
      </w:pPr>
      <w:r>
        <w:rPr>
          <w:rFonts w:ascii="맑은 고딕" w:cs="맑은 고딕" w:eastAsia="맑은 고딕" w:hAnsi="맑은 고딕"/>
          <w:b/>
          <w:bCs/>
          <w:color w:val="1F3864"/>
          <w:sz w:val="18"/>
          <w:szCs w:val="18"/>
        </w:rPr>
        <w:t xml:space="preserve">[그림 1-1] 전통적 광고대행과 분양하마 운영체계의 업무 범위 대조</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BFBFBF" w:sz="4"/>
              <w:left w:val="single" w:color="BFBFBF" w:sz="4"/>
              <w:bottom w:val="single" w:color="BFBFBF" w:sz="4"/>
              <w:right w:val="single" w:color="BFBFBF" w:sz="4"/>
            </w:tcBorders>
            <w:shd w:fill="F4F5F7" w:color="auto" w:val="clear"/>
            <w:tcMar>
              <w:top w:type="dxa" w:w="160"/>
              <w:left w:type="dxa" w:w="200"/>
              <w:bottom w:type="dxa" w:w="160"/>
              <w:right w:type="dxa" w:w="160"/>
            </w:tcMar>
          </w:tcPr>
          <w:p>
            <w:pPr>
              <w:spacing w:after="0" w:before="0" w:line="240"/>
              <w:jc w:val="left"/>
            </w:pPr>
            <w:r>
              <w:rPr>
                <w:rFonts w:ascii="굴림체" w:cs="굴림체" w:eastAsia="굴림체" w:hAnsi="굴림체"/>
                <w:color w:val="1A1A1A"/>
                <w:sz w:val="16"/>
                <w:szCs w:val="16"/>
              </w:rPr>
              <w:t xml:space="preserve">[전통적 광고대행]</w:t>
            </w:r>
          </w:p>
          <w:p>
            <w:pPr>
              <w:spacing w:after="0" w:before="0" w:line="240"/>
              <w:jc w:val="left"/>
            </w:pPr>
            <w:r>
              <w:rPr>
                <w:rFonts w:ascii="굴림체" w:cs="굴림체" w:eastAsia="굴림체" w:hAnsi="굴림체"/>
                <w:color w:val="1A1A1A"/>
                <w:sz w:val="16"/>
                <w:szCs w:val="16"/>
              </w:rPr>
              <w:t xml:space="preserve"> </w:t>
            </w:r>
          </w:p>
          <w:p>
            <w:pPr>
              <w:spacing w:after="0" w:before="0" w:line="240"/>
              <w:jc w:val="left"/>
            </w:pPr>
            <w:r>
              <w:rPr>
                <w:rFonts w:ascii="굴림체" w:cs="굴림체" w:eastAsia="굴림체" w:hAnsi="굴림체"/>
                <w:color w:val="1A1A1A"/>
                <w:sz w:val="16"/>
                <w:szCs w:val="16"/>
              </w:rPr>
              <w:t xml:space="preserve">   광고 집행 ──→ DB 수집 ──→ DB 전달 ──→ 종료</w:t>
            </w:r>
          </w:p>
          <w:p>
            <w:pPr>
              <w:spacing w:after="0" w:before="0" w:line="240"/>
              <w:jc w:val="left"/>
            </w:pPr>
            <w:r>
              <w:rPr>
                <w:rFonts w:ascii="굴림체" w:cs="굴림체" w:eastAsia="굴림체" w:hAnsi="굴림체"/>
                <w:color w:val="1A1A1A"/>
                <w:sz w:val="16"/>
                <w:szCs w:val="16"/>
              </w:rPr>
              <w:t xml:space="preserve">       │</w:t>
            </w:r>
          </w:p>
          <w:p>
            <w:pPr>
              <w:spacing w:after="0" w:before="0" w:line="240"/>
              <w:jc w:val="left"/>
            </w:pPr>
            <w:r>
              <w:rPr>
                <w:rFonts w:ascii="굴림체" w:cs="굴림체" w:eastAsia="굴림체" w:hAnsi="굴림체"/>
                <w:color w:val="1A1A1A"/>
                <w:sz w:val="16"/>
                <w:szCs w:val="16"/>
              </w:rPr>
              <w:t xml:space="preserve">       └─ 업무 범위가 여기서 종료. 상담·방문·계약은 "현장의 일"로 분리</w:t>
            </w:r>
          </w:p>
          <w:p>
            <w:pPr>
              <w:spacing w:after="0" w:before="0" w:line="240"/>
              <w:jc w:val="left"/>
            </w:pPr>
            <w:r>
              <w:rPr>
                <w:rFonts w:ascii="굴림체" w:cs="굴림체" w:eastAsia="굴림체" w:hAnsi="굴림체"/>
                <w:color w:val="1A1A1A"/>
                <w:sz w:val="16"/>
                <w:szCs w:val="16"/>
              </w:rPr>
              <w:t xml:space="preserve"> </w:t>
            </w:r>
          </w:p>
          <w:p>
            <w:pPr>
              <w:spacing w:after="0" w:before="0" w:line="240"/>
              <w:jc w:val="left"/>
            </w:pPr>
            <w:r>
              <w:rPr>
                <w:rFonts w:ascii="굴림체" w:cs="굴림체" w:eastAsia="굴림체" w:hAnsi="굴림체"/>
                <w:color w:val="1A1A1A"/>
                <w:sz w:val="16"/>
                <w:szCs w:val="16"/>
              </w:rPr>
              <w:t xml:space="preserve"> </w:t>
            </w:r>
          </w:p>
          <w:p>
            <w:pPr>
              <w:spacing w:after="0" w:before="0" w:line="240"/>
              <w:jc w:val="left"/>
            </w:pPr>
            <w:r>
              <w:rPr>
                <w:rFonts w:ascii="굴림체" w:cs="굴림체" w:eastAsia="굴림체" w:hAnsi="굴림체"/>
                <w:color w:val="1A1A1A"/>
                <w:sz w:val="16"/>
                <w:szCs w:val="16"/>
              </w:rPr>
              <w:t xml:space="preserve">[분양하마 운영체계]</w:t>
            </w:r>
          </w:p>
          <w:p>
            <w:pPr>
              <w:spacing w:after="0" w:before="0" w:line="240"/>
              <w:jc w:val="left"/>
            </w:pPr>
            <w:r>
              <w:rPr>
                <w:rFonts w:ascii="굴림체" w:cs="굴림체" w:eastAsia="굴림체" w:hAnsi="굴림체"/>
                <w:color w:val="1A1A1A"/>
                <w:sz w:val="16"/>
                <w:szCs w:val="16"/>
              </w:rPr>
              <w:t xml:space="preserve"> </w:t>
            </w:r>
          </w:p>
          <w:p>
            <w:pPr>
              <w:spacing w:after="0" w:before="0" w:line="240"/>
              <w:jc w:val="left"/>
            </w:pPr>
            <w:r>
              <w:rPr>
                <w:rFonts w:ascii="굴림체" w:cs="굴림체" w:eastAsia="굴림체" w:hAnsi="굴림체"/>
                <w:color w:val="1A1A1A"/>
                <w:sz w:val="16"/>
                <w:szCs w:val="16"/>
              </w:rPr>
              <w:t xml:space="preserve">   ① 현장분석 → ② 판매논리 → ③ 콘텐츠 전략 → ④ 광고 집행</w:t>
            </w:r>
          </w:p>
          <w:p>
            <w:pPr>
              <w:spacing w:after="0" w:before="0" w:line="240"/>
              <w:jc w:val="left"/>
            </w:pPr>
            <w:r>
              <w:rPr>
                <w:rFonts w:ascii="굴림체" w:cs="굴림체" w:eastAsia="굴림체" w:hAnsi="굴림체"/>
                <w:color w:val="1A1A1A"/>
                <w:sz w:val="16"/>
                <w:szCs w:val="16"/>
              </w:rPr>
              <w:t xml:space="preserve">                                                    │</w:t>
            </w:r>
          </w:p>
          <w:p>
            <w:pPr>
              <w:spacing w:after="0" w:before="0" w:line="240"/>
              <w:jc w:val="left"/>
            </w:pPr>
            <w:r>
              <w:rPr>
                <w:rFonts w:ascii="굴림체" w:cs="굴림체" w:eastAsia="굴림체" w:hAnsi="굴림체"/>
                <w:color w:val="1A1A1A"/>
                <w:sz w:val="16"/>
                <w:szCs w:val="16"/>
              </w:rPr>
              <w:t xml:space="preserve">   ⑩ 최적화 ← ⑨ 학습 ← ⑧ 계약 ← ⑦ 방문 ← ⑥ 고객관리 ← ⑤ CRM 연동</w:t>
            </w:r>
          </w:p>
          <w:p>
            <w:pPr>
              <w:spacing w:after="0" w:before="0" w:line="240"/>
              <w:jc w:val="left"/>
            </w:pPr>
            <w:r>
              <w:rPr>
                <w:rFonts w:ascii="굴림체" w:cs="굴림체" w:eastAsia="굴림체" w:hAnsi="굴림체"/>
                <w:color w:val="1A1A1A"/>
                <w:sz w:val="16"/>
                <w:szCs w:val="16"/>
              </w:rPr>
              <w:t xml:space="preserve">       │</w:t>
            </w:r>
          </w:p>
          <w:p>
            <w:pPr>
              <w:spacing w:after="0" w:before="0" w:line="240"/>
              <w:jc w:val="left"/>
            </w:pPr>
            <w:r>
              <w:rPr>
                <w:rFonts w:ascii="굴림체" w:cs="굴림체" w:eastAsia="굴림체" w:hAnsi="굴림체"/>
                <w:color w:val="1A1A1A"/>
                <w:sz w:val="16"/>
                <w:szCs w:val="16"/>
              </w:rPr>
              <w:t xml:space="preserve">       └─ ⑩의 결과가 ①~④로 환류하여 다음 주기를 개선</w:t>
            </w:r>
          </w:p>
        </w:tc>
      </w:tr>
    </w:tbl>
    <w:p>
      <w:pPr>
        <w:spacing w:after="160" w:before="0"/>
      </w:pPr>
    </w:p>
    <w:p>
      <w:pPr>
        <w:keepNext w:val="false"/>
        <w:spacing w:after="130" w:before="60" w:line="310"/>
        <w:jc w:val="both"/>
      </w:pPr>
      <w:r>
        <w:rPr>
          <w:rFonts w:ascii="맑은 고딕" w:cs="맑은 고딕" w:eastAsia="맑은 고딕" w:hAnsi="맑은 고딕"/>
          <w:b w:val="false"/>
          <w:bCs w:val="false"/>
          <w:i w:val="false"/>
          <w:iCs w:val="false"/>
          <w:color w:val="1A1A1A"/>
          <w:sz w:val="20"/>
          <w:szCs w:val="20"/>
        </w:rPr>
        <w:t xml:space="preserve">전통적 대행 구조에서 광고 집행은 </w:t>
      </w:r>
      <w:r>
        <w:rPr>
          <w:rFonts w:ascii="맑은 고딕" w:cs="맑은 고딕" w:eastAsia="맑은 고딕" w:hAnsi="맑은 고딕"/>
          <w:b/>
          <w:bCs/>
          <w:i w:val="false"/>
          <w:iCs w:val="false"/>
          <w:color w:val="1A1A1A"/>
          <w:sz w:val="20"/>
          <w:szCs w:val="20"/>
        </w:rPr>
        <w:t xml:space="preserve">업무의 전부</w:t>
      </w:r>
      <w:r>
        <w:rPr>
          <w:rFonts w:ascii="맑은 고딕" w:cs="맑은 고딕" w:eastAsia="맑은 고딕" w:hAnsi="맑은 고딕"/>
          <w:b w:val="false"/>
          <w:bCs w:val="false"/>
          <w:i w:val="false"/>
          <w:iCs w:val="false"/>
          <w:color w:val="1A1A1A"/>
          <w:sz w:val="20"/>
          <w:szCs w:val="20"/>
        </w:rPr>
        <w:t xml:space="preserve">입니다. 분양하마 운영체계에서 광고 집행은 </w:t>
      </w:r>
      <w:r>
        <w:rPr>
          <w:rFonts w:ascii="맑은 고딕" w:cs="맑은 고딕" w:eastAsia="맑은 고딕" w:hAnsi="맑은 고딕"/>
          <w:b/>
          <w:bCs/>
          <w:i w:val="false"/>
          <w:iCs w:val="false"/>
          <w:color w:val="1A1A1A"/>
          <w:sz w:val="20"/>
          <w:szCs w:val="20"/>
        </w:rPr>
        <w:t xml:space="preserve">열 단계 중 네 번째 단계</w:t>
      </w:r>
      <w:r>
        <w:rPr>
          <w:rFonts w:ascii="맑은 고딕" w:cs="맑은 고딕" w:eastAsia="맑은 고딕" w:hAnsi="맑은 고딕"/>
          <w:b w:val="false"/>
          <w:bCs w:val="false"/>
          <w:i w:val="false"/>
          <w:iCs w:val="false"/>
          <w:color w:val="1A1A1A"/>
          <w:sz w:val="20"/>
          <w:szCs w:val="20"/>
        </w:rPr>
        <w:t xml:space="preserve">입니다. 광고 앞에는 팔릴 근거를 만드는 세 단계가, 광고 뒤에는 계약까지 관리하고 결과로부터 배우는 여섯 단계가 있습니다.</w:t>
      </w:r>
    </w:p>
    <w:p>
      <w:pPr>
        <w:keepNext w:val="false"/>
        <w:spacing w:after="130" w:before="60" w:line="310"/>
        <w:jc w:val="both"/>
      </w:pPr>
      <w:r>
        <w:rPr>
          <w:rFonts w:ascii="맑은 고딕" w:cs="맑은 고딕" w:eastAsia="맑은 고딕" w:hAnsi="맑은 고딕"/>
          <w:b w:val="false"/>
          <w:bCs w:val="false"/>
          <w:i w:val="false"/>
          <w:iCs w:val="false"/>
          <w:color w:val="1A1A1A"/>
          <w:sz w:val="20"/>
          <w:szCs w:val="20"/>
        </w:rPr>
        <w:t xml:space="preserve">본 제안서 전체는 이 구조 차이가 어떻게 성과 차이로 이어지는지에 대한 설명입니다.</w:t>
      </w:r>
    </w:p>
    <w:p>
      <w:pPr>
        <w:pStyle w:val="Heading2"/>
        <w:keepNext/>
        <w:spacing w:after="140" w:before="300"/>
      </w:pPr>
      <w:r>
        <w:rPr>
          <w:rFonts w:ascii="맑은 고딕" w:cs="맑은 고딕" w:eastAsia="맑은 고딕" w:hAnsi="맑은 고딕"/>
          <w:b/>
          <w:bCs/>
          <w:color w:val="1A1A1A"/>
          <w:sz w:val="23"/>
          <w:szCs w:val="23"/>
        </w:rPr>
        <w:t xml:space="preserve">1.4 제안 범위</w:t>
      </w:r>
    </w:p>
    <w:p>
      <w:pPr>
        <w:keepNext/>
        <w:spacing w:after="90" w:before="220"/>
      </w:pPr>
      <w:r>
        <w:rPr>
          <w:rFonts w:ascii="맑은 고딕" w:cs="맑은 고딕" w:eastAsia="맑은 고딕" w:hAnsi="맑은 고딕"/>
          <w:b/>
          <w:bCs/>
          <w:color w:val="1F3864"/>
          <w:sz w:val="18"/>
          <w:szCs w:val="18"/>
        </w:rPr>
        <w:t xml:space="preserve">[표 1-4] 제안 구성과 해소하는 문제</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53"/>
        <w:gridCol w:w="4865"/>
        <w:gridCol w:w="2170"/>
        <w:gridCol w:w="1150"/>
      </w:tblGrid>
      <w:tr>
        <w:trPr>
          <w:cantSplit/>
          <w:tblHeader/>
        </w:trPr>
        <w:tc>
          <w:tcPr>
            <w:tcW w:type="dxa" w:w="1453"/>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구성</w:t>
            </w:r>
          </w:p>
        </w:tc>
        <w:tc>
          <w:tcPr>
            <w:tcW w:type="dxa" w:w="4865"/>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핵심 내용</w:t>
            </w:r>
          </w:p>
        </w:tc>
        <w:tc>
          <w:tcPr>
            <w:tcW w:type="dxa" w:w="2170"/>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해소하는 문제</w:t>
            </w:r>
          </w:p>
        </w:tc>
        <w:tc>
          <w:tcPr>
            <w:tcW w:type="dxa" w:w="1150"/>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상세</w:t>
            </w:r>
          </w:p>
        </w:tc>
      </w:tr>
      <w:tr>
        <w:trPr>
          <w:cantSplit/>
          <w:tblHeader w:val="false"/>
        </w:trPr>
        <w:tc>
          <w:tcPr>
            <w:tcW w:type="dxa" w:w="145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① AI 현장가치 분석</w:t>
            </w:r>
          </w:p>
        </w:tc>
        <w:tc>
          <w:tcPr>
            <w:tcW w:type="dxa" w:w="4865"/>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7대 카테고리·15개 데이터 레이어·300+ 지표로 현장가치를 독립 검증</w:t>
            </w:r>
          </w:p>
        </w:tc>
        <w:tc>
          <w:tcPr>
            <w:tcW w:type="dxa" w:w="217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근거 없는 메시지</w:t>
            </w:r>
          </w:p>
        </w:tc>
        <w:tc>
          <w:tcPr>
            <w:tcW w:type="dxa" w:w="115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제5장</w:t>
            </w:r>
          </w:p>
        </w:tc>
      </w:tr>
      <w:tr>
        <w:trPr>
          <w:cantSplit/>
          <w:tblHeader w:val="false"/>
        </w:trPr>
        <w:tc>
          <w:tcPr>
            <w:tcW w:type="dxa" w:w="1453"/>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② 판매 논리 설계</w:t>
            </w:r>
          </w:p>
        </w:tc>
        <w:tc>
          <w:tcPr>
            <w:tcW w:type="dxa" w:w="4865"/>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고객 질문 6축에 분석 근거를 대응시킨 메시지맵과 반론 대응 논리</w:t>
            </w:r>
          </w:p>
        </w:tc>
        <w:tc>
          <w:tcPr>
            <w:tcW w:type="dxa" w:w="217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현장 강점과 고객 질문의 어긋남</w:t>
            </w:r>
          </w:p>
        </w:tc>
        <w:tc>
          <w:tcPr>
            <w:tcW w:type="dxa" w:w="115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제6장</w:t>
            </w:r>
          </w:p>
        </w:tc>
      </w:tr>
      <w:tr>
        <w:trPr>
          <w:cantSplit/>
          <w:tblHeader w:val="false"/>
        </w:trPr>
        <w:tc>
          <w:tcPr>
            <w:tcW w:type="dxa" w:w="145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③ 콘텐츠·정보 허브</w:t>
            </w:r>
          </w:p>
        </w:tc>
        <w:tc>
          <w:tcPr>
            <w:tcW w:type="dxa" w:w="4865"/>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질문형 콘텐츠와 검증형 현장 정보 허브(GEO)</w:t>
            </w:r>
          </w:p>
        </w:tc>
        <w:tc>
          <w:tcPr>
            <w:tcW w:type="dxa" w:w="217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범용 소재의 낮은 전환</w:t>
            </w:r>
          </w:p>
        </w:tc>
        <w:tc>
          <w:tcPr>
            <w:tcW w:type="dxa" w:w="115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제7장</w:t>
            </w:r>
          </w:p>
        </w:tc>
      </w:tr>
      <w:tr>
        <w:trPr>
          <w:cantSplit/>
          <w:tblHeader w:val="false"/>
        </w:trPr>
        <w:tc>
          <w:tcPr>
            <w:tcW w:type="dxa" w:w="1453"/>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④ 멀티채널 광고 운영</w:t>
            </w:r>
          </w:p>
        </w:tc>
        <w:tc>
          <w:tcPr>
            <w:tcW w:type="dxa" w:w="4865"/>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Meta·Google·YouTube·LMS의 고객 단계별 역할 분담</w:t>
            </w:r>
          </w:p>
        </w:tc>
        <w:tc>
          <w:tcPr>
            <w:tcW w:type="dxa" w:w="217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매체별 개별 운영, 증빙 편향</w:t>
            </w:r>
          </w:p>
        </w:tc>
        <w:tc>
          <w:tcPr>
            <w:tcW w:type="dxa" w:w="115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제8장</w:t>
            </w:r>
          </w:p>
        </w:tc>
      </w:tr>
      <w:tr>
        <w:trPr>
          <w:cantSplit/>
          <w:tblHeader w:val="false"/>
        </w:trPr>
        <w:tc>
          <w:tcPr>
            <w:tcW w:type="dxa" w:w="145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⑤ CRM·전환관리</w:t>
            </w:r>
          </w:p>
        </w:tc>
        <w:tc>
          <w:tcPr>
            <w:tcW w:type="dxa" w:w="4865"/>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DB 자동연동, 배정, 연락지연 통제, 10단계 상태 관리</w:t>
            </w:r>
          </w:p>
        </w:tc>
        <w:tc>
          <w:tcPr>
            <w:tcW w:type="dxa" w:w="217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DB 전달 이후의 관리 사각지대</w:t>
            </w:r>
          </w:p>
        </w:tc>
        <w:tc>
          <w:tcPr>
            <w:tcW w:type="dxa" w:w="115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제9장</w:t>
            </w:r>
          </w:p>
        </w:tc>
      </w:tr>
      <w:tr>
        <w:trPr>
          <w:cantSplit/>
          <w:tblHeader w:val="false"/>
        </w:trPr>
        <w:tc>
          <w:tcPr>
            <w:tcW w:type="dxa" w:w="1453"/>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⑥ 성과 측정·학습</w:t>
            </w:r>
          </w:p>
        </w:tc>
        <w:tc>
          <w:tcPr>
            <w:tcW w:type="dxa" w:w="4865"/>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전체 퍼널 측정, 병목 진단, 거절 사유의 운영 반영</w:t>
            </w:r>
          </w:p>
        </w:tc>
        <w:tc>
          <w:tcPr>
            <w:tcW w:type="dxa" w:w="217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실패 원인을 모르는 반복</w:t>
            </w:r>
          </w:p>
        </w:tc>
        <w:tc>
          <w:tcPr>
            <w:tcW w:type="dxa" w:w="115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제10장</w:t>
            </w:r>
          </w:p>
        </w:tc>
      </w:tr>
      <w:tr>
        <w:trPr>
          <w:cantSplit/>
          <w:tblHeader w:val="false"/>
        </w:trPr>
        <w:tc>
          <w:tcPr>
            <w:tcW w:type="dxa" w:w="145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⑦ 예산 투명성</w:t>
            </w:r>
          </w:p>
        </w:tc>
        <w:tc>
          <w:tcPr>
            <w:tcW w:type="dxa" w:w="4865"/>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수수료·실집행·제작비·잔액의 분리 공개와 정산</w:t>
            </w:r>
          </w:p>
        </w:tc>
        <w:tc>
          <w:tcPr>
            <w:tcW w:type="dxa" w:w="217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광고비 사용처 불투명</w:t>
            </w:r>
          </w:p>
        </w:tc>
        <w:tc>
          <w:tcPr>
            <w:tcW w:type="dxa" w:w="115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제11장</w:t>
            </w:r>
          </w:p>
        </w:tc>
      </w:tr>
    </w:tbl>
    <w:p>
      <w:pPr>
        <w:spacing w:after="200" w:before="0"/>
      </w:pPr>
    </w:p>
    <w:p>
      <w:pPr>
        <w:pStyle w:val="Heading2"/>
        <w:keepNext/>
        <w:spacing w:after="140" w:before="300"/>
      </w:pPr>
      <w:r>
        <w:rPr>
          <w:rFonts w:ascii="맑은 고딕" w:cs="맑은 고딕" w:eastAsia="맑은 고딕" w:hAnsi="맑은 고딕"/>
          <w:b/>
          <w:bCs/>
          <w:color w:val="1A1A1A"/>
          <w:sz w:val="23"/>
          <w:szCs w:val="23"/>
        </w:rPr>
        <w:t xml:space="preserve">1.5 상업 조건의 원칙</w:t>
      </w:r>
    </w:p>
    <w:p>
      <w:pPr>
        <w:keepNext/>
        <w:spacing w:after="90" w:before="220"/>
      </w:pPr>
      <w:r>
        <w:rPr>
          <w:rFonts w:ascii="맑은 고딕" w:cs="맑은 고딕" w:eastAsia="맑은 고딕" w:hAnsi="맑은 고딕"/>
          <w:b/>
          <w:bCs/>
          <w:color w:val="1F3864"/>
          <w:sz w:val="18"/>
          <w:szCs w:val="18"/>
        </w:rPr>
        <w:t xml:space="preserve">[표 1-5] 비용 구조</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60"/>
        <w:gridCol w:w="4673"/>
        <w:gridCol w:w="3505"/>
      </w:tblGrid>
      <w:tr>
        <w:trPr>
          <w:cantSplit/>
          <w:tblHeader/>
        </w:trPr>
        <w:tc>
          <w:tcPr>
            <w:tcW w:type="dxa" w:w="1460"/>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항목</w:t>
            </w:r>
          </w:p>
        </w:tc>
        <w:tc>
          <w:tcPr>
            <w:tcW w:type="dxa" w:w="4673"/>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표준 원칙</w:t>
            </w:r>
          </w:p>
        </w:tc>
        <w:tc>
          <w:tcPr>
            <w:tcW w:type="dxa" w:w="3505"/>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계약 전 확정 사항</w:t>
            </w:r>
          </w:p>
        </w:tc>
      </w:tr>
      <w:tr>
        <w:trPr>
          <w:cantSplit/>
          <w:tblHeader w:val="false"/>
        </w:trPr>
        <w:tc>
          <w:tcPr>
            <w:tcW w:type="dxa" w:w="14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광고 운영수수료</w:t>
            </w:r>
          </w:p>
        </w:tc>
        <w:tc>
          <w:tcPr>
            <w:tcW w:type="dxa" w:w="467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부가세 제외 광고운영예산의 10%</w:t>
            </w:r>
          </w:p>
        </w:tc>
        <w:tc>
          <w:tcPr>
            <w:tcW w:type="dxa" w:w="3505"/>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산정 기준금액, 부가세, 최소 운영기간</w:t>
            </w:r>
          </w:p>
        </w:tc>
      </w:tr>
      <w:tr>
        <w:trPr>
          <w:cantSplit/>
          <w:tblHeader w:val="false"/>
        </w:trPr>
        <w:tc>
          <w:tcPr>
            <w:tcW w:type="dxa" w:w="146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실제 매체 집행</w:t>
            </w:r>
          </w:p>
        </w:tc>
        <w:tc>
          <w:tcPr>
            <w:tcW w:type="dxa" w:w="4673"/>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광고운영예산의 90%</w:t>
            </w:r>
          </w:p>
        </w:tc>
        <w:tc>
          <w:tcPr>
            <w:tcW w:type="dxa" w:w="3505"/>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매체별 배분, 결제 주체, 잔액 처리</w:t>
            </w:r>
          </w:p>
        </w:tc>
      </w:tr>
      <w:tr>
        <w:trPr>
          <w:cantSplit/>
          <w:tblHeader w:val="false"/>
        </w:trPr>
        <w:tc>
          <w:tcPr>
            <w:tcW w:type="dxa" w:w="14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콘텐츠 제작비</w:t>
            </w:r>
          </w:p>
        </w:tc>
        <w:tc>
          <w:tcPr>
            <w:tcW w:type="dxa" w:w="467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운영수수료와 별도 견적</w:t>
            </w:r>
          </w:p>
        </w:tc>
        <w:tc>
          <w:tcPr>
            <w:tcW w:type="dxa" w:w="3505"/>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품목·수량·수정 횟수·납기·권리</w:t>
            </w:r>
          </w:p>
        </w:tc>
      </w:tr>
      <w:tr>
        <w:trPr>
          <w:cantSplit/>
          <w:tblHeader w:val="false"/>
        </w:trPr>
        <w:tc>
          <w:tcPr>
            <w:tcW w:type="dxa" w:w="146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분양 업무툴</w:t>
            </w:r>
          </w:p>
        </w:tc>
        <w:tc>
          <w:tcPr>
            <w:tcW w:type="dxa" w:w="4673"/>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운영기간 중 별도 라이선스비 없이 제공 (현장 1개)</w:t>
            </w:r>
          </w:p>
        </w:tc>
        <w:tc>
          <w:tcPr>
            <w:tcW w:type="dxa" w:w="3505"/>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사용자 수, 보관 기간, 종료 후 처리</w:t>
            </w:r>
          </w:p>
        </w:tc>
      </w:tr>
    </w:tbl>
    <w:p>
      <w:pPr>
        <w:spacing w:after="200" w:before="0"/>
      </w:pPr>
    </w:p>
    <w:p>
      <w:pPr>
        <w:keepNext w:val="false"/>
        <w:spacing w:after="130" w:before="60" w:line="310"/>
        <w:jc w:val="both"/>
      </w:pPr>
      <w:r>
        <w:rPr>
          <w:rFonts w:ascii="맑은 고딕" w:cs="맑은 고딕" w:eastAsia="맑은 고딕" w:hAnsi="맑은 고딕"/>
          <w:b w:val="false"/>
          <w:bCs w:val="false"/>
          <w:i w:val="false"/>
          <w:iCs w:val="false"/>
          <w:color w:val="1A1A1A"/>
          <w:sz w:val="20"/>
          <w:szCs w:val="20"/>
        </w:rPr>
        <w:t xml:space="preserve">당사는 </w:t>
      </w:r>
      <w:r>
        <w:rPr>
          <w:rFonts w:ascii="맑은 고딕" w:cs="맑은 고딕" w:eastAsia="맑은 고딕" w:hAnsi="맑은 고딕"/>
          <w:b/>
          <w:bCs/>
          <w:i w:val="false"/>
          <w:iCs w:val="false"/>
          <w:color w:val="1A1A1A"/>
          <w:sz w:val="20"/>
          <w:szCs w:val="20"/>
        </w:rPr>
        <w:t xml:space="preserve">10%라는 수수료율을 본 제안의 차별점으로 제시하지 않습니다.</w:t>
      </w:r>
      <w:r>
        <w:rPr>
          <w:rFonts w:ascii="맑은 고딕" w:cs="맑은 고딕" w:eastAsia="맑은 고딕" w:hAnsi="맑은 고딕"/>
          <w:b w:val="false"/>
          <w:bCs w:val="false"/>
          <w:i w:val="false"/>
          <w:iCs w:val="false"/>
          <w:color w:val="1A1A1A"/>
          <w:sz w:val="20"/>
          <w:szCs w:val="20"/>
        </w:rPr>
        <w:t xml:space="preserve"> 동일하거나 유사한 수수료 조건은 시장에도 존재합니다. 차별점은 같은 예산에서 다음 다섯 가지가 하나의 체계로 이어진다는 데 있습니다.</w:t>
      </w:r>
    </w:p>
    <w:p>
      <w:pPr>
        <w:pStyle w:val="ListParagraph"/>
        <w:numPr>
          <w:ilvl w:val="0"/>
          <w:numId w:val="3"/>
        </w:numPr>
        <w:spacing w:after="30" w:before="30" w:line="290"/>
      </w:pPr>
      <w:r>
        <w:rPr>
          <w:rFonts w:ascii="맑은 고딕" w:cs="맑은 고딕" w:eastAsia="맑은 고딕" w:hAnsi="맑은 고딕"/>
          <w:color w:val="1A1A1A"/>
          <w:sz w:val="20"/>
          <w:szCs w:val="20"/>
        </w:rPr>
        <w:t xml:space="preserve">근거가 검증된 현장분석</w:t>
      </w:r>
    </w:p>
    <w:p>
      <w:pPr>
        <w:pStyle w:val="ListParagraph"/>
        <w:numPr>
          <w:ilvl w:val="0"/>
          <w:numId w:val="3"/>
        </w:numPr>
        <w:spacing w:after="30" w:before="30" w:line="290"/>
      </w:pPr>
      <w:r>
        <w:rPr>
          <w:rFonts w:ascii="맑은 고딕" w:cs="맑은 고딕" w:eastAsia="맑은 고딕" w:hAnsi="맑은 고딕"/>
          <w:color w:val="1A1A1A"/>
          <w:sz w:val="20"/>
          <w:szCs w:val="20"/>
        </w:rPr>
        <w:t xml:space="preserve">매체별·일별 실집행 내역</w:t>
      </w:r>
    </w:p>
    <w:p>
      <w:pPr>
        <w:pStyle w:val="ListParagraph"/>
        <w:numPr>
          <w:ilvl w:val="0"/>
          <w:numId w:val="3"/>
        </w:numPr>
        <w:spacing w:after="30" w:before="30" w:line="290"/>
      </w:pPr>
      <w:r>
        <w:rPr>
          <w:rFonts w:ascii="맑은 고딕" w:cs="맑은 고딕" w:eastAsia="맑은 고딕" w:hAnsi="맑은 고딕"/>
          <w:color w:val="1A1A1A"/>
          <w:sz w:val="20"/>
          <w:szCs w:val="20"/>
        </w:rPr>
        <w:t xml:space="preserve">고객 처리 현황 (배정·연락·상담)</w:t>
      </w:r>
    </w:p>
    <w:p>
      <w:pPr>
        <w:pStyle w:val="ListParagraph"/>
        <w:numPr>
          <w:ilvl w:val="0"/>
          <w:numId w:val="3"/>
        </w:numPr>
        <w:spacing w:after="30" w:before="30" w:line="290"/>
      </w:pPr>
      <w:r>
        <w:rPr>
          <w:rFonts w:ascii="맑은 고딕" w:cs="맑은 고딕" w:eastAsia="맑은 고딕" w:hAnsi="맑은 고딕"/>
          <w:color w:val="1A1A1A"/>
          <w:sz w:val="20"/>
          <w:szCs w:val="20"/>
        </w:rPr>
        <w:t xml:space="preserve">방문·계약 결과와 기여 경로</w:t>
      </w:r>
    </w:p>
    <w:p>
      <w:pPr>
        <w:pStyle w:val="ListParagraph"/>
        <w:numPr>
          <w:ilvl w:val="0"/>
          <w:numId w:val="3"/>
        </w:numPr>
        <w:spacing w:after="30" w:before="30" w:line="290"/>
      </w:pPr>
      <w:r>
        <w:rPr>
          <w:rFonts w:ascii="맑은 고딕" w:cs="맑은 고딕" w:eastAsia="맑은 고딕" w:hAnsi="맑은 고딕"/>
          <w:color w:val="1A1A1A"/>
          <w:sz w:val="20"/>
          <w:szCs w:val="20"/>
        </w:rPr>
        <w:t xml:space="preserve">다음 캠페인의 개선 근거</w:t>
      </w:r>
    </w:p>
    <w:p>
      <w:pPr>
        <w:spacing w:after="100" w:before="0"/>
      </w:pPr>
    </w:p>
    <w:p>
      <w:pPr>
        <w:pStyle w:val="Heading2"/>
        <w:keepNext/>
        <w:spacing w:after="140" w:before="300"/>
      </w:pPr>
      <w:r>
        <w:rPr>
          <w:rFonts w:ascii="맑은 고딕" w:cs="맑은 고딕" w:eastAsia="맑은 고딕" w:hAnsi="맑은 고딕"/>
          <w:b/>
          <w:bCs/>
          <w:color w:val="1A1A1A"/>
          <w:sz w:val="23"/>
          <w:szCs w:val="23"/>
        </w:rPr>
        <w:t xml:space="preserve">1.6 의사결정자가 확인할 사항</w:t>
      </w:r>
    </w:p>
    <w:p>
      <w:pPr>
        <w:keepNext/>
        <w:spacing w:after="90" w:before="220"/>
      </w:pPr>
      <w:r>
        <w:rPr>
          <w:rFonts w:ascii="맑은 고딕" w:cs="맑은 고딕" w:eastAsia="맑은 고딕" w:hAnsi="맑은 고딕"/>
          <w:b/>
          <w:bCs/>
          <w:color w:val="1F3864"/>
          <w:sz w:val="18"/>
          <w:szCs w:val="18"/>
        </w:rPr>
        <w:t xml:space="preserve">[표 1-6] 계약 전 확인 항목</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0"/>
        <w:gridCol w:w="5752"/>
        <w:gridCol w:w="2736"/>
      </w:tblGrid>
      <w:tr>
        <w:trPr>
          <w:cantSplit/>
          <w:tblHeader/>
        </w:trPr>
        <w:tc>
          <w:tcPr>
            <w:tcW w:type="dxa" w:w="1150"/>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영역</w:t>
            </w:r>
          </w:p>
        </w:tc>
        <w:tc>
          <w:tcPr>
            <w:tcW w:type="dxa" w:w="5752"/>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확인 사항</w:t>
            </w:r>
          </w:p>
        </w:tc>
        <w:tc>
          <w:tcPr>
            <w:tcW w:type="dxa" w:w="2736"/>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미확정 시 영향</w:t>
            </w:r>
          </w:p>
        </w:tc>
      </w:tr>
      <w:tr>
        <w:trPr>
          <w:cantSplit/>
          <w:tblHeader w:val="false"/>
        </w:trPr>
        <w:tc>
          <w:tcPr>
            <w:tcW w:type="dxa" w:w="115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데이터</w:t>
            </w:r>
          </w:p>
        </w:tc>
        <w:tc>
          <w:tcPr>
            <w:tcW w:type="dxa" w:w="5752"/>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현장·분양·경쟁단지 자료와 외부 데이터의 이용 가능 여부</w:t>
            </w:r>
          </w:p>
        </w:tc>
        <w:tc>
          <w:tcPr>
            <w:tcW w:type="dxa" w:w="273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분석 범위 축소 또는 재설계</w:t>
            </w:r>
          </w:p>
        </w:tc>
      </w:tr>
      <w:tr>
        <w:trPr>
          <w:cantSplit/>
          <w:tblHeader w:val="false"/>
        </w:trPr>
        <w:tc>
          <w:tcPr>
            <w:tcW w:type="dxa" w:w="115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계정·정산</w:t>
            </w:r>
          </w:p>
        </w:tc>
        <w:tc>
          <w:tcPr>
            <w:tcW w:type="dxa" w:w="5752"/>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광고계정 소유·접근·결제 방식, 1+1 지원금의 정산 책임</w:t>
            </w:r>
          </w:p>
        </w:tc>
        <w:tc>
          <w:tcPr>
            <w:tcW w:type="dxa" w:w="2736"/>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실집행 검증 불가</w:t>
            </w:r>
          </w:p>
        </w:tc>
      </w:tr>
      <w:tr>
        <w:trPr>
          <w:cantSplit/>
          <w:tblHeader w:val="false"/>
        </w:trPr>
        <w:tc>
          <w:tcPr>
            <w:tcW w:type="dxa" w:w="115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개인정보</w:t>
            </w:r>
          </w:p>
        </w:tc>
        <w:tc>
          <w:tcPr>
            <w:tcW w:type="dxa" w:w="5752"/>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수집 동의문, 처리위탁, 보관기간, DB 이전 기준</w:t>
            </w:r>
          </w:p>
        </w:tc>
        <w:tc>
          <w:tcPr>
            <w:tcW w:type="dxa" w:w="273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DB 연동 불가</w:t>
            </w:r>
          </w:p>
        </w:tc>
      </w:tr>
      <w:tr>
        <w:trPr>
          <w:cantSplit/>
          <w:tblHeader w:val="false"/>
        </w:trPr>
        <w:tc>
          <w:tcPr>
            <w:tcW w:type="dxa" w:w="115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제작</w:t>
            </w:r>
          </w:p>
        </w:tc>
        <w:tc>
          <w:tcPr>
            <w:tcW w:type="dxa" w:w="5752"/>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콘텐츠 수량·수정 횟수·촬영 범위, 정보 허브 운영기간</w:t>
            </w:r>
          </w:p>
        </w:tc>
        <w:tc>
          <w:tcPr>
            <w:tcW w:type="dxa" w:w="2736"/>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제작 착수 지연</w:t>
            </w:r>
          </w:p>
        </w:tc>
      </w:tr>
      <w:tr>
        <w:trPr>
          <w:cantSplit/>
          <w:tblHeader w:val="false"/>
        </w:trPr>
        <w:tc>
          <w:tcPr>
            <w:tcW w:type="dxa" w:w="115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현장 운영</w:t>
            </w:r>
          </w:p>
        </w:tc>
        <w:tc>
          <w:tcPr>
            <w:tcW w:type="dxa" w:w="5752"/>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DB 배정·최초 연락 기준시간, 상담단계 정의, 등록 책임</w:t>
            </w:r>
          </w:p>
        </w:tc>
        <w:tc>
          <w:tcPr>
            <w:tcW w:type="dxa" w:w="273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광고-계약 연결 분석 제한</w:t>
            </w:r>
          </w:p>
        </w:tc>
      </w:tr>
      <w:tr>
        <w:trPr>
          <w:cantSplit/>
          <w:tblHeader w:val="false"/>
        </w:trPr>
        <w:tc>
          <w:tcPr>
            <w:tcW w:type="dxa" w:w="115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계약</w:t>
            </w:r>
          </w:p>
        </w:tc>
        <w:tc>
          <w:tcPr>
            <w:tcW w:type="dxa" w:w="5752"/>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성공 기준, 중단 조건, 변경관리, 종료 정산 기준</w:t>
            </w:r>
          </w:p>
        </w:tc>
        <w:tc>
          <w:tcPr>
            <w:tcW w:type="dxa" w:w="2736"/>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종료 시점 분쟁 소지</w:t>
            </w:r>
          </w:p>
        </w:tc>
      </w:tr>
    </w:tbl>
    <w:p>
      <w:pPr>
        <w:spacing w:after="200" w:before="0"/>
      </w:pPr>
    </w:p>
    <w:p>
      <w:pPr>
        <w:keepNext w:val="false"/>
        <w:spacing w:after="130" w:before="60" w:line="310"/>
        <w:jc w:val="both"/>
      </w:pPr>
      <w:r>
        <w:rPr>
          <w:rFonts w:ascii="맑은 고딕" w:cs="맑은 고딕" w:eastAsia="맑은 고딕" w:hAnsi="맑은 고딕"/>
          <w:b/>
          <w:bCs/>
          <w:i w:val="false"/>
          <w:iCs w:val="false"/>
          <w:color w:val="1A1A1A"/>
          <w:sz w:val="20"/>
          <w:szCs w:val="20"/>
        </w:rPr>
        <w:t xml:space="preserve">분석 체계에 대해서는 다음 세 가지를 직접 요구하시기 바랍니다.</w:t>
      </w:r>
      <w:r>
        <w:rPr>
          <w:rFonts w:ascii="맑은 고딕" w:cs="맑은 고딕" w:eastAsia="맑은 고딕" w:hAnsi="맑은 고딕"/>
          <w:b w:val="false"/>
          <w:bCs w:val="false"/>
          <w:i w:val="false"/>
          <w:iCs w:val="false"/>
          <w:color w:val="1A1A1A"/>
          <w:sz w:val="20"/>
          <w:szCs w:val="20"/>
        </w:rPr>
        <w:t xml:space="preserve"> 제안서의 서술을 신뢰해 달라고 요청하는 대신, 확인 가능한 형태로 제출합니다.</w:t>
      </w:r>
    </w:p>
    <w:p>
      <w:pPr>
        <w:keepNext/>
        <w:spacing w:after="90" w:before="220"/>
      </w:pPr>
      <w:r>
        <w:rPr>
          <w:rFonts w:ascii="맑은 고딕" w:cs="맑은 고딕" w:eastAsia="맑은 고딕" w:hAnsi="맑은 고딕"/>
          <w:b/>
          <w:bCs/>
          <w:color w:val="1F3864"/>
          <w:sz w:val="18"/>
          <w:szCs w:val="18"/>
        </w:rPr>
        <w:t xml:space="preserve">[표 1-6-1] 분석 체계에 대한 확인 요구 항목</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49"/>
        <w:gridCol w:w="7289"/>
      </w:tblGrid>
      <w:tr>
        <w:trPr>
          <w:cantSplit/>
          <w:tblHeader/>
        </w:trPr>
        <w:tc>
          <w:tcPr>
            <w:tcW w:type="dxa" w:w="2349"/>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요구 항목</w:t>
            </w:r>
          </w:p>
        </w:tc>
        <w:tc>
          <w:tcPr>
            <w:tcW w:type="dxa" w:w="7289"/>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확인되는 것</w:t>
            </w:r>
          </w:p>
        </w:tc>
      </w:tr>
      <w:tr>
        <w:trPr>
          <w:cantSplit/>
          <w:tblHeader w:val="false"/>
        </w:trPr>
        <w:tc>
          <w:tcPr>
            <w:tcW w:type="dxa" w:w="2349"/>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커버리지표 (계약 전 제출)</w:t>
            </w:r>
          </w:p>
        </w:tc>
        <w:tc>
          <w:tcPr>
            <w:tcW w:type="dxa" w:w="7289"/>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이 현장에서 15개 레이어 중 무엇이 확보되고 무엇이 안 되는가 — 실행 결과로부터 자동 생성되므로 운영 단계와 어긋나지 않음</w:t>
            </w:r>
          </w:p>
        </w:tc>
      </w:tr>
      <w:tr>
        <w:trPr>
          <w:cantSplit/>
          <w:tblHeader w:val="false"/>
        </w:trPr>
        <w:tc>
          <w:tcPr>
            <w:tcW w:type="dxa" w:w="2349"/>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근거원장이 포함된 샘플 리포트</w:t>
            </w:r>
          </w:p>
        </w:tc>
        <w:tc>
          <w:tcPr>
            <w:tcW w:type="dxa" w:w="7289"/>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각 수치가 어떤 데이터·규칙·표본에서 나왔는가, 그리고 </w:t>
            </w:r>
            <w:r>
              <w:rPr>
                <w:rFonts w:ascii="맑은 고딕" w:cs="맑은 고딕" w:eastAsia="맑은 고딕" w:hAnsi="맑은 고딕"/>
                <w:b/>
                <w:bCs/>
                <w:color w:val="1A1A1A"/>
                <w:sz w:val="18"/>
                <w:szCs w:val="18"/>
              </w:rPr>
              <w:t xml:space="preserve">무엇이 미산출인가</w:t>
            </w:r>
          </w:p>
        </w:tc>
      </w:tr>
      <w:tr>
        <w:trPr>
          <w:cantSplit/>
          <w:tblHeader w:val="false"/>
        </w:trPr>
        <w:tc>
          <w:tcPr>
            <w:tcW w:type="dxa" w:w="2349"/>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예측 이력 장부 감사 결과</w:t>
            </w:r>
          </w:p>
        </w:tc>
        <w:tc>
          <w:tcPr>
            <w:tcW w:type="dxa" w:w="7289"/>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발행된 전망이 수정되지 않았음이 해시 재계산으로 확인되는가, 불변 장치가 실제로 작동하는가</w:t>
            </w:r>
          </w:p>
        </w:tc>
      </w:tr>
    </w:tbl>
    <w:p>
      <w:pPr>
        <w:spacing w:after="200" w:before="0"/>
      </w:pPr>
    </w:p>
    <w:p>
      <w:pPr>
        <w:pStyle w:val="Heading2"/>
        <w:keepNext/>
        <w:spacing w:after="140" w:before="300"/>
      </w:pPr>
      <w:r>
        <w:rPr>
          <w:rFonts w:ascii="맑은 고딕" w:cs="맑은 고딕" w:eastAsia="맑은 고딕" w:hAnsi="맑은 고딕"/>
          <w:b/>
          <w:bCs/>
          <w:color w:val="1A1A1A"/>
          <w:sz w:val="23"/>
          <w:szCs w:val="23"/>
        </w:rPr>
        <w:t xml:space="preserve">1.7 성과에 대한 한계</w:t>
      </w:r>
    </w:p>
    <w:p>
      <w:pPr>
        <w:keepNext w:val="false"/>
        <w:spacing w:after="130" w:before="60" w:line="310"/>
        <w:jc w:val="both"/>
      </w:pPr>
      <w:r>
        <w:rPr>
          <w:rFonts w:ascii="맑은 고딕" w:cs="맑은 고딕" w:eastAsia="맑은 고딕" w:hAnsi="맑은 고딕"/>
          <w:b w:val="false"/>
          <w:bCs w:val="false"/>
          <w:i w:val="false"/>
          <w:iCs w:val="false"/>
          <w:color w:val="1A1A1A"/>
          <w:sz w:val="20"/>
          <w:szCs w:val="20"/>
        </w:rPr>
        <w:t xml:space="preserve">본 제안은 분양계약 수, 가격 상승, 광고 수익률, AI 노출을 보장하지 않습니다(중요 전제 참조). 성과는 상품·가격·시장 국면·현장 인력·예산·기간의 영향을 함께 받습니다.</w:t>
      </w:r>
    </w:p>
    <w:p>
      <w:pPr>
        <w:keepNext w:val="false"/>
        <w:spacing w:after="130" w:before="60" w:line="310"/>
        <w:jc w:val="both"/>
      </w:pPr>
      <w:r>
        <w:rPr>
          <w:rFonts w:ascii="맑은 고딕" w:cs="맑은 고딕" w:eastAsia="맑은 고딕" w:hAnsi="맑은 고딕"/>
          <w:b w:val="false"/>
          <w:bCs w:val="false"/>
          <w:i w:val="false"/>
          <w:iCs w:val="false"/>
          <w:color w:val="1A1A1A"/>
          <w:sz w:val="20"/>
          <w:szCs w:val="20"/>
        </w:rPr>
        <w:t xml:space="preserve">당사가 약속하는 것은 결과의 보장이 아니라, </w:t>
      </w:r>
      <w:r>
        <w:rPr>
          <w:rFonts w:ascii="맑은 고딕" w:cs="맑은 고딕" w:eastAsia="맑은 고딕" w:hAnsi="맑은 고딕"/>
          <w:b/>
          <w:bCs/>
          <w:i w:val="false"/>
          <w:iCs w:val="false"/>
          <w:color w:val="1A1A1A"/>
          <w:sz w:val="20"/>
          <w:szCs w:val="20"/>
        </w:rPr>
        <w:t xml:space="preserve">결과가 만들어지는 전 과정을 측정 가능하고 확인 가능하게 운영하는 것</w:t>
      </w:r>
      <w:r>
        <w:rPr>
          <w:rFonts w:ascii="맑은 고딕" w:cs="맑은 고딕" w:eastAsia="맑은 고딕" w:hAnsi="맑은 고딕"/>
          <w:b w:val="false"/>
          <w:bCs w:val="false"/>
          <w:i w:val="false"/>
          <w:iCs w:val="false"/>
          <w:color w:val="1A1A1A"/>
          <w:sz w:val="20"/>
          <w:szCs w:val="20"/>
        </w:rPr>
        <w:t xml:space="preserve">입니다. 수요 부족이 실제 원인인 현장에서는 그 사실을 데이터로 보고하고 조건 재검토를 안건화하는 것 역시 당사의 역할에 포함됩니다.</w:t>
      </w:r>
    </w:p>
    <w:p>
      <w:pPr>
        <w:pStyle w:val="Heading2"/>
        <w:keepNext/>
        <w:spacing w:after="140" w:before="300"/>
      </w:pPr>
      <w:r>
        <w:rPr>
          <w:rFonts w:ascii="맑은 고딕" w:cs="맑은 고딕" w:eastAsia="맑은 고딕" w:hAnsi="맑은 고딕"/>
          <w:b/>
          <w:bCs/>
          <w:color w:val="1A1A1A"/>
          <w:sz w:val="23"/>
          <w:szCs w:val="23"/>
        </w:rPr>
        <w:t xml:space="preserve">1.8 소결</w:t>
      </w:r>
    </w:p>
    <w:p>
      <w:pPr>
        <w:keepNext w:val="false"/>
        <w:spacing w:after="130" w:before="60" w:line="310"/>
        <w:jc w:val="both"/>
      </w:pPr>
      <w:r>
        <w:rPr>
          <w:rFonts w:ascii="맑은 고딕" w:cs="맑은 고딕" w:eastAsia="맑은 고딕" w:hAnsi="맑은 고딕"/>
          <w:b w:val="false"/>
          <w:bCs w:val="false"/>
          <w:i w:val="false"/>
          <w:iCs w:val="false"/>
          <w:color w:val="1A1A1A"/>
          <w:sz w:val="20"/>
          <w:szCs w:val="20"/>
        </w:rPr>
        <w:t xml:space="preserve">본 장에서 제시한 세 가지 — 업무 범위의 재정의(1.3), 일곱 기능의 통합(1.4), 예산·고객 원장의 결합(1.5) — 이 본 제안의 골격입니다.</w:t>
      </w:r>
    </w:p>
    <w:p>
      <w:pPr>
        <w:keepNext w:val="false"/>
        <w:spacing w:after="130" w:before="60" w:line="310"/>
        <w:jc w:val="both"/>
      </w:pPr>
      <w:r>
        <w:rPr>
          <w:rFonts w:ascii="맑은 고딕" w:cs="맑은 고딕" w:eastAsia="맑은 고딕" w:hAnsi="맑은 고딕"/>
          <w:b w:val="false"/>
          <w:bCs w:val="false"/>
          <w:i w:val="false"/>
          <w:iCs w:val="false"/>
          <w:color w:val="1A1A1A"/>
          <w:sz w:val="20"/>
          <w:szCs w:val="20"/>
        </w:rPr>
        <w:t xml:space="preserve">이어지는 제2장과 제3장은 현재의 구조가 왜 성과를 만들지 못하는지를 진단하고, 제4장 이후는 당사의 대안을 검증 가능한 형태로 기술합니다.</w:t>
      </w:r>
    </w:p>
    <w:p>
      <w:pPr>
        <w:pStyle w:val="Heading1"/>
        <w:pageBreakBefore/>
        <w:pBdr>
          <w:bottom w:val="single" w:color="1F3864" w:sz="10" w:space="8"/>
        </w:pBdr>
        <w:spacing w:after="240" w:before="0"/>
      </w:pPr>
      <w:r>
        <w:rPr>
          <w:rFonts w:ascii="맑은 고딕" w:cs="맑은 고딕" w:eastAsia="맑은 고딕" w:hAnsi="맑은 고딕"/>
          <w:b/>
          <w:bCs/>
          <w:color w:val="1F3864"/>
          <w:sz w:val="30"/>
          <w:szCs w:val="30"/>
        </w:rPr>
        <w:t xml:space="preserve">제2장. 분양 산업의 구조적 문제</w:t>
      </w:r>
    </w:p>
    <w:p>
      <w:pPr>
        <w:keepNext w:val="false"/>
        <w:spacing w:after="130" w:before="60" w:line="310"/>
        <w:jc w:val="both"/>
      </w:pPr>
      <w:r>
        <w:rPr>
          <w:rFonts w:ascii="맑은 고딕" w:cs="맑은 고딕" w:eastAsia="맑은 고딕" w:hAnsi="맑은 고딕"/>
          <w:b/>
          <w:bCs/>
          <w:i w:val="false"/>
          <w:iCs w:val="false"/>
          <w:color w:val="1A1A1A"/>
          <w:sz w:val="20"/>
          <w:szCs w:val="20"/>
        </w:rPr>
        <w:t xml:space="preserve">헤드라인.</w:t>
      </w:r>
      <w:r>
        <w:rPr>
          <w:rFonts w:ascii="맑은 고딕" w:cs="맑은 고딕" w:eastAsia="맑은 고딕" w:hAnsi="맑은 고딕"/>
          <w:b w:val="false"/>
          <w:bCs w:val="false"/>
          <w:i w:val="false"/>
          <w:iCs w:val="false"/>
          <w:color w:val="1A1A1A"/>
          <w:sz w:val="20"/>
          <w:szCs w:val="20"/>
        </w:rPr>
        <w:t xml:space="preserve"> 분양 운영의 핵심 문제는 시장 국면이 아니라, 성과를 확인할 수 없는 분업 구조에 있습니다.</w:t>
      </w:r>
    </w:p>
    <w:p>
      <w:pPr>
        <w:keepNext/>
        <w:spacing w:after="90" w:before="220"/>
      </w:pPr>
      <w:r>
        <w:rPr>
          <w:rFonts w:ascii="맑은 고딕" w:cs="맑은 고딕" w:eastAsia="맑은 고딕" w:hAnsi="맑은 고딕"/>
          <w:b/>
          <w:bCs/>
          <w:color w:val="1F3864"/>
          <w:sz w:val="18"/>
          <w:szCs w:val="18"/>
        </w:rPr>
        <w:t xml:space="preserve">[표 2-1] 장 요약</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7838"/>
      </w:tblGrid>
      <w:tr>
        <w:trPr>
          <w:cantSplit/>
          <w:tblHeader/>
        </w:trPr>
        <w:tc>
          <w:tcPr>
            <w:tcW w:type="dxa" w:w="1800"/>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구분</w:t>
            </w:r>
          </w:p>
        </w:tc>
        <w:tc>
          <w:tcPr>
            <w:tcW w:type="dxa" w:w="7838"/>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내용</w:t>
            </w:r>
          </w:p>
        </w:tc>
      </w:tr>
      <w:tr>
        <w:trPr>
          <w:cantSplit/>
          <w:tblHeader w:val="false"/>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문제 (Problem)</w:t>
            </w:r>
          </w:p>
        </w:tc>
        <w:tc>
          <w:tcPr>
            <w:tcW w:type="dxa" w:w="783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시행사는 "투자한 예산이 어떤 경로로 계약에 기여했는가"를 확인할 수 없다</w:t>
            </w:r>
          </w:p>
        </w:tc>
      </w:tr>
      <w:tr>
        <w:trPr>
          <w:cantSplit/>
          <w:tblHeader w:val="false"/>
        </w:trPr>
        <w:tc>
          <w:tcPr>
            <w:tcW w:type="dxa" w:w="180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원인 (Reason)</w:t>
            </w:r>
          </w:p>
        </w:tc>
        <w:tc>
          <w:tcPr>
            <w:tcW w:type="dxa" w:w="7838"/>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분석·광고·현장 영업이 분업되어 관점·데이터·예산 정보가 주체별로 단절되어 있다</w:t>
            </w:r>
          </w:p>
        </w:tc>
      </w:tr>
      <w:tr>
        <w:trPr>
          <w:cantSplit/>
          <w:tblHeader w:val="false"/>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방법 (Method)</w:t>
            </w:r>
          </w:p>
        </w:tc>
        <w:tc>
          <w:tcPr>
            <w:tcW w:type="dxa" w:w="783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구조를 네 개 단면(관점의 어긋남, 데이터 단절, 예산 불투명, 증빙 편향)으로 진단한다</w:t>
            </w:r>
          </w:p>
        </w:tc>
      </w:tr>
      <w:tr>
        <w:trPr>
          <w:cantSplit/>
          <w:tblHeader w:val="false"/>
        </w:trPr>
        <w:tc>
          <w:tcPr>
            <w:tcW w:type="dxa" w:w="180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기대 효과 (Effect)</w:t>
            </w:r>
          </w:p>
        </w:tc>
        <w:tc>
          <w:tcPr>
            <w:tcW w:type="dxa" w:w="7838"/>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문제의 소재가 특정되고, 해결 수단이 갖춰야 할 요건(전 구간 연결)이 도출된다</w:t>
            </w:r>
          </w:p>
        </w:tc>
      </w:tr>
    </w:tbl>
    <w:p>
      <w:pPr>
        <w:spacing w:after="200" w:before="0"/>
      </w:pPr>
    </w:p>
    <w:p>
      <w:pPr>
        <w:pStyle w:val="Heading2"/>
        <w:keepNext/>
        <w:spacing w:after="140" w:before="300"/>
      </w:pPr>
      <w:r>
        <w:rPr>
          <w:rFonts w:ascii="맑은 고딕" w:cs="맑은 고딕" w:eastAsia="맑은 고딕" w:hAnsi="맑은 고딕"/>
          <w:b/>
          <w:bCs/>
          <w:color w:val="1A1A1A"/>
          <w:sz w:val="23"/>
          <w:szCs w:val="23"/>
        </w:rPr>
        <w:t xml:space="preserve">2.1 진단의 출발점</w:t>
      </w:r>
    </w:p>
    <w:p>
      <w:pPr>
        <w:keepNext w:val="false"/>
        <w:spacing w:after="130" w:before="60" w:line="310"/>
        <w:jc w:val="both"/>
      </w:pPr>
      <w:r>
        <w:rPr>
          <w:rFonts w:ascii="맑은 고딕" w:cs="맑은 고딕" w:eastAsia="맑은 고딕" w:hAnsi="맑은 고딕"/>
          <w:b w:val="false"/>
          <w:bCs w:val="false"/>
          <w:i w:val="false"/>
          <w:iCs w:val="false"/>
          <w:color w:val="1A1A1A"/>
          <w:sz w:val="20"/>
          <w:szCs w:val="20"/>
        </w:rPr>
        <w:t xml:space="preserve">시행사가 원하는 것은 광고 결과표가 아니라 </w:t>
      </w:r>
      <w:r>
        <w:rPr>
          <w:rFonts w:ascii="맑은 고딕" w:cs="맑은 고딕" w:eastAsia="맑은 고딕" w:hAnsi="맑은 고딕"/>
          <w:b/>
          <w:bCs/>
          <w:i w:val="false"/>
          <w:iCs w:val="false"/>
          <w:color w:val="1A1A1A"/>
          <w:sz w:val="20"/>
          <w:szCs w:val="20"/>
        </w:rPr>
        <w:t xml:space="preserve">투자한 예산이 실제 매체, 고객 유입, 상담, 방문, 계약에 어떤 경로로 기여했는지의 확인</w:t>
      </w:r>
      <w:r>
        <w:rPr>
          <w:rFonts w:ascii="맑은 고딕" w:cs="맑은 고딕" w:eastAsia="맑은 고딕" w:hAnsi="맑은 고딕"/>
          <w:b w:val="false"/>
          <w:bCs w:val="false"/>
          <w:i w:val="false"/>
          <w:iCs w:val="false"/>
          <w:color w:val="1A1A1A"/>
          <w:sz w:val="20"/>
          <w:szCs w:val="20"/>
        </w:rPr>
        <w:t xml:space="preserve">입니다. 다수 현장의 현실은 이와 다릅니다.</w:t>
      </w:r>
    </w:p>
    <w:p>
      <w:pPr>
        <w:pStyle w:val="ListParagraph"/>
        <w:numPr>
          <w:ilvl w:val="0"/>
          <w:numId w:val="2"/>
        </w:numPr>
        <w:spacing w:after="30" w:before="30" w:line="290"/>
      </w:pPr>
      <w:r>
        <w:rPr>
          <w:rFonts w:ascii="맑은 고딕" w:cs="맑은 고딕" w:eastAsia="맑은 고딕" w:hAnsi="맑은 고딕"/>
          <w:color w:val="1A1A1A"/>
          <w:sz w:val="20"/>
          <w:szCs w:val="20"/>
        </w:rPr>
        <w:t xml:space="preserve">견적서와 세금계산서는 남지만, 매체별 실제 사용 금액과 광고계정 화면은 확인하기 어렵습니다.</w:t>
      </w:r>
    </w:p>
    <w:p>
      <w:pPr>
        <w:pStyle w:val="ListParagraph"/>
        <w:numPr>
          <w:ilvl w:val="0"/>
          <w:numId w:val="2"/>
        </w:numPr>
        <w:spacing w:after="30" w:before="30" w:line="290"/>
      </w:pPr>
      <w:r>
        <w:rPr>
          <w:rFonts w:ascii="맑은 고딕" w:cs="맑은 고딕" w:eastAsia="맑은 고딕" w:hAnsi="맑은 고딕"/>
          <w:color w:val="1A1A1A"/>
          <w:sz w:val="20"/>
          <w:szCs w:val="20"/>
        </w:rPr>
        <w:t xml:space="preserve">광고 DB를 누가 언제 어떻게 처리했는지는 별도 보고를 요청해야만 확인됩니다.</w:t>
      </w:r>
    </w:p>
    <w:p>
      <w:pPr>
        <w:pStyle w:val="ListParagraph"/>
        <w:numPr>
          <w:ilvl w:val="0"/>
          <w:numId w:val="2"/>
        </w:numPr>
        <w:spacing w:after="30" w:before="30" w:line="290"/>
      </w:pPr>
      <w:r>
        <w:rPr>
          <w:rFonts w:ascii="맑은 고딕" w:cs="맑은 고딕" w:eastAsia="맑은 고딕" w:hAnsi="맑은 고딕"/>
          <w:color w:val="1A1A1A"/>
          <w:sz w:val="20"/>
          <w:szCs w:val="20"/>
        </w:rPr>
        <w:t xml:space="preserve">계약이 발생해도 그 고객이 어떤 광고를 보고 들어왔는지 소급할 수 없습니다.</w:t>
      </w:r>
    </w:p>
    <w:p>
      <w:pPr>
        <w:spacing w:after="100" w:before="0"/>
      </w:pPr>
    </w:p>
    <w:p>
      <w:pPr>
        <w:keepNext w:val="false"/>
        <w:spacing w:after="130" w:before="60" w:line="310"/>
        <w:jc w:val="both"/>
      </w:pPr>
      <w:r>
        <w:rPr>
          <w:rFonts w:ascii="맑은 고딕" w:cs="맑은 고딕" w:eastAsia="맑은 고딕" w:hAnsi="맑은 고딕"/>
          <w:b w:val="false"/>
          <w:bCs w:val="false"/>
          <w:i w:val="false"/>
          <w:iCs w:val="false"/>
          <w:color w:val="1A1A1A"/>
          <w:sz w:val="20"/>
          <w:szCs w:val="20"/>
        </w:rPr>
        <w:t xml:space="preserve">이 간극은 특정 업체의 불성실에서 발생하는 것이 아닙니다. 분석·광고·현장 영업이 분리된 구조에서 각 주체는 자기 영역을 성실히 수행하더라도, </w:t>
      </w:r>
      <w:r>
        <w:rPr>
          <w:rFonts w:ascii="맑은 고딕" w:cs="맑은 고딕" w:eastAsia="맑은 고딕" w:hAnsi="맑은 고딕"/>
          <w:b/>
          <w:bCs/>
          <w:i w:val="false"/>
          <w:iCs w:val="false"/>
          <w:color w:val="1A1A1A"/>
          <w:sz w:val="20"/>
          <w:szCs w:val="20"/>
        </w:rPr>
        <w:t xml:space="preserve">영역 간 데이터가 연결되지 않으므로 전체 경로를 아는 주체가 존재하지 않습니다.</w:t>
      </w:r>
    </w:p>
    <w:p>
      <w:pPr>
        <w:pStyle w:val="Heading2"/>
        <w:keepNext/>
        <w:spacing w:after="140" w:before="300"/>
      </w:pPr>
      <w:r>
        <w:rPr>
          <w:rFonts w:ascii="맑은 고딕" w:cs="맑은 고딕" w:eastAsia="맑은 고딕" w:hAnsi="맑은 고딕"/>
          <w:b/>
          <w:bCs/>
          <w:color w:val="1A1A1A"/>
          <w:sz w:val="23"/>
          <w:szCs w:val="23"/>
        </w:rPr>
        <w:t xml:space="preserve">2.2 단면 ① — 현장의 강점과 고객의 질문이 어긋나 있다</w:t>
      </w:r>
    </w:p>
    <w:p>
      <w:pPr>
        <w:keepNext w:val="false"/>
        <w:spacing w:after="130" w:before="60" w:line="310"/>
        <w:jc w:val="both"/>
      </w:pPr>
      <w:r>
        <w:rPr>
          <w:rFonts w:ascii="맑은 고딕" w:cs="맑은 고딕" w:eastAsia="맑은 고딕" w:hAnsi="맑은 고딕"/>
          <w:b w:val="false"/>
          <w:bCs w:val="false"/>
          <w:i w:val="false"/>
          <w:iCs w:val="false"/>
          <w:color w:val="1A1A1A"/>
          <w:sz w:val="20"/>
          <w:szCs w:val="20"/>
        </w:rPr>
        <w:t xml:space="preserve">오늘의 수요자는 모델하우스 방문 전에 실거래가를 조회하고, 커뮤니티에서 경쟁 현장을 비교하며, 대출 한도를 계산한 상태로 도착합니다.</w:t>
      </w:r>
    </w:p>
    <w:p>
      <w:pPr>
        <w:keepNext/>
        <w:spacing w:after="90" w:before="220"/>
      </w:pPr>
      <w:r>
        <w:rPr>
          <w:rFonts w:ascii="맑은 고딕" w:cs="맑은 고딕" w:eastAsia="맑은 고딕" w:hAnsi="맑은 고딕"/>
          <w:b/>
          <w:bCs/>
          <w:color w:val="1F3864"/>
          <w:sz w:val="18"/>
          <w:szCs w:val="18"/>
        </w:rPr>
        <w:t xml:space="preserve">[표 2-2] 현장이 말하는 것과 고객이 묻는 것</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5"/>
        <w:gridCol w:w="7453"/>
      </w:tblGrid>
      <w:tr>
        <w:trPr>
          <w:cantSplit/>
          <w:tblHeader/>
        </w:trPr>
        <w:tc>
          <w:tcPr>
            <w:tcW w:type="dxa" w:w="2185"/>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현장이 말하는 것</w:t>
            </w:r>
          </w:p>
        </w:tc>
        <w:tc>
          <w:tcPr>
            <w:tcW w:type="dxa" w:w="7453"/>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고객이 실제로 묻는 것</w:t>
            </w:r>
          </w:p>
        </w:tc>
      </w:tr>
      <w:tr>
        <w:trPr>
          <w:cantSplit/>
          <w:tblHeader w:val="false"/>
        </w:trPr>
        <w:tc>
          <w:tcPr>
            <w:tcW w:type="dxa" w:w="2185"/>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역세권·개발호재</w:t>
            </w:r>
          </w:p>
        </w:tc>
        <w:tc>
          <w:tcPr>
            <w:tcW w:type="dxa" w:w="745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실제로 어느 단계까지 진행됐고, 입주 시점에 체감 가능한가?</w:t>
            </w:r>
          </w:p>
        </w:tc>
      </w:tr>
      <w:tr>
        <w:trPr>
          <w:cantSplit/>
          <w:tblHeader w:val="false"/>
        </w:trPr>
        <w:tc>
          <w:tcPr>
            <w:tcW w:type="dxa" w:w="2185"/>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특별혜택·계약조건</w:t>
            </w:r>
          </w:p>
        </w:tc>
        <w:tc>
          <w:tcPr>
            <w:tcW w:type="dxa" w:w="7453"/>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총취득원가는 얼마이며, 주변 대안보다 합리적인가?</w:t>
            </w:r>
          </w:p>
        </w:tc>
      </w:tr>
      <w:tr>
        <w:trPr>
          <w:cantSplit/>
          <w:tblHeader w:val="false"/>
        </w:trPr>
        <w:tc>
          <w:tcPr>
            <w:tcW w:type="dxa" w:w="2185"/>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미래가치</w:t>
            </w:r>
          </w:p>
        </w:tc>
        <w:tc>
          <w:tcPr>
            <w:tcW w:type="dxa" w:w="745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상승 전제와 하락 위험을 함께 봤을 때 어떤 판단이 가능한가?</w:t>
            </w:r>
          </w:p>
        </w:tc>
      </w:tr>
      <w:tr>
        <w:trPr>
          <w:cantSplit/>
          <w:tblHeader w:val="false"/>
        </w:trPr>
        <w:tc>
          <w:tcPr>
            <w:tcW w:type="dxa" w:w="2185"/>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입지 우수성</w:t>
            </w:r>
          </w:p>
        </w:tc>
        <w:tc>
          <w:tcPr>
            <w:tcW w:type="dxa" w:w="7453"/>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누가 실제로 유입될 수 있고, 생활권이 어떻게 달라지는가?</w:t>
            </w:r>
          </w:p>
        </w:tc>
      </w:tr>
    </w:tbl>
    <w:p>
      <w:pPr>
        <w:spacing w:after="200" w:before="0"/>
      </w:pPr>
    </w:p>
    <w:p>
      <w:pPr>
        <w:keepNext w:val="false"/>
        <w:spacing w:after="130" w:before="60" w:line="310"/>
        <w:jc w:val="both"/>
      </w:pPr>
      <w:r>
        <w:rPr>
          <w:rFonts w:ascii="맑은 고딕" w:cs="맑은 고딕" w:eastAsia="맑은 고딕" w:hAnsi="맑은 고딕"/>
          <w:b w:val="false"/>
          <w:bCs w:val="false"/>
          <w:i w:val="false"/>
          <w:iCs w:val="false"/>
          <w:color w:val="1A1A1A"/>
          <w:sz w:val="20"/>
          <w:szCs w:val="20"/>
        </w:rPr>
        <w:t xml:space="preserve">판매 논리가 정리되지 않으면 광고는 혜택·호재·마감 문구를 반복하게 됩니다. 이 문구들은 </w:t>
      </w:r>
      <w:r>
        <w:rPr>
          <w:rFonts w:ascii="맑은 고딕" w:cs="맑은 고딕" w:eastAsia="맑은 고딕" w:hAnsi="맑은 고딕"/>
          <w:b/>
          <w:bCs/>
          <w:i w:val="false"/>
          <w:iCs w:val="false"/>
          <w:color w:val="1A1A1A"/>
          <w:sz w:val="20"/>
          <w:szCs w:val="20"/>
        </w:rPr>
        <w:t xml:space="preserve">가격을 진지하게 검토하는 고객, 즉 계약에 가장 가까운 고객의 질문에 답하지 못합니다.</w:t>
      </w:r>
    </w:p>
    <w:p>
      <w:pPr>
        <w:pStyle w:val="Heading2"/>
        <w:keepNext/>
        <w:spacing w:after="140" w:before="300"/>
      </w:pPr>
      <w:r>
        <w:rPr>
          <w:rFonts w:ascii="맑은 고딕" w:cs="맑은 고딕" w:eastAsia="맑은 고딕" w:hAnsi="맑은 고딕"/>
          <w:b/>
          <w:bCs/>
          <w:color w:val="1A1A1A"/>
          <w:sz w:val="23"/>
          <w:szCs w:val="23"/>
        </w:rPr>
        <w:t xml:space="preserve">2.3 단면 ② — 광고 데이터와 현장 영업 데이터가 끊겨 있다</w:t>
      </w:r>
    </w:p>
    <w:p>
      <w:pPr>
        <w:keepNext/>
        <w:spacing w:after="90" w:before="220"/>
      </w:pPr>
      <w:r>
        <w:rPr>
          <w:rFonts w:ascii="맑은 고딕" w:cs="맑은 고딕" w:eastAsia="맑은 고딕" w:hAnsi="맑은 고딕"/>
          <w:b/>
          <w:bCs/>
          <w:color w:val="1F3864"/>
          <w:sz w:val="18"/>
          <w:szCs w:val="18"/>
        </w:rPr>
        <w:t xml:space="preserve">[표 2-3] 두 영역이 보유한 데이터</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89"/>
        <w:gridCol w:w="4949"/>
      </w:tblGrid>
      <w:tr>
        <w:trPr>
          <w:cantSplit/>
          <w:tblHeader/>
        </w:trPr>
        <w:tc>
          <w:tcPr>
            <w:tcW w:type="dxa" w:w="4689"/>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광고 영역</w:t>
            </w:r>
          </w:p>
        </w:tc>
        <w:tc>
          <w:tcPr>
            <w:tcW w:type="dxa" w:w="4949"/>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현장 영업 영역</w:t>
            </w:r>
          </w:p>
        </w:tc>
      </w:tr>
      <w:tr>
        <w:trPr>
          <w:cantSplit/>
          <w:tblHeader w:val="false"/>
        </w:trPr>
        <w:tc>
          <w:tcPr>
            <w:tcW w:type="dxa" w:w="4689"/>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노출·클릭·DB 건수</w:t>
            </w:r>
          </w:p>
        </w:tc>
        <w:tc>
          <w:tcPr>
            <w:tcW w:type="dxa" w:w="4949"/>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연락 이력·상담 내용</w:t>
            </w:r>
          </w:p>
        </w:tc>
      </w:tr>
      <w:tr>
        <w:trPr>
          <w:cantSplit/>
          <w:tblHeader w:val="false"/>
        </w:trPr>
        <w:tc>
          <w:tcPr>
            <w:tcW w:type="dxa" w:w="4689"/>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캠페인·소재별 성과</w:t>
            </w:r>
          </w:p>
        </w:tc>
        <w:tc>
          <w:tcPr>
            <w:tcW w:type="dxa" w:w="4949"/>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고객 감도·거절 사유</w:t>
            </w:r>
          </w:p>
        </w:tc>
      </w:tr>
      <w:tr>
        <w:trPr>
          <w:cantSplit/>
          <w:tblHeader w:val="false"/>
        </w:trPr>
        <w:tc>
          <w:tcPr>
            <w:tcW w:type="dxa" w:w="4689"/>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DB당 광고비</w:t>
            </w:r>
          </w:p>
        </w:tc>
        <w:tc>
          <w:tcPr>
            <w:tcW w:type="dxa" w:w="4949"/>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방문 예약·실제 방문</w:t>
            </w:r>
          </w:p>
        </w:tc>
      </w:tr>
      <w:tr>
        <w:trPr>
          <w:cantSplit/>
          <w:tblHeader w:val="false"/>
        </w:trPr>
        <w:tc>
          <w:tcPr>
            <w:tcW w:type="dxa" w:w="4689"/>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매체별 리드</w:t>
            </w:r>
          </w:p>
        </w:tc>
        <w:tc>
          <w:tcPr>
            <w:tcW w:type="dxa" w:w="4949"/>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계약 검토·계약 완료</w:t>
            </w:r>
          </w:p>
        </w:tc>
      </w:tr>
    </w:tbl>
    <w:p>
      <w:pPr>
        <w:spacing w:after="200" w:before="0"/>
      </w:pPr>
    </w:p>
    <w:p>
      <w:pPr>
        <w:keepNext w:val="false"/>
        <w:spacing w:after="130" w:before="60" w:line="310"/>
        <w:jc w:val="both"/>
      </w:pPr>
      <w:r>
        <w:rPr>
          <w:rFonts w:ascii="맑은 고딕" w:cs="맑은 고딕" w:eastAsia="맑은 고딕" w:hAnsi="맑은 고딕"/>
          <w:b w:val="false"/>
          <w:bCs w:val="false"/>
          <w:i w:val="false"/>
          <w:iCs w:val="false"/>
          <w:color w:val="1A1A1A"/>
          <w:sz w:val="20"/>
          <w:szCs w:val="20"/>
        </w:rPr>
        <w:t xml:space="preserve">두 데이터가 연결되지 않을 때 발생하는 손실은 세 가지입니다.</w:t>
      </w:r>
    </w:p>
    <w:p>
      <w:pPr>
        <w:keepNext w:val="false"/>
        <w:spacing w:after="130" w:before="60" w:line="310"/>
        <w:jc w:val="both"/>
      </w:pPr>
      <w:r>
        <w:rPr>
          <w:rFonts w:ascii="맑은 고딕" w:cs="맑은 고딕" w:eastAsia="맑은 고딕" w:hAnsi="맑은 고딕"/>
          <w:b/>
          <w:bCs/>
          <w:i w:val="false"/>
          <w:iCs w:val="false"/>
          <w:color w:val="1A1A1A"/>
          <w:sz w:val="20"/>
          <w:szCs w:val="20"/>
        </w:rPr>
        <w:t xml:space="preserve">첫째, 싼 DB와 방문 가능한 DB를 구분하지 못합니다.</w:t>
      </w:r>
      <w:r>
        <w:rPr>
          <w:rFonts w:ascii="맑은 고딕" w:cs="맑은 고딕" w:eastAsia="맑은 고딕" w:hAnsi="맑은 고딕"/>
          <w:b w:val="false"/>
          <w:bCs w:val="false"/>
          <w:i w:val="false"/>
          <w:iCs w:val="false"/>
          <w:color w:val="1A1A1A"/>
          <w:sz w:val="20"/>
          <w:szCs w:val="20"/>
        </w:rPr>
        <w:t xml:space="preserve"> DB 단가가 낮은 채널이 우수한 채널로 평가되지만, 그 DB가 상담·방문으로 이어지는지는 측정되지 않습니다.</w:t>
      </w:r>
    </w:p>
    <w:p>
      <w:pPr>
        <w:keepNext w:val="false"/>
        <w:spacing w:after="130" w:before="60" w:line="310"/>
        <w:jc w:val="both"/>
      </w:pPr>
      <w:r>
        <w:rPr>
          <w:rFonts w:ascii="맑은 고딕" w:cs="맑은 고딕" w:eastAsia="맑은 고딕" w:hAnsi="맑은 고딕"/>
          <w:b/>
          <w:bCs/>
          <w:i w:val="false"/>
          <w:iCs w:val="false"/>
          <w:color w:val="1A1A1A"/>
          <w:sz w:val="20"/>
          <w:szCs w:val="20"/>
        </w:rPr>
        <w:t xml:space="preserve">둘째, 광고비가 계약에 연결됐는지 확인할 수 없습니다.</w:t>
      </w:r>
      <w:r>
        <w:rPr>
          <w:rFonts w:ascii="맑은 고딕" w:cs="맑은 고딕" w:eastAsia="맑은 고딕" w:hAnsi="맑은 고딕"/>
          <w:b w:val="false"/>
          <w:bCs w:val="false"/>
          <w:i w:val="false"/>
          <w:iCs w:val="false"/>
          <w:color w:val="1A1A1A"/>
          <w:sz w:val="20"/>
          <w:szCs w:val="20"/>
        </w:rPr>
        <w:t xml:space="preserve"> 어떤 소재가 계약 고객을 유입시켰는지 모르므로, 잘된 것을 늘리고 안 된 것을 줄이는 기본적인 최적화가 불가능합니다.</w:t>
      </w:r>
    </w:p>
    <w:p>
      <w:pPr>
        <w:keepNext w:val="false"/>
        <w:spacing w:after="130" w:before="60" w:line="310"/>
        <w:jc w:val="both"/>
      </w:pPr>
      <w:r>
        <w:rPr>
          <w:rFonts w:ascii="맑은 고딕" w:cs="맑은 고딕" w:eastAsia="맑은 고딕" w:hAnsi="맑은 고딕"/>
          <w:b/>
          <w:bCs/>
          <w:i w:val="false"/>
          <w:iCs w:val="false"/>
          <w:color w:val="1A1A1A"/>
          <w:sz w:val="20"/>
          <w:szCs w:val="20"/>
        </w:rPr>
        <w:t xml:space="preserve">셋째, DB 처리 상태가 담당자 개인에게 귀속됩니다.</w:t>
      </w:r>
      <w:r>
        <w:rPr>
          <w:rFonts w:ascii="맑은 고딕" w:cs="맑은 고딕" w:eastAsia="맑은 고딕" w:hAnsi="맑은 고딕"/>
          <w:b w:val="false"/>
          <w:bCs w:val="false"/>
          <w:i w:val="false"/>
          <w:iCs w:val="false"/>
          <w:color w:val="1A1A1A"/>
          <w:sz w:val="20"/>
          <w:szCs w:val="20"/>
        </w:rPr>
        <w:t xml:space="preserve"> 엑셀·메신저로 전달된 이후 연락 누락과 지연이 관리 사각지대에서 발생하며, 인력 이탈 시 해당 고객군의 이력이 소멸합니다.</w:t>
      </w:r>
    </w:p>
    <w:p>
      <w:pPr>
        <w:pStyle w:val="Heading2"/>
        <w:keepNext/>
        <w:spacing w:after="140" w:before="300"/>
      </w:pPr>
      <w:r>
        <w:rPr>
          <w:rFonts w:ascii="맑은 고딕" w:cs="맑은 고딕" w:eastAsia="맑은 고딕" w:hAnsi="맑은 고딕"/>
          <w:b/>
          <w:bCs/>
          <w:color w:val="1A1A1A"/>
          <w:sz w:val="23"/>
          <w:szCs w:val="23"/>
        </w:rPr>
        <w:t xml:space="preserve">2.4 단면 ③ — 광고비의 사용처가 검증되지 않는다</w:t>
      </w:r>
    </w:p>
    <w:p>
      <w:pPr>
        <w:keepNext w:val="false"/>
        <w:spacing w:after="130" w:before="60" w:line="310"/>
        <w:jc w:val="both"/>
      </w:pPr>
      <w:r>
        <w:rPr>
          <w:rFonts w:ascii="맑은 고딕" w:cs="맑은 고딕" w:eastAsia="맑은 고딕" w:hAnsi="맑은 고딕"/>
          <w:b w:val="false"/>
          <w:bCs w:val="false"/>
          <w:i w:val="false"/>
          <w:iCs w:val="false"/>
          <w:color w:val="1A1A1A"/>
          <w:sz w:val="20"/>
          <w:szCs w:val="20"/>
        </w:rPr>
        <w:t xml:space="preserve">예산 불투명성은 독립적인 구조 문제입니다.</w:t>
      </w:r>
    </w:p>
    <w:p>
      <w:pPr>
        <w:keepNext/>
        <w:spacing w:after="90" w:before="220"/>
      </w:pPr>
      <w:r>
        <w:rPr>
          <w:rFonts w:ascii="맑은 고딕" w:cs="맑은 고딕" w:eastAsia="맑은 고딕" w:hAnsi="맑은 고딕"/>
          <w:b/>
          <w:bCs/>
          <w:color w:val="1F3864"/>
          <w:sz w:val="18"/>
          <w:szCs w:val="18"/>
        </w:rPr>
        <w:t xml:space="preserve">[표 2-4] 예산 통제가 어려운 지점</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7838"/>
      </w:tblGrid>
      <w:tr>
        <w:trPr>
          <w:cantSplit/>
          <w:tblHeader/>
        </w:trPr>
        <w:tc>
          <w:tcPr>
            <w:tcW w:type="dxa" w:w="1800"/>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지점</w:t>
            </w:r>
          </w:p>
        </w:tc>
        <w:tc>
          <w:tcPr>
            <w:tcW w:type="dxa" w:w="7838"/>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현상</w:t>
            </w:r>
          </w:p>
        </w:tc>
      </w:tr>
      <w:tr>
        <w:trPr>
          <w:cantSplit/>
          <w:tblHeader w:val="false"/>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실집행 확인</w:t>
            </w:r>
          </w:p>
        </w:tc>
        <w:tc>
          <w:tcPr>
            <w:tcW w:type="dxa" w:w="783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견적서·세금계산서만 발행되고 실제 매체 집행 내역은 확인 곤란</w:t>
            </w:r>
          </w:p>
        </w:tc>
      </w:tr>
      <w:tr>
        <w:trPr>
          <w:cantSplit/>
          <w:tblHeader w:val="false"/>
        </w:trPr>
        <w:tc>
          <w:tcPr>
            <w:tcW w:type="dxa" w:w="180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비용 구분</w:t>
            </w:r>
          </w:p>
        </w:tc>
        <w:tc>
          <w:tcPr>
            <w:tcW w:type="dxa" w:w="7838"/>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광고비·대행수수료·콘텐츠 제작비가 한 금액으로 제시되어 동일 조건 비교 불가</w:t>
            </w:r>
          </w:p>
        </w:tc>
      </w:tr>
      <w:tr>
        <w:trPr>
          <w:cantSplit/>
          <w:tblHeader w:val="false"/>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계정 접근</w:t>
            </w:r>
          </w:p>
        </w:tc>
        <w:tc>
          <w:tcPr>
            <w:tcW w:type="dxa" w:w="783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광고계정 접근 권한이 제공되지 않거나 가공된 결과 리포트만 전달</w:t>
            </w:r>
          </w:p>
        </w:tc>
      </w:tr>
      <w:tr>
        <w:trPr>
          <w:cantSplit/>
          <w:tblHeader w:val="false"/>
        </w:trPr>
        <w:tc>
          <w:tcPr>
            <w:tcW w:type="dxa" w:w="180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집행 추적</w:t>
            </w:r>
          </w:p>
        </w:tc>
        <w:tc>
          <w:tcPr>
            <w:tcW w:type="dxa" w:w="7838"/>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캠페인별 기간, 일별 사용액, 충전 내역, 잔여 예산의 확인 곤란</w:t>
            </w:r>
          </w:p>
        </w:tc>
      </w:tr>
      <w:tr>
        <w:trPr>
          <w:cantSplit/>
          <w:tblHeader w:val="false"/>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견적-실집행 차이</w:t>
            </w:r>
          </w:p>
        </w:tc>
        <w:tc>
          <w:tcPr>
            <w:tcW w:type="dxa" w:w="783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견적 금액과 실제 매체 집행 금액 사이의 차이 발생 가능</w:t>
            </w:r>
          </w:p>
        </w:tc>
      </w:tr>
    </w:tbl>
    <w:p>
      <w:pPr>
        <w:spacing w:after="200" w:before="0"/>
      </w:pPr>
    </w:p>
    <w:p>
      <w:pPr>
        <w:keepNext w:val="false"/>
        <w:spacing w:after="130" w:before="60" w:line="310"/>
        <w:jc w:val="both"/>
      </w:pPr>
      <w:r>
        <w:rPr>
          <w:rFonts w:ascii="맑은 고딕" w:cs="맑은 고딕" w:eastAsia="맑은 고딕" w:hAnsi="맑은 고딕"/>
          <w:b/>
          <w:bCs/>
          <w:i w:val="false"/>
          <w:iCs w:val="false"/>
          <w:color w:val="1A1A1A"/>
          <w:sz w:val="20"/>
          <w:szCs w:val="20"/>
        </w:rPr>
        <w:t xml:space="preserve">1+1 광고비 지원 구조</w:t>
      </w:r>
      <w:r>
        <w:rPr>
          <w:rFonts w:ascii="맑은 고딕" w:cs="맑은 고딕" w:eastAsia="맑은 고딕" w:hAnsi="맑은 고딕"/>
          <w:b w:val="false"/>
          <w:bCs w:val="false"/>
          <w:i w:val="false"/>
          <w:iCs w:val="false"/>
          <w:color w:val="1A1A1A"/>
          <w:sz w:val="20"/>
          <w:szCs w:val="20"/>
        </w:rPr>
        <w:t xml:space="preserve">에서는 이 문제가 증폭됩니다. 직원·팀이 광고비를 부담하면 현장·본부가 동액을 지원하는 방식은 현장 참여를 높이는 장점이 있으나, 부담금과 지원금, 수수료, 제작비, 실집행액이 한 견적서에 혼재되면 정산 통제가 약해집니다.</w:t>
      </w:r>
    </w:p>
    <w:p>
      <w:pPr>
        <w:keepNext w:val="false"/>
        <w:spacing w:after="130" w:before="60" w:line="310"/>
        <w:jc w:val="both"/>
      </w:pPr>
      <w:r>
        <w:rPr>
          <w:rFonts w:ascii="맑은 고딕" w:cs="맑은 고딕" w:eastAsia="맑은 고딕" w:hAnsi="맑은 고딕"/>
          <w:b w:val="false"/>
          <w:bCs w:val="false"/>
          <w:i w:val="false"/>
          <w:iCs w:val="false"/>
          <w:color w:val="1A1A1A"/>
          <w:sz w:val="20"/>
          <w:szCs w:val="20"/>
        </w:rPr>
        <w:t xml:space="preserve">문제의 본질은 지원 제도 자체가 아니라 </w:t>
      </w:r>
      <w:r>
        <w:rPr>
          <w:rFonts w:ascii="맑은 고딕" w:cs="맑은 고딕" w:eastAsia="맑은 고딕" w:hAnsi="맑은 고딕"/>
          <w:b/>
          <w:bCs/>
          <w:i w:val="false"/>
          <w:iCs w:val="false"/>
          <w:color w:val="1A1A1A"/>
          <w:sz w:val="20"/>
          <w:szCs w:val="20"/>
        </w:rPr>
        <w:t xml:space="preserve">"누가 부담했고, 어떤 매체에 언제 얼마가 집행됐으며, 잔액이 어떻게 처리됐는가"가 추적되지 않는다는 점</w:t>
      </w:r>
      <w:r>
        <w:rPr>
          <w:rFonts w:ascii="맑은 고딕" w:cs="맑은 고딕" w:eastAsia="맑은 고딕" w:hAnsi="맑은 고딕"/>
          <w:b w:val="false"/>
          <w:bCs w:val="false"/>
          <w:i w:val="false"/>
          <w:iCs w:val="false"/>
          <w:color w:val="1A1A1A"/>
          <w:sz w:val="20"/>
          <w:szCs w:val="20"/>
        </w:rPr>
        <w:t xml:space="preserve">입니다.</w:t>
      </w:r>
    </w:p>
    <w:p>
      <w:pPr>
        <w:pStyle w:val="Heading2"/>
        <w:keepNext/>
        <w:spacing w:after="140" w:before="300"/>
      </w:pPr>
      <w:r>
        <w:rPr>
          <w:rFonts w:ascii="맑은 고딕" w:cs="맑은 고딕" w:eastAsia="맑은 고딕" w:hAnsi="맑은 고딕"/>
          <w:b/>
          <w:bCs/>
          <w:color w:val="1A1A1A"/>
          <w:sz w:val="23"/>
          <w:szCs w:val="23"/>
        </w:rPr>
        <w:t xml:space="preserve">2.5 단면 ④ — 증빙 편향이 예산 배분을 왜곡한다</w:t>
      </w:r>
    </w:p>
    <w:p>
      <w:pPr>
        <w:keepNext w:val="false"/>
        <w:spacing w:after="130" w:before="60" w:line="310"/>
        <w:jc w:val="both"/>
      </w:pPr>
      <w:r>
        <w:rPr>
          <w:rFonts w:ascii="맑은 고딕" w:cs="맑은 고딕" w:eastAsia="맑은 고딕" w:hAnsi="맑은 고딕"/>
          <w:b w:val="false"/>
          <w:bCs w:val="false"/>
          <w:i w:val="false"/>
          <w:iCs w:val="false"/>
          <w:color w:val="1A1A1A"/>
          <w:sz w:val="20"/>
          <w:szCs w:val="20"/>
        </w:rPr>
        <w:t xml:space="preserve">발송 건수 확인이 쉬운 매체에 예산이 집중되는 현상이 관찰됩니다. LMS는 발송량과 단가가 명확히 증빙되므로 예산 소진과 보고에 유리하지만, 그 발송이 상담 연결·방문·계약으로 이어졌는지는 별도로 측정되지 않습니다.</w:t>
      </w:r>
    </w:p>
    <w:p>
      <w:pPr>
        <w:keepNext w:val="false"/>
        <w:spacing w:after="130" w:before="60" w:line="310"/>
        <w:jc w:val="both"/>
      </w:pPr>
      <w:r>
        <w:rPr>
          <w:rFonts w:ascii="맑은 고딕" w:cs="맑은 고딕" w:eastAsia="맑은 고딕" w:hAnsi="맑은 고딕"/>
          <w:b w:val="false"/>
          <w:bCs w:val="false"/>
          <w:i w:val="false"/>
          <w:iCs w:val="false"/>
          <w:color w:val="1A1A1A"/>
          <w:sz w:val="20"/>
          <w:szCs w:val="20"/>
        </w:rPr>
        <w:t xml:space="preserve">그 결과 운영 목표가 </w:t>
      </w:r>
      <w:r>
        <w:rPr>
          <w:rFonts w:ascii="맑은 고딕" w:cs="맑은 고딕" w:eastAsia="맑은 고딕" w:hAnsi="맑은 고딕"/>
          <w:b/>
          <w:bCs/>
          <w:i w:val="false"/>
          <w:iCs w:val="false"/>
          <w:color w:val="1A1A1A"/>
          <w:sz w:val="20"/>
          <w:szCs w:val="20"/>
        </w:rPr>
        <w:t xml:space="preserve">신규 수요 발굴에서 단기 증빙 확보로 이동</w:t>
      </w:r>
      <w:r>
        <w:rPr>
          <w:rFonts w:ascii="맑은 고딕" w:cs="맑은 고딕" w:eastAsia="맑은 고딕" w:hAnsi="맑은 고딕"/>
          <w:b w:val="false"/>
          <w:bCs w:val="false"/>
          <w:i w:val="false"/>
          <w:iCs w:val="false"/>
          <w:color w:val="1A1A1A"/>
          <w:sz w:val="20"/>
          <w:szCs w:val="20"/>
        </w:rPr>
        <w:t xml:space="preserve">합니다. 이는 개별 담당자의 판단 오류가 아니라, 증빙 가능한 것만 평가되는 구조가 유도하는 결과입니다.</w:t>
      </w:r>
    </w:p>
    <w:p>
      <w:pPr>
        <w:pStyle w:val="Heading2"/>
        <w:keepNext/>
        <w:spacing w:after="140" w:before="300"/>
      </w:pPr>
      <w:r>
        <w:rPr>
          <w:rFonts w:ascii="맑은 고딕" w:cs="맑은 고딕" w:eastAsia="맑은 고딕" w:hAnsi="맑은 고딕"/>
          <w:b/>
          <w:bCs/>
          <w:color w:val="1A1A1A"/>
          <w:sz w:val="23"/>
          <w:szCs w:val="23"/>
        </w:rPr>
        <w:t xml:space="preserve">2.6 소결</w:t>
      </w:r>
    </w:p>
    <w:p>
      <w:pPr>
        <w:keepNext w:val="false"/>
        <w:spacing w:after="130" w:before="60" w:line="310"/>
        <w:jc w:val="both"/>
      </w:pPr>
      <w:r>
        <w:rPr>
          <w:rFonts w:ascii="맑은 고딕" w:cs="맑은 고딕" w:eastAsia="맑은 고딕" w:hAnsi="맑은 고딕"/>
          <w:b w:val="false"/>
          <w:bCs w:val="false"/>
          <w:i w:val="false"/>
          <w:iCs w:val="false"/>
          <w:color w:val="1A1A1A"/>
          <w:sz w:val="20"/>
          <w:szCs w:val="20"/>
        </w:rPr>
        <w:t xml:space="preserve">현장에서 필요한 증빙은 견적서가 아닙니다. </w:t>
      </w:r>
      <w:r>
        <w:rPr>
          <w:rFonts w:ascii="맑은 고딕" w:cs="맑은 고딕" w:eastAsia="맑은 고딕" w:hAnsi="맑은 고딕"/>
          <w:b/>
          <w:bCs/>
          <w:i w:val="false"/>
          <w:iCs w:val="false"/>
          <w:color w:val="1A1A1A"/>
          <w:sz w:val="20"/>
          <w:szCs w:val="20"/>
        </w:rPr>
        <w:t xml:space="preserve">실제로 어느 매체에 얼마가 사용됐고, 어떤 고객이 유입됐으며, 그 고객이 상담·방문·계약으로 어떻게 이동했는지</w:t>
      </w:r>
      <w:r>
        <w:rPr>
          <w:rFonts w:ascii="맑은 고딕" w:cs="맑은 고딕" w:eastAsia="맑은 고딕" w:hAnsi="맑은 고딕"/>
          <w:b w:val="false"/>
          <w:bCs w:val="false"/>
          <w:i w:val="false"/>
          <w:iCs w:val="false"/>
          <w:color w:val="1A1A1A"/>
          <w:sz w:val="20"/>
          <w:szCs w:val="20"/>
        </w:rPr>
        <w:t xml:space="preserve">를 확인할 수 있어야 합니다.</w:t>
      </w:r>
    </w:p>
    <w:p>
      <w:pPr>
        <w:keepNext w:val="false"/>
        <w:spacing w:after="130" w:before="60" w:line="310"/>
        <w:jc w:val="both"/>
      </w:pPr>
      <w:r>
        <w:rPr>
          <w:rFonts w:ascii="맑은 고딕" w:cs="맑은 고딕" w:eastAsia="맑은 고딕" w:hAnsi="맑은 고딕"/>
          <w:b w:val="false"/>
          <w:bCs w:val="false"/>
          <w:i w:val="false"/>
          <w:iCs w:val="false"/>
          <w:color w:val="1A1A1A"/>
          <w:sz w:val="20"/>
          <w:szCs w:val="20"/>
        </w:rPr>
        <w:t xml:space="preserve">이 확인이 가능한 구조와 불가능한 구조의 차이가, 제3장에서 다룰 광고 실패 사이클의 원인입니다.</w:t>
      </w:r>
    </w:p>
    <w:p>
      <w:pPr>
        <w:pStyle w:val="Heading1"/>
        <w:pageBreakBefore/>
        <w:pBdr>
          <w:bottom w:val="single" w:color="1F3864" w:sz="10" w:space="8"/>
        </w:pBdr>
        <w:spacing w:after="240" w:before="0"/>
      </w:pPr>
      <w:r>
        <w:rPr>
          <w:rFonts w:ascii="맑은 고딕" w:cs="맑은 고딕" w:eastAsia="맑은 고딕" w:hAnsi="맑은 고딕"/>
          <w:b/>
          <w:bCs/>
          <w:color w:val="1F3864"/>
          <w:sz w:val="30"/>
          <w:szCs w:val="30"/>
        </w:rPr>
        <w:t xml:space="preserve">제3장. 기존 분양광고가 실패하는 이유</w:t>
      </w:r>
    </w:p>
    <w:p>
      <w:pPr>
        <w:keepNext w:val="false"/>
        <w:spacing w:after="130" w:before="60" w:line="310"/>
        <w:jc w:val="both"/>
      </w:pPr>
      <w:r>
        <w:rPr>
          <w:rFonts w:ascii="맑은 고딕" w:cs="맑은 고딕" w:eastAsia="맑은 고딕" w:hAnsi="맑은 고딕"/>
          <w:b/>
          <w:bCs/>
          <w:i w:val="false"/>
          <w:iCs w:val="false"/>
          <w:color w:val="1A1A1A"/>
          <w:sz w:val="20"/>
          <w:szCs w:val="20"/>
        </w:rPr>
        <w:t xml:space="preserve">헤드라인.</w:t>
      </w:r>
      <w:r>
        <w:rPr>
          <w:rFonts w:ascii="맑은 고딕" w:cs="맑은 고딕" w:eastAsia="맑은 고딕" w:hAnsi="맑은 고딕"/>
          <w:b w:val="false"/>
          <w:bCs w:val="false"/>
          <w:i w:val="false"/>
          <w:iCs w:val="false"/>
          <w:color w:val="1A1A1A"/>
          <w:sz w:val="20"/>
          <w:szCs w:val="20"/>
        </w:rPr>
        <w:t xml:space="preserve"> 광고는 소재나 매체에서가 아니라, 광고의 앞(근거)과 뒤(전환·학습)에서 실패합니다.</w:t>
      </w:r>
    </w:p>
    <w:p>
      <w:pPr>
        <w:keepNext/>
        <w:spacing w:after="90" w:before="220"/>
      </w:pPr>
      <w:r>
        <w:rPr>
          <w:rFonts w:ascii="맑은 고딕" w:cs="맑은 고딕" w:eastAsia="맑은 고딕" w:hAnsi="맑은 고딕"/>
          <w:b/>
          <w:bCs/>
          <w:color w:val="1F3864"/>
          <w:sz w:val="18"/>
          <w:szCs w:val="18"/>
        </w:rPr>
        <w:t xml:space="preserve">[표 3-1] 장 요약</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7838"/>
      </w:tblGrid>
      <w:tr>
        <w:trPr>
          <w:cantSplit/>
          <w:tblHeader/>
        </w:trPr>
        <w:tc>
          <w:tcPr>
            <w:tcW w:type="dxa" w:w="1800"/>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구분</w:t>
            </w:r>
          </w:p>
        </w:tc>
        <w:tc>
          <w:tcPr>
            <w:tcW w:type="dxa" w:w="7838"/>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내용</w:t>
            </w:r>
          </w:p>
        </w:tc>
      </w:tr>
      <w:tr>
        <w:trPr>
          <w:cantSplit/>
          <w:tblHeader w:val="false"/>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문제 (Problem)</w:t>
            </w:r>
          </w:p>
        </w:tc>
        <w:tc>
          <w:tcPr>
            <w:tcW w:type="dxa" w:w="783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예산을 증액하고 소재를 교체해도 계약이 늘지 않는다</w:t>
            </w:r>
          </w:p>
        </w:tc>
      </w:tr>
      <w:tr>
        <w:trPr>
          <w:cantSplit/>
          <w:tblHeader w:val="false"/>
        </w:trPr>
        <w:tc>
          <w:tcPr>
            <w:tcW w:type="dxa" w:w="180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원인 (Reason)</w:t>
            </w:r>
          </w:p>
        </w:tc>
        <w:tc>
          <w:tcPr>
            <w:tcW w:type="dxa" w:w="7838"/>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광고 전 근거 부재 → 광고 중 지표 오류 → 광고 후 데이터 단절 → 학습 부재의 4단계 사이클이 반복된다</w:t>
            </w:r>
          </w:p>
        </w:tc>
      </w:tr>
      <w:tr>
        <w:trPr>
          <w:cantSplit/>
          <w:tblHeader w:val="false"/>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방법 (Method)</w:t>
            </w:r>
          </w:p>
        </w:tc>
        <w:tc>
          <w:tcPr>
            <w:tcW w:type="dxa" w:w="783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실패 지점을 단계별로 분해하고, 원인(광고·가격·상담·수요)을 구분할 데이터 요건을 정의한다</w:t>
            </w:r>
          </w:p>
        </w:tc>
      </w:tr>
      <w:tr>
        <w:trPr>
          <w:cantSplit/>
          <w:tblHeader w:val="false"/>
        </w:trPr>
        <w:tc>
          <w:tcPr>
            <w:tcW w:type="dxa" w:w="180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기대 효과 (Effect)</w:t>
            </w:r>
          </w:p>
        </w:tc>
        <w:tc>
          <w:tcPr>
            <w:tcW w:type="dxa" w:w="7838"/>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부분 교체가 아니라 전 구간 연결이 필요하다는 해법의 요건이 확정된다</w:t>
            </w:r>
          </w:p>
        </w:tc>
      </w:tr>
    </w:tbl>
    <w:p>
      <w:pPr>
        <w:spacing w:after="200" w:before="0"/>
      </w:pPr>
    </w:p>
    <w:p>
      <w:pPr>
        <w:pStyle w:val="Heading2"/>
        <w:keepNext/>
        <w:spacing w:after="140" w:before="300"/>
      </w:pPr>
      <w:r>
        <w:rPr>
          <w:rFonts w:ascii="맑은 고딕" w:cs="맑은 고딕" w:eastAsia="맑은 고딕" w:hAnsi="맑은 고딕"/>
          <w:b/>
          <w:bCs/>
          <w:color w:val="1A1A1A"/>
          <w:sz w:val="23"/>
          <w:szCs w:val="23"/>
        </w:rPr>
        <w:t xml:space="preserve">3.1 4단계 실패 사이클</w:t>
      </w:r>
    </w:p>
    <w:p>
      <w:pPr>
        <w:keepNext/>
        <w:spacing w:after="90" w:before="220"/>
      </w:pPr>
      <w:r>
        <w:rPr>
          <w:rFonts w:ascii="맑은 고딕" w:cs="맑은 고딕" w:eastAsia="맑은 고딕" w:hAnsi="맑은 고딕"/>
          <w:b/>
          <w:bCs/>
          <w:color w:val="1F3864"/>
          <w:sz w:val="18"/>
          <w:szCs w:val="18"/>
        </w:rPr>
        <w:t xml:space="preserve">[표 3-2] 단계별 실패 양상</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3"/>
        <w:gridCol w:w="5025"/>
        <w:gridCol w:w="3460"/>
      </w:tblGrid>
      <w:tr>
        <w:trPr>
          <w:cantSplit/>
          <w:tblHeader/>
        </w:trPr>
        <w:tc>
          <w:tcPr>
            <w:tcW w:type="dxa" w:w="1153"/>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단계</w:t>
            </w:r>
          </w:p>
        </w:tc>
        <w:tc>
          <w:tcPr>
            <w:tcW w:type="dxa" w:w="5025"/>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실패 양상</w:t>
            </w:r>
          </w:p>
        </w:tc>
        <w:tc>
          <w:tcPr>
            <w:tcW w:type="dxa" w:w="3460"/>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결과</w:t>
            </w:r>
          </w:p>
        </w:tc>
      </w:tr>
      <w:tr>
        <w:trPr>
          <w:cantSplit/>
          <w:tblHeader w:val="false"/>
        </w:trPr>
        <w:tc>
          <w:tcPr>
            <w:tcW w:type="dxa" w:w="115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① 광고 전</w:t>
            </w:r>
          </w:p>
        </w:tc>
        <w:tc>
          <w:tcPr>
            <w:tcW w:type="dxa" w:w="5025"/>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팔릴 근거가 정리되지 않음. 현장분석이 기본 분양정보 확인 수준</w:t>
            </w:r>
          </w:p>
        </w:tc>
        <w:tc>
          <w:tcPr>
            <w:tcW w:type="dxa" w:w="34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광고 문구가 혜택·입지·마감의 반복으로 수렴</w:t>
            </w:r>
          </w:p>
        </w:tc>
      </w:tr>
      <w:tr>
        <w:trPr>
          <w:cantSplit/>
          <w:tblHeader w:val="false"/>
        </w:trPr>
        <w:tc>
          <w:tcPr>
            <w:tcW w:type="dxa" w:w="1153"/>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② 광고 중</w:t>
            </w:r>
          </w:p>
        </w:tc>
        <w:tc>
          <w:tcPr>
            <w:tcW w:type="dxa" w:w="5025"/>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클릭과 DB 단가만 평가. 방문·계약 가능성과 무관한 지표로 운영</w:t>
            </w:r>
          </w:p>
        </w:tc>
        <w:tc>
          <w:tcPr>
            <w:tcW w:type="dxa" w:w="346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저의도 유입 증가, 현장 상담 인력 소모</w:t>
            </w:r>
          </w:p>
        </w:tc>
      </w:tr>
      <w:tr>
        <w:trPr>
          <w:cantSplit/>
          <w:tblHeader w:val="false"/>
        </w:trPr>
        <w:tc>
          <w:tcPr>
            <w:tcW w:type="dxa" w:w="115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③ 광고 후</w:t>
            </w:r>
          </w:p>
        </w:tc>
        <w:tc>
          <w:tcPr>
            <w:tcW w:type="dxa" w:w="5025"/>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상담·방문·계약과 분리. 광고의 책임이 DB 전달에서 종료</w:t>
            </w:r>
          </w:p>
        </w:tc>
        <w:tc>
          <w:tcPr>
            <w:tcW w:type="dxa" w:w="34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어떤 근거가 통했는지 확인 불가</w:t>
            </w:r>
          </w:p>
        </w:tc>
      </w:tr>
      <w:tr>
        <w:trPr>
          <w:cantSplit/>
          <w:tblHeader w:val="false"/>
        </w:trPr>
        <w:tc>
          <w:tcPr>
            <w:tcW w:type="dxa" w:w="1153"/>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④ 다음 캠페인</w:t>
            </w:r>
          </w:p>
        </w:tc>
        <w:tc>
          <w:tcPr>
            <w:tcW w:type="dxa" w:w="5025"/>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실패 원인을 모른 채 반복. 소재 교체가 유일한 개선 수단</w:t>
            </w:r>
          </w:p>
        </w:tc>
        <w:tc>
          <w:tcPr>
            <w:tcW w:type="dxa" w:w="346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동일한 문제가 재발</w:t>
            </w:r>
          </w:p>
        </w:tc>
      </w:tr>
    </w:tbl>
    <w:p>
      <w:pPr>
        <w:spacing w:after="200" w:before="0"/>
      </w:pPr>
    </w:p>
    <w:p>
      <w:pPr>
        <w:pStyle w:val="Heading2"/>
        <w:keepNext/>
        <w:spacing w:after="140" w:before="300"/>
      </w:pPr>
      <w:r>
        <w:rPr>
          <w:rFonts w:ascii="맑은 고딕" w:cs="맑은 고딕" w:eastAsia="맑은 고딕" w:hAnsi="맑은 고딕"/>
          <w:b/>
          <w:bCs/>
          <w:color w:val="1A1A1A"/>
          <w:sz w:val="23"/>
          <w:szCs w:val="23"/>
        </w:rPr>
        <w:t xml:space="preserve">3.2 실패는 업무 범위 정의의 구조적 귀결이다</w:t>
      </w:r>
    </w:p>
    <w:p>
      <w:pPr>
        <w:keepNext/>
        <w:spacing w:after="90" w:before="220"/>
      </w:pPr>
      <w:r>
        <w:rPr>
          <w:rFonts w:ascii="맑은 고딕" w:cs="맑은 고딕" w:eastAsia="맑은 고딕" w:hAnsi="맑은 고딕"/>
          <w:b/>
          <w:bCs/>
          <w:color w:val="1F3864"/>
          <w:sz w:val="18"/>
          <w:szCs w:val="18"/>
        </w:rPr>
        <w:t xml:space="preserve">[그림 3-1] 전통적 대행의 업무 범위와 실패 지점의 대응</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BFBFBF" w:sz="4"/>
              <w:left w:val="single" w:color="BFBFBF" w:sz="4"/>
              <w:bottom w:val="single" w:color="BFBFBF" w:sz="4"/>
              <w:right w:val="single" w:color="BFBFBF" w:sz="4"/>
            </w:tcBorders>
            <w:shd w:fill="F4F5F7" w:color="auto" w:val="clear"/>
            <w:tcMar>
              <w:top w:type="dxa" w:w="160"/>
              <w:left w:type="dxa" w:w="200"/>
              <w:bottom w:type="dxa" w:w="160"/>
              <w:right w:type="dxa" w:w="160"/>
            </w:tcMar>
          </w:tcPr>
          <w:p>
            <w:pPr>
              <w:spacing w:after="0" w:before="0" w:line="240"/>
              <w:jc w:val="left"/>
            </w:pPr>
            <w:r>
              <w:rPr>
                <w:rFonts w:ascii="굴림체" w:cs="굴림체" w:eastAsia="굴림체" w:hAnsi="굴림체"/>
                <w:color w:val="1A1A1A"/>
                <w:sz w:val="16"/>
                <w:szCs w:val="16"/>
              </w:rPr>
              <w:t xml:space="preserve">전통적 대행의 업무 범위:  광고 집행 → DB 수집 → DB 전달 → 종료</w:t>
            </w:r>
          </w:p>
          <w:p>
            <w:pPr>
              <w:spacing w:after="0" w:before="0" w:line="240"/>
              <w:jc w:val="left"/>
            </w:pPr>
            <w:r>
              <w:rPr>
                <w:rFonts w:ascii="굴림체" w:cs="굴림체" w:eastAsia="굴림체" w:hAnsi="굴림체"/>
                <w:color w:val="1A1A1A"/>
                <w:sz w:val="16"/>
                <w:szCs w:val="16"/>
              </w:rPr>
              <w:t xml:space="preserve"> </w:t>
            </w:r>
          </w:p>
          <w:p>
            <w:pPr>
              <w:spacing w:after="0" w:before="0" w:line="240"/>
              <w:jc w:val="left"/>
            </w:pPr>
            <w:r>
              <w:rPr>
                <w:rFonts w:ascii="굴림체" w:cs="굴림체" w:eastAsia="굴림체" w:hAnsi="굴림체"/>
                <w:color w:val="1A1A1A"/>
                <w:sz w:val="16"/>
                <w:szCs w:val="16"/>
              </w:rPr>
              <w:t xml:space="preserve">구조적으로 비어 있는 구간:</w:t>
            </w:r>
          </w:p>
          <w:p>
            <w:pPr>
              <w:spacing w:after="0" w:before="0" w:line="240"/>
              <w:jc w:val="left"/>
            </w:pPr>
            <w:r>
              <w:rPr>
                <w:rFonts w:ascii="굴림체" w:cs="굴림체" w:eastAsia="굴림체" w:hAnsi="굴림체"/>
                <w:color w:val="1A1A1A"/>
                <w:sz w:val="16"/>
                <w:szCs w:val="16"/>
              </w:rPr>
              <w:t xml:space="preserve">   [광고 전]  근거를 검증하는 단계가 없음        → 실패 ①</w:t>
            </w:r>
          </w:p>
          <w:p>
            <w:pPr>
              <w:spacing w:after="0" w:before="0" w:line="240"/>
              <w:jc w:val="left"/>
            </w:pPr>
            <w:r>
              <w:rPr>
                <w:rFonts w:ascii="굴림체" w:cs="굴림체" w:eastAsia="굴림체" w:hAnsi="굴림체"/>
                <w:color w:val="1A1A1A"/>
                <w:sz w:val="16"/>
                <w:szCs w:val="16"/>
              </w:rPr>
              <w:t xml:space="preserve">   [광고 중]  평가 기준이 DB 수량·단가뿐          → 실패 ②</w:t>
            </w:r>
          </w:p>
          <w:p>
            <w:pPr>
              <w:spacing w:after="0" w:before="0" w:line="240"/>
              <w:jc w:val="left"/>
            </w:pPr>
            <w:r>
              <w:rPr>
                <w:rFonts w:ascii="굴림체" w:cs="굴림체" w:eastAsia="굴림체" w:hAnsi="굴림체"/>
                <w:color w:val="1A1A1A"/>
                <w:sz w:val="16"/>
                <w:szCs w:val="16"/>
              </w:rPr>
              <w:t xml:space="preserve">   [광고 후]  전달 이후의 책임과 데이터가 없음     → 실패 ③</w:t>
            </w:r>
          </w:p>
          <w:p>
            <w:pPr>
              <w:spacing w:after="0" w:before="0" w:line="240"/>
              <w:jc w:val="left"/>
            </w:pPr>
            <w:r>
              <w:rPr>
                <w:rFonts w:ascii="굴림체" w:cs="굴림체" w:eastAsia="굴림체" w:hAnsi="굴림체"/>
                <w:color w:val="1A1A1A"/>
                <w:sz w:val="16"/>
                <w:szCs w:val="16"/>
              </w:rPr>
              <w:t xml:space="preserve">   [다음 주기] 결과 데이터가 없어 학습이 불가능     → 실패 ④</w:t>
            </w:r>
          </w:p>
        </w:tc>
      </w:tr>
    </w:tbl>
    <w:p>
      <w:pPr>
        <w:spacing w:after="160" w:before="0"/>
      </w:pPr>
    </w:p>
    <w:p>
      <w:pPr>
        <w:keepNext w:val="false"/>
        <w:spacing w:after="130" w:before="60" w:line="310"/>
        <w:jc w:val="both"/>
      </w:pPr>
      <w:r>
        <w:rPr>
          <w:rFonts w:ascii="맑은 고딕" w:cs="맑은 고딕" w:eastAsia="맑은 고딕" w:hAnsi="맑은 고딕"/>
          <w:b w:val="false"/>
          <w:bCs w:val="false"/>
          <w:i w:val="false"/>
          <w:iCs w:val="false"/>
          <w:color w:val="1A1A1A"/>
          <w:sz w:val="20"/>
          <w:szCs w:val="20"/>
        </w:rPr>
        <w:t xml:space="preserve">대행사가 불성실해서가 아니라, </w:t>
      </w:r>
      <w:r>
        <w:rPr>
          <w:rFonts w:ascii="맑은 고딕" w:cs="맑은 고딕" w:eastAsia="맑은 고딕" w:hAnsi="맑은 고딕"/>
          <w:b/>
          <w:bCs/>
          <w:i w:val="false"/>
          <w:iCs w:val="false"/>
          <w:color w:val="1A1A1A"/>
          <w:sz w:val="20"/>
          <w:szCs w:val="20"/>
        </w:rPr>
        <w:t xml:space="preserve">업무 범위가 DB 전달에서 종료되도록 정의되어 있기 때문에</w:t>
      </w:r>
      <w:r>
        <w:rPr>
          <w:rFonts w:ascii="맑은 고딕" w:cs="맑은 고딕" w:eastAsia="맑은 고딕" w:hAnsi="맑은 고딕"/>
          <w:b w:val="false"/>
          <w:bCs w:val="false"/>
          <w:i w:val="false"/>
          <w:iCs w:val="false"/>
          <w:color w:val="1A1A1A"/>
          <w:sz w:val="20"/>
          <w:szCs w:val="20"/>
        </w:rPr>
        <w:t xml:space="preserve"> 네 가지 실패가 반복됩니다. 이 점이 본 제안의 출발점입니다. 문제는 수행 품질이 아니라 범위 설계에 있습니다.</w:t>
      </w:r>
    </w:p>
    <w:p>
      <w:pPr>
        <w:pStyle w:val="Heading2"/>
        <w:keepNext/>
        <w:spacing w:after="140" w:before="300"/>
      </w:pPr>
      <w:r>
        <w:rPr>
          <w:rFonts w:ascii="맑은 고딕" w:cs="맑은 고딕" w:eastAsia="맑은 고딕" w:hAnsi="맑은 고딕"/>
          <w:b/>
          <w:bCs/>
          <w:color w:val="1A1A1A"/>
          <w:sz w:val="23"/>
          <w:szCs w:val="23"/>
        </w:rPr>
        <w:t xml:space="preserve">3.3 근거 없는 메시지의 이중 비용</w:t>
      </w:r>
    </w:p>
    <w:p>
      <w:pPr>
        <w:keepNext w:val="false"/>
        <w:spacing w:after="130" w:before="60" w:line="310"/>
        <w:jc w:val="both"/>
      </w:pPr>
      <w:r>
        <w:rPr>
          <w:rFonts w:ascii="맑은 고딕" w:cs="맑은 고딕" w:eastAsia="맑은 고딕" w:hAnsi="맑은 고딕"/>
          <w:b w:val="false"/>
          <w:bCs w:val="false"/>
          <w:i w:val="false"/>
          <w:iCs w:val="false"/>
          <w:color w:val="1A1A1A"/>
          <w:sz w:val="20"/>
          <w:szCs w:val="20"/>
        </w:rPr>
        <w:t xml:space="preserve">광고 전 단계의 실패(①)는 두 번 비용을 발생시킵니다.</w:t>
      </w:r>
    </w:p>
    <w:p>
      <w:pPr>
        <w:keepNext/>
        <w:spacing w:after="90" w:before="220"/>
      </w:pPr>
      <w:r>
        <w:rPr>
          <w:rFonts w:ascii="맑은 고딕" w:cs="맑은 고딕" w:eastAsia="맑은 고딕" w:hAnsi="맑은 고딕"/>
          <w:b/>
          <w:bCs/>
          <w:color w:val="1F3864"/>
          <w:sz w:val="18"/>
          <w:szCs w:val="18"/>
        </w:rPr>
        <w:t xml:space="preserve">[표 3-3] 근거 부재가 발생시키는 비용</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7838"/>
      </w:tblGrid>
      <w:tr>
        <w:trPr>
          <w:cantSplit/>
          <w:tblHeader/>
        </w:trPr>
        <w:tc>
          <w:tcPr>
            <w:tcW w:type="dxa" w:w="1800"/>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발생 시점</w:t>
            </w:r>
          </w:p>
        </w:tc>
        <w:tc>
          <w:tcPr>
            <w:tcW w:type="dxa" w:w="7838"/>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비용</w:t>
            </w:r>
          </w:p>
        </w:tc>
      </w:tr>
      <w:tr>
        <w:trPr>
          <w:cantSplit/>
          <w:tblHeader w:val="false"/>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광고 단계</w:t>
            </w:r>
          </w:p>
        </w:tc>
        <w:tc>
          <w:tcPr>
            <w:tcW w:type="dxa" w:w="783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반대근거를 다루지 않은 혜택·호재 중심 문구는 가격 저항을 해소하지 못해 유효 수요를 놓침</w:t>
            </w:r>
          </w:p>
        </w:tc>
      </w:tr>
      <w:tr>
        <w:trPr>
          <w:cantSplit/>
          <w:tblHeader w:val="false"/>
        </w:trPr>
        <w:tc>
          <w:tcPr>
            <w:tcW w:type="dxa" w:w="180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상담 단계</w:t>
            </w:r>
          </w:p>
        </w:tc>
        <w:tc>
          <w:tcPr>
            <w:tcW w:type="dxa" w:w="7838"/>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광고에서 형성된 기대와 현실의 격차가 확인되면서 신뢰가 훼손됨. 손실이 개별 계약을 넘어 현장 평판으로 확산</w:t>
            </w:r>
          </w:p>
        </w:tc>
      </w:tr>
    </w:tbl>
    <w:p>
      <w:pPr>
        <w:spacing w:after="200" w:before="0"/>
      </w:pPr>
    </w:p>
    <w:p>
      <w:pPr>
        <w:pStyle w:val="Heading2"/>
        <w:keepNext/>
        <w:spacing w:after="140" w:before="300"/>
      </w:pPr>
      <w:r>
        <w:rPr>
          <w:rFonts w:ascii="맑은 고딕" w:cs="맑은 고딕" w:eastAsia="맑은 고딕" w:hAnsi="맑은 고딕"/>
          <w:b/>
          <w:bCs/>
          <w:color w:val="1A1A1A"/>
          <w:sz w:val="23"/>
          <w:szCs w:val="23"/>
        </w:rPr>
        <w:t xml:space="preserve">3.4 잘못된 평가 지표의 유도 효과</w:t>
      </w:r>
    </w:p>
    <w:p>
      <w:pPr>
        <w:keepNext w:val="false"/>
        <w:spacing w:after="130" w:before="60" w:line="310"/>
        <w:jc w:val="both"/>
      </w:pPr>
      <w:r>
        <w:rPr>
          <w:rFonts w:ascii="맑은 고딕" w:cs="맑은 고딕" w:eastAsia="맑은 고딕" w:hAnsi="맑은 고딕"/>
          <w:b w:val="false"/>
          <w:bCs w:val="false"/>
          <w:i w:val="false"/>
          <w:iCs w:val="false"/>
          <w:color w:val="1A1A1A"/>
          <w:sz w:val="20"/>
          <w:szCs w:val="20"/>
        </w:rPr>
        <w:t xml:space="preserve">지표는 행동을 유도합니다. DB 단가로 평가받는 운영자는 DB 단가를 낮추는 방향으로 움직입니다.</w:t>
      </w:r>
    </w:p>
    <w:p>
      <w:pPr>
        <w:keepNext/>
        <w:spacing w:after="90" w:before="220"/>
      </w:pPr>
      <w:r>
        <w:rPr>
          <w:rFonts w:ascii="맑은 고딕" w:cs="맑은 고딕" w:eastAsia="맑은 고딕" w:hAnsi="맑은 고딕"/>
          <w:b/>
          <w:bCs/>
          <w:color w:val="1F3864"/>
          <w:sz w:val="18"/>
          <w:szCs w:val="18"/>
        </w:rPr>
        <w:t xml:space="preserve">[표 3-4] DB 단가 중심 평가가 유도하는 결과</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60"/>
        <w:gridCol w:w="6378"/>
      </w:tblGrid>
      <w:tr>
        <w:trPr>
          <w:cantSplit/>
          <w:tblHeader/>
        </w:trPr>
        <w:tc>
          <w:tcPr>
            <w:tcW w:type="dxa" w:w="3260"/>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운영자의 합리적 대응</w:t>
            </w:r>
          </w:p>
        </w:tc>
        <w:tc>
          <w:tcPr>
            <w:tcW w:type="dxa" w:w="6378"/>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발생하는 결과</w:t>
            </w:r>
          </w:p>
        </w:tc>
      </w:tr>
      <w:tr>
        <w:trPr>
          <w:cantSplit/>
          <w:tblHeader w:val="false"/>
        </w:trPr>
        <w:tc>
          <w:tcPr>
            <w:tcW w:type="dxa" w:w="32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경품·이벤트성 유입 확대</w:t>
            </w:r>
          </w:p>
        </w:tc>
        <w:tc>
          <w:tcPr>
            <w:tcW w:type="dxa" w:w="637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DB 수량 증가, 유효 DB 비율 하락</w:t>
            </w:r>
          </w:p>
        </w:tc>
      </w:tr>
      <w:tr>
        <w:trPr>
          <w:cantSplit/>
          <w:tblHeader w:val="false"/>
        </w:trPr>
        <w:tc>
          <w:tcPr>
            <w:tcW w:type="dxa" w:w="326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저의도 광범위 타깃 확대</w:t>
            </w:r>
          </w:p>
        </w:tc>
        <w:tc>
          <w:tcPr>
            <w:tcW w:type="dxa" w:w="6378"/>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상담 인력의 응대 시간 소모</w:t>
            </w:r>
          </w:p>
        </w:tc>
      </w:tr>
      <w:tr>
        <w:trPr>
          <w:cantSplit/>
          <w:tblHeader w:val="false"/>
        </w:trPr>
        <w:tc>
          <w:tcPr>
            <w:tcW w:type="dxa" w:w="32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고의도 검색 수요 축소</w:t>
            </w:r>
          </w:p>
        </w:tc>
        <w:tc>
          <w:tcPr>
            <w:tcW w:type="dxa" w:w="637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DB 단가는 높지만 계약 기여가 큰 채널이 감액됨</w:t>
            </w:r>
          </w:p>
        </w:tc>
      </w:tr>
    </w:tbl>
    <w:p>
      <w:pPr>
        <w:spacing w:after="200" w:before="0"/>
      </w:pPr>
    </w:p>
    <w:p>
      <w:pPr>
        <w:keepNext w:val="false"/>
        <w:spacing w:after="130" w:before="60" w:line="310"/>
        <w:jc w:val="both"/>
      </w:pPr>
      <w:r>
        <w:rPr>
          <w:rFonts w:ascii="맑은 고딕" w:cs="맑은 고딕" w:eastAsia="맑은 고딕" w:hAnsi="맑은 고딕"/>
          <w:b w:val="false"/>
          <w:bCs w:val="false"/>
          <w:i w:val="false"/>
          <w:iCs w:val="false"/>
          <w:color w:val="1A1A1A"/>
          <w:sz w:val="20"/>
          <w:szCs w:val="20"/>
        </w:rPr>
        <w:t xml:space="preserve">평가 지표가 계약과 연결되어 있지 않으면, </w:t>
      </w:r>
      <w:r>
        <w:rPr>
          <w:rFonts w:ascii="맑은 고딕" w:cs="맑은 고딕" w:eastAsia="맑은 고딕" w:hAnsi="맑은 고딕"/>
          <w:b/>
          <w:bCs/>
          <w:i w:val="false"/>
          <w:iCs w:val="false"/>
          <w:color w:val="1A1A1A"/>
          <w:sz w:val="20"/>
          <w:szCs w:val="20"/>
        </w:rPr>
        <w:t xml:space="preserve">성실한 운영조차 잘못된 방향으로 최적화됩니다.</w:t>
      </w:r>
    </w:p>
    <w:p>
      <w:pPr>
        <w:pStyle w:val="Heading2"/>
        <w:keepNext/>
        <w:spacing w:after="140" w:before="300"/>
      </w:pPr>
      <w:r>
        <w:rPr>
          <w:rFonts w:ascii="맑은 고딕" w:cs="맑은 고딕" w:eastAsia="맑은 고딕" w:hAnsi="맑은 고딕"/>
          <w:b/>
          <w:bCs/>
          <w:color w:val="1A1A1A"/>
          <w:sz w:val="23"/>
          <w:szCs w:val="23"/>
        </w:rPr>
        <w:t xml:space="preserve">3.5 최종적 실패 — 원인을 구분할 수 없다</w:t>
      </w:r>
    </w:p>
    <w:p>
      <w:pPr>
        <w:keepNext w:val="false"/>
        <w:spacing w:after="130" w:before="60" w:line="310"/>
        <w:jc w:val="both"/>
      </w:pPr>
      <w:r>
        <w:rPr>
          <w:rFonts w:ascii="맑은 고딕" w:cs="맑은 고딕" w:eastAsia="맑은 고딕" w:hAnsi="맑은 고딕"/>
          <w:b w:val="false"/>
          <w:bCs w:val="false"/>
          <w:i w:val="false"/>
          <w:iCs w:val="false"/>
          <w:color w:val="1A1A1A"/>
          <w:sz w:val="20"/>
          <w:szCs w:val="20"/>
        </w:rPr>
        <w:t xml:space="preserve">부진 현장에서 물어야 할 질문은 네 가지입니다. </w:t>
      </w:r>
      <w:r>
        <w:rPr>
          <w:rFonts w:ascii="맑은 고딕" w:cs="맑은 고딕" w:eastAsia="맑은 고딕" w:hAnsi="맑은 고딕"/>
          <w:b/>
          <w:bCs/>
          <w:i w:val="false"/>
          <w:iCs w:val="false"/>
          <w:color w:val="1A1A1A"/>
          <w:sz w:val="20"/>
          <w:szCs w:val="20"/>
        </w:rPr>
        <w:t xml:space="preserve">광고의 문제인가, 가격의 문제인가, 상담의 문제인가, 수요 자체의 문제인가.</w:t>
      </w:r>
    </w:p>
    <w:p>
      <w:pPr>
        <w:keepNext w:val="false"/>
        <w:spacing w:after="130" w:before="60" w:line="310"/>
        <w:jc w:val="both"/>
      </w:pPr>
      <w:r>
        <w:rPr>
          <w:rFonts w:ascii="맑은 고딕" w:cs="맑은 고딕" w:eastAsia="맑은 고딕" w:hAnsi="맑은 고딕"/>
          <w:b w:val="false"/>
          <w:bCs w:val="false"/>
          <w:i w:val="false"/>
          <w:iCs w:val="false"/>
          <w:color w:val="1A1A1A"/>
          <w:sz w:val="20"/>
          <w:szCs w:val="20"/>
        </w:rPr>
        <w:t xml:space="preserve">4단계 실패 사이클 안에서는 이 질문에 답할 데이터가 존재하지 않습니다. 그 결과 대응은 추정에 의존하게 되고, 가격을 조정해야 할 국면에 판촉을 늘리거나 상담을 교정해야 할 국면에 광고비를 증액하는 오판이 발생합니다.</w:t>
      </w:r>
    </w:p>
    <w:p>
      <w:pPr>
        <w:keepNext w:val="false"/>
        <w:spacing w:after="130" w:before="60" w:line="310"/>
        <w:jc w:val="both"/>
      </w:pPr>
      <w:r>
        <w:rPr>
          <w:rFonts w:ascii="맑은 고딕" w:cs="맑은 고딕" w:eastAsia="맑은 고딕" w:hAnsi="맑은 고딕"/>
          <w:b w:val="false"/>
          <w:bCs w:val="false"/>
          <w:i w:val="false"/>
          <w:iCs w:val="false"/>
          <w:color w:val="1A1A1A"/>
          <w:sz w:val="20"/>
          <w:szCs w:val="20"/>
        </w:rPr>
        <w:t xml:space="preserve">여기서 한 가지를 분명히 합니다. </w:t>
      </w:r>
      <w:r>
        <w:rPr>
          <w:rFonts w:ascii="맑은 고딕" w:cs="맑은 고딕" w:eastAsia="맑은 고딕" w:hAnsi="맑은 고딕"/>
          <w:b/>
          <w:bCs/>
          <w:i w:val="false"/>
          <w:iCs w:val="false"/>
          <w:color w:val="1A1A1A"/>
          <w:sz w:val="20"/>
          <w:szCs w:val="20"/>
        </w:rPr>
        <w:t xml:space="preserve">수요 부족이 실제 원인인 현장도 존재합니다.</w:t>
      </w:r>
      <w:r>
        <w:rPr>
          <w:rFonts w:ascii="맑은 고딕" w:cs="맑은 고딕" w:eastAsia="맑은 고딕" w:hAnsi="맑은 고딕"/>
          <w:b w:val="false"/>
          <w:bCs w:val="false"/>
          <w:i w:val="false"/>
          <w:iCs w:val="false"/>
          <w:color w:val="1A1A1A"/>
          <w:sz w:val="20"/>
          <w:szCs w:val="20"/>
        </w:rPr>
        <w:t xml:space="preserve"> 모든 부진이 광고나 운영으로 해결되지는 않습니다. 핵심은 원인을 감(感)으로 판단하지 않는 것입니다. 원인이 데이터로 구분되어야 해결 가능한 문제에 예산을 투입하고, 해결 불가능한 문제에는 조건 재검토라는 다른 대응을 선택할 수 있습니다.</w:t>
      </w:r>
    </w:p>
    <w:p>
      <w:pPr>
        <w:pStyle w:val="Heading2"/>
        <w:keepNext/>
        <w:spacing w:after="140" w:before="300"/>
      </w:pPr>
      <w:r>
        <w:rPr>
          <w:rFonts w:ascii="맑은 고딕" w:cs="맑은 고딕" w:eastAsia="맑은 고딕" w:hAnsi="맑은 고딕"/>
          <w:b/>
          <w:bCs/>
          <w:color w:val="1A1A1A"/>
          <w:sz w:val="23"/>
          <w:szCs w:val="23"/>
        </w:rPr>
        <w:t xml:space="preserve">3.6 소결</w:t>
      </w:r>
    </w:p>
    <w:p>
      <w:pPr>
        <w:keepNext w:val="false"/>
        <w:spacing w:after="130" w:before="60" w:line="310"/>
        <w:jc w:val="both"/>
      </w:pPr>
      <w:r>
        <w:rPr>
          <w:rFonts w:ascii="맑은 고딕" w:cs="맑은 고딕" w:eastAsia="맑은 고딕" w:hAnsi="맑은 고딕"/>
          <w:b w:val="false"/>
          <w:bCs w:val="false"/>
          <w:i w:val="false"/>
          <w:iCs w:val="false"/>
          <w:color w:val="1A1A1A"/>
          <w:sz w:val="20"/>
          <w:szCs w:val="20"/>
        </w:rPr>
        <w:t xml:space="preserve">실패 사슬의 어느 한 고리만 교체하는 것 — 광고대행사 교체, CRM 단독 도입, 분석 리포트 단독 구매 — 으로는 사슬이 끊어지지 않습니다.</w:t>
      </w:r>
    </w:p>
    <w:p>
      <w:pPr>
        <w:keepNext w:val="false"/>
        <w:spacing w:after="130" w:before="60" w:line="310"/>
        <w:jc w:val="both"/>
      </w:pPr>
      <w:r>
        <w:rPr>
          <w:rFonts w:ascii="맑은 고딕" w:cs="맑은 고딕" w:eastAsia="맑은 고딕" w:hAnsi="맑은 고딕"/>
          <w:b w:val="false"/>
          <w:bCs w:val="false"/>
          <w:i w:val="false"/>
          <w:iCs w:val="false"/>
          <w:color w:val="1A1A1A"/>
          <w:sz w:val="20"/>
          <w:szCs w:val="20"/>
        </w:rPr>
        <w:t xml:space="preserve">필요한 것은 </w:t>
      </w:r>
      <w:r>
        <w:rPr>
          <w:rFonts w:ascii="맑은 고딕" w:cs="맑은 고딕" w:eastAsia="맑은 고딕" w:hAnsi="맑은 고딕"/>
          <w:b/>
          <w:bCs/>
          <w:i w:val="false"/>
          <w:iCs w:val="false"/>
          <w:color w:val="1A1A1A"/>
          <w:sz w:val="20"/>
          <w:szCs w:val="20"/>
        </w:rPr>
        <w:t xml:space="preserve">분석부터 계약 데이터까지 전 구간을 하나의 체계로 연결하는 운영자</w:t>
      </w:r>
      <w:r>
        <w:rPr>
          <w:rFonts w:ascii="맑은 고딕" w:cs="맑은 고딕" w:eastAsia="맑은 고딕" w:hAnsi="맑은 고딕"/>
          <w:b w:val="false"/>
          <w:bCs w:val="false"/>
          <w:i w:val="false"/>
          <w:iCs w:val="false"/>
          <w:color w:val="1A1A1A"/>
          <w:sz w:val="20"/>
          <w:szCs w:val="20"/>
        </w:rPr>
        <w:t xml:space="preserve">입니다. 그 정의와 작동 방식이 제4장의 주제입니다.</w:t>
      </w:r>
    </w:p>
    <w:p>
      <w:pPr>
        <w:pStyle w:val="Heading1"/>
        <w:pageBreakBefore/>
        <w:pBdr>
          <w:bottom w:val="single" w:color="1F3864" w:sz="10" w:space="8"/>
        </w:pBdr>
        <w:spacing w:after="240" w:before="0"/>
      </w:pPr>
      <w:r>
        <w:rPr>
          <w:rFonts w:ascii="맑은 고딕" w:cs="맑은 고딕" w:eastAsia="맑은 고딕" w:hAnsi="맑은 고딕"/>
          <w:b/>
          <w:bCs/>
          <w:color w:val="1F3864"/>
          <w:sz w:val="30"/>
          <w:szCs w:val="30"/>
        </w:rPr>
        <w:t xml:space="preserve">제4장. 분양하마 운영 방법론</w:t>
      </w:r>
    </w:p>
    <w:p>
      <w:pPr>
        <w:keepNext w:val="false"/>
        <w:spacing w:after="130" w:before="60" w:line="310"/>
        <w:jc w:val="both"/>
      </w:pPr>
      <w:r>
        <w:rPr>
          <w:rFonts w:ascii="맑은 고딕" w:cs="맑은 고딕" w:eastAsia="맑은 고딕" w:hAnsi="맑은 고딕"/>
          <w:b/>
          <w:bCs/>
          <w:i w:val="false"/>
          <w:iCs w:val="false"/>
          <w:color w:val="1A1A1A"/>
          <w:sz w:val="20"/>
          <w:szCs w:val="20"/>
        </w:rPr>
        <w:t xml:space="preserve">헤드라인.</w:t>
      </w:r>
      <w:r>
        <w:rPr>
          <w:rFonts w:ascii="맑은 고딕" w:cs="맑은 고딕" w:eastAsia="맑은 고딕" w:hAnsi="맑은 고딕"/>
          <w:b w:val="false"/>
          <w:bCs w:val="false"/>
          <w:i w:val="false"/>
          <w:iCs w:val="false"/>
          <w:color w:val="1A1A1A"/>
          <w:sz w:val="20"/>
          <w:szCs w:val="20"/>
        </w:rPr>
        <w:t xml:space="preserve"> 분양하마는 광고대행사가 아니라, 10단계 가치 사슬을 단일 책임으로 운영하고 결과를 다음 주기에 환류시키는 수요 전환 시스템 운영사입니다.</w:t>
      </w:r>
    </w:p>
    <w:p>
      <w:pPr>
        <w:keepNext/>
        <w:spacing w:after="90" w:before="220"/>
      </w:pPr>
      <w:r>
        <w:rPr>
          <w:rFonts w:ascii="맑은 고딕" w:cs="맑은 고딕" w:eastAsia="맑은 고딕" w:hAnsi="맑은 고딕"/>
          <w:b/>
          <w:bCs/>
          <w:color w:val="1F3864"/>
          <w:sz w:val="18"/>
          <w:szCs w:val="18"/>
        </w:rPr>
        <w:t xml:space="preserve">[표 4-1] 장 요약</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7838"/>
      </w:tblGrid>
      <w:tr>
        <w:trPr>
          <w:cantSplit/>
          <w:tblHeader/>
        </w:trPr>
        <w:tc>
          <w:tcPr>
            <w:tcW w:type="dxa" w:w="1800"/>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구분</w:t>
            </w:r>
          </w:p>
        </w:tc>
        <w:tc>
          <w:tcPr>
            <w:tcW w:type="dxa" w:w="7838"/>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내용</w:t>
            </w:r>
          </w:p>
        </w:tc>
      </w:tr>
      <w:tr>
        <w:trPr>
          <w:cantSplit/>
          <w:tblHeader w:val="false"/>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문제 (Problem)</w:t>
            </w:r>
          </w:p>
        </w:tc>
        <w:tc>
          <w:tcPr>
            <w:tcW w:type="dxa" w:w="783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실패 사이클(제3장)은 어느 한 기능의 교체로는 끊어지지 않는다</w:t>
            </w:r>
          </w:p>
        </w:tc>
      </w:tr>
      <w:tr>
        <w:trPr>
          <w:cantSplit/>
          <w:tblHeader w:val="false"/>
        </w:trPr>
        <w:tc>
          <w:tcPr>
            <w:tcW w:type="dxa" w:w="180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원인 (Reason)</w:t>
            </w:r>
          </w:p>
        </w:tc>
        <w:tc>
          <w:tcPr>
            <w:tcW w:type="dxa" w:w="7838"/>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분업 구조의 업체는 자기 구간만 책임지므로, 구간 간 연결이 발생하지 않는다</w:t>
            </w:r>
          </w:p>
        </w:tc>
      </w:tr>
      <w:tr>
        <w:trPr>
          <w:cantSplit/>
          <w:tblHeader w:val="false"/>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방법 (Method)</w:t>
            </w:r>
          </w:p>
        </w:tc>
        <w:tc>
          <w:tcPr>
            <w:tcW w:type="dxa" w:w="783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현장분석부터 최적화까지 10단계를 단일 책임으로 운영하고, 7단계 내부 운영 표준으로 실행한다</w:t>
            </w:r>
          </w:p>
        </w:tc>
      </w:tr>
      <w:tr>
        <w:trPr>
          <w:cantSplit/>
          <w:tblHeader w:val="false"/>
        </w:trPr>
        <w:tc>
          <w:tcPr>
            <w:tcW w:type="dxa" w:w="180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기대 효과 (Effect)</w:t>
            </w:r>
          </w:p>
        </w:tc>
        <w:tc>
          <w:tcPr>
            <w:tcW w:type="dxa" w:w="7838"/>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매주 검증된 지식이 축적되고, 발주처는 수수료율이 아닌 시스템 기준으로 평가할 수 있다</w:t>
            </w:r>
          </w:p>
        </w:tc>
      </w:tr>
    </w:tbl>
    <w:p>
      <w:pPr>
        <w:spacing w:after="200" w:before="0"/>
      </w:pPr>
    </w:p>
    <w:p>
      <w:pPr>
        <w:pStyle w:val="Heading2"/>
        <w:keepNext/>
        <w:spacing w:after="140" w:before="300"/>
      </w:pPr>
      <w:r>
        <w:rPr>
          <w:rFonts w:ascii="맑은 고딕" w:cs="맑은 고딕" w:eastAsia="맑은 고딕" w:hAnsi="맑은 고딕"/>
          <w:b/>
          <w:bCs/>
          <w:color w:val="1A1A1A"/>
          <w:sz w:val="23"/>
          <w:szCs w:val="23"/>
        </w:rPr>
        <w:t xml:space="preserve">4.1 운영체계의 정의</w:t>
      </w:r>
    </w:p>
    <w:p>
      <w:pPr>
        <w:keepNext w:val="false"/>
        <w:spacing w:after="130" w:before="60" w:line="310"/>
        <w:jc w:val="both"/>
      </w:pPr>
      <w:r>
        <w:rPr>
          <w:rFonts w:ascii="맑은 고딕" w:cs="맑은 고딕" w:eastAsia="맑은 고딕" w:hAnsi="맑은 고딕"/>
          <w:b w:val="false"/>
          <w:bCs w:val="false"/>
          <w:i w:val="false"/>
          <w:iCs w:val="false"/>
          <w:color w:val="1A1A1A"/>
          <w:sz w:val="20"/>
          <w:szCs w:val="20"/>
        </w:rPr>
        <w:t xml:space="preserve">분양하마 AI 분양 수요 전환 시스템은 하나의 광고 매체도, 하나의 분석 리포트도, 하나의 소프트웨어도 아닙니다. 다음의 순환을 단일 책임으로 운영하는 체계입니다.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1F3864" w:sz="18"/>
              <w:bottom w:val="none" w:color="FFFFFF" w:sz="0"/>
              <w:right w:val="none" w:color="FFFFFF" w:sz="0"/>
            </w:tcBorders>
            <w:shd w:fill="F0F3F8" w:color="auto" w:val="clear"/>
            <w:tcMar>
              <w:top w:type="dxa" w:w="150"/>
              <w:left w:type="dxa" w:w="220"/>
              <w:bottom w:type="dxa" w:w="150"/>
              <w:right w:type="dxa" w:w="180"/>
            </w:tcMar>
          </w:tcPr>
          <w:p>
            <w:pPr>
              <w:spacing w:after="0" w:before="0" w:line="300"/>
            </w:pPr>
            <w:r>
              <w:rPr>
                <w:rFonts w:ascii="맑은 고딕" w:cs="맑은 고딕" w:eastAsia="맑은 고딕" w:hAnsi="맑은 고딕"/>
                <w:color w:val="1A1A1A"/>
                <w:sz w:val="19"/>
                <w:szCs w:val="19"/>
              </w:rPr>
              <w:t xml:space="preserve">현장 자료와 공식 데이터를 검증하여 가격·수요·공급·촉매·위험을 분석하고, 이를 판매 논리와 고객 질문형 콘텐츠로 전환한 뒤, 고객 단계별로 광고를 집행하고, 유입 고객을 업무툴에서 배정부터 계약까지 관리하며, 그 결과를 다시 분석과 광고 최적화에 반영한다.</w:t>
            </w:r>
          </w:p>
        </w:tc>
      </w:tr>
    </w:tbl>
    <w:p>
      <w:pPr>
        <w:spacing w:after="180" w:before="0"/>
      </w:pPr>
    </w:p>
    <w:p>
      <w:pPr>
        <w:pStyle w:val="Heading2"/>
        <w:keepNext/>
        <w:spacing w:after="140" w:before="300"/>
      </w:pPr>
      <w:r>
        <w:rPr>
          <w:rFonts w:ascii="맑은 고딕" w:cs="맑은 고딕" w:eastAsia="맑은 고딕" w:hAnsi="맑은 고딕"/>
          <w:b/>
          <w:bCs/>
          <w:color w:val="1A1A1A"/>
          <w:sz w:val="23"/>
          <w:szCs w:val="23"/>
        </w:rPr>
        <w:t xml:space="preserve">4.2 10단계 가치 사슬</w:t>
      </w:r>
    </w:p>
    <w:p>
      <w:pPr>
        <w:keepNext/>
        <w:spacing w:after="90" w:before="220"/>
      </w:pPr>
      <w:r>
        <w:rPr>
          <w:rFonts w:ascii="맑은 고딕" w:cs="맑은 고딕" w:eastAsia="맑은 고딕" w:hAnsi="맑은 고딕"/>
          <w:b/>
          <w:bCs/>
          <w:color w:val="1F3864"/>
          <w:sz w:val="18"/>
          <w:szCs w:val="18"/>
        </w:rPr>
        <w:t xml:space="preserve">[표 4-2] 단계별 업무 범위 대조</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11"/>
        <w:gridCol w:w="2717"/>
        <w:gridCol w:w="4260"/>
        <w:gridCol w:w="1150"/>
      </w:tblGrid>
      <w:tr>
        <w:trPr>
          <w:cantSplit/>
          <w:tblHeader/>
        </w:trPr>
        <w:tc>
          <w:tcPr>
            <w:tcW w:type="dxa" w:w="1511"/>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단계</w:t>
            </w:r>
          </w:p>
        </w:tc>
        <w:tc>
          <w:tcPr>
            <w:tcW w:type="dxa" w:w="2717"/>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전통적 대행</w:t>
            </w:r>
          </w:p>
        </w:tc>
        <w:tc>
          <w:tcPr>
            <w:tcW w:type="dxa" w:w="4260"/>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분양하마</w:t>
            </w:r>
          </w:p>
        </w:tc>
        <w:tc>
          <w:tcPr>
            <w:tcW w:type="dxa" w:w="1150"/>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상세</w:t>
            </w:r>
          </w:p>
        </w:tc>
      </w:tr>
      <w:tr>
        <w:trPr>
          <w:cantSplit/>
          <w:tblHeader w:val="false"/>
        </w:trPr>
        <w:tc>
          <w:tcPr>
            <w:tcW w:type="dxa" w:w="151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① 현장분석</w:t>
            </w:r>
          </w:p>
        </w:tc>
        <w:tc>
          <w:tcPr>
            <w:tcW w:type="dxa" w:w="271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없음 (기본 분양정보 확인)</w:t>
            </w:r>
          </w:p>
        </w:tc>
        <w:tc>
          <w:tcPr>
            <w:tcW w:type="dxa" w:w="42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7대 카테고리·15개 레이어·300+ 지표 검증</w:t>
            </w:r>
          </w:p>
        </w:tc>
        <w:tc>
          <w:tcPr>
            <w:tcW w:type="dxa" w:w="115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제5장</w:t>
            </w:r>
          </w:p>
        </w:tc>
      </w:tr>
      <w:tr>
        <w:trPr>
          <w:cantSplit/>
          <w:tblHeader w:val="false"/>
        </w:trPr>
        <w:tc>
          <w:tcPr>
            <w:tcW w:type="dxa" w:w="1511"/>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② 판매 논리</w:t>
            </w:r>
          </w:p>
        </w:tc>
        <w:tc>
          <w:tcPr>
            <w:tcW w:type="dxa" w:w="2717"/>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없음</w:t>
            </w:r>
          </w:p>
        </w:tc>
        <w:tc>
          <w:tcPr>
            <w:tcW w:type="dxa" w:w="426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고객 질문 6축 메시지맵, 표현 등급 지정</w:t>
            </w:r>
          </w:p>
        </w:tc>
        <w:tc>
          <w:tcPr>
            <w:tcW w:type="dxa" w:w="115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제6장</w:t>
            </w:r>
          </w:p>
        </w:tc>
      </w:tr>
      <w:tr>
        <w:trPr>
          <w:cantSplit/>
          <w:tblHeader w:val="false"/>
        </w:trPr>
        <w:tc>
          <w:tcPr>
            <w:tcW w:type="dxa" w:w="151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③ 콘텐츠 전략</w:t>
            </w:r>
          </w:p>
        </w:tc>
        <w:tc>
          <w:tcPr>
            <w:tcW w:type="dxa" w:w="271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범용 이미지·이벤트 소재</w:t>
            </w:r>
          </w:p>
        </w:tc>
        <w:tc>
          <w:tcPr>
            <w:tcW w:type="dxa" w:w="42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질문형 콘텐츠, 검증형 정보 허브</w:t>
            </w:r>
          </w:p>
        </w:tc>
        <w:tc>
          <w:tcPr>
            <w:tcW w:type="dxa" w:w="115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제7장</w:t>
            </w:r>
          </w:p>
        </w:tc>
      </w:tr>
      <w:tr>
        <w:trPr>
          <w:cantSplit/>
          <w:tblHeader w:val="false"/>
        </w:trPr>
        <w:tc>
          <w:tcPr>
            <w:tcW w:type="dxa" w:w="1511"/>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④ 광고 집행</w:t>
            </w:r>
          </w:p>
        </w:tc>
        <w:tc>
          <w:tcPr>
            <w:tcW w:type="dxa" w:w="2717"/>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업무의 전부</w:t>
            </w:r>
          </w:p>
        </w:tc>
        <w:tc>
          <w:tcPr>
            <w:tcW w:type="dxa" w:w="426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10단계 중 하나</w:t>
            </w:r>
          </w:p>
        </w:tc>
        <w:tc>
          <w:tcPr>
            <w:tcW w:type="dxa" w:w="115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제8장</w:t>
            </w:r>
          </w:p>
        </w:tc>
      </w:tr>
      <w:tr>
        <w:trPr>
          <w:cantSplit/>
          <w:tblHeader w:val="false"/>
        </w:trPr>
        <w:tc>
          <w:tcPr>
            <w:tcW w:type="dxa" w:w="151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⑤ CRM 연동</w:t>
            </w:r>
          </w:p>
        </w:tc>
        <w:tc>
          <w:tcPr>
            <w:tcW w:type="dxa" w:w="271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DB 전달 후 종료</w:t>
            </w:r>
          </w:p>
        </w:tc>
        <w:tc>
          <w:tcPr>
            <w:tcW w:type="dxa" w:w="42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자동 연동, 규칙 기반 배정</w:t>
            </w:r>
          </w:p>
        </w:tc>
        <w:tc>
          <w:tcPr>
            <w:tcW w:type="dxa" w:w="115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제9장</w:t>
            </w:r>
          </w:p>
        </w:tc>
      </w:tr>
      <w:tr>
        <w:trPr>
          <w:cantSplit/>
          <w:tblHeader w:val="false"/>
        </w:trPr>
        <w:tc>
          <w:tcPr>
            <w:tcW w:type="dxa" w:w="1511"/>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⑥ 고객관리</w:t>
            </w:r>
          </w:p>
        </w:tc>
        <w:tc>
          <w:tcPr>
            <w:tcW w:type="dxa" w:w="2717"/>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없음 (현장의 일)</w:t>
            </w:r>
          </w:p>
        </w:tc>
        <w:tc>
          <w:tcPr>
            <w:tcW w:type="dxa" w:w="426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10단계 상태 관리, 연락지연 통제</w:t>
            </w:r>
          </w:p>
        </w:tc>
        <w:tc>
          <w:tcPr>
            <w:tcW w:type="dxa" w:w="115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제9장</w:t>
            </w:r>
          </w:p>
        </w:tc>
      </w:tr>
      <w:tr>
        <w:trPr>
          <w:cantSplit/>
          <w:tblHeader w:val="false"/>
        </w:trPr>
        <w:tc>
          <w:tcPr>
            <w:tcW w:type="dxa" w:w="151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⑦ 방문</w:t>
            </w:r>
          </w:p>
        </w:tc>
        <w:tc>
          <w:tcPr>
            <w:tcW w:type="dxa" w:w="271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없음</w:t>
            </w:r>
          </w:p>
        </w:tc>
        <w:tc>
          <w:tcPr>
            <w:tcW w:type="dxa" w:w="42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예약·이행·노쇼 관리</w:t>
            </w:r>
          </w:p>
        </w:tc>
        <w:tc>
          <w:tcPr>
            <w:tcW w:type="dxa" w:w="115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제9장</w:t>
            </w:r>
          </w:p>
        </w:tc>
      </w:tr>
      <w:tr>
        <w:trPr>
          <w:cantSplit/>
          <w:tblHeader w:val="false"/>
        </w:trPr>
        <w:tc>
          <w:tcPr>
            <w:tcW w:type="dxa" w:w="1511"/>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⑧ 계약</w:t>
            </w:r>
          </w:p>
        </w:tc>
        <w:tc>
          <w:tcPr>
            <w:tcW w:type="dxa" w:w="2717"/>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없음</w:t>
            </w:r>
          </w:p>
        </w:tc>
        <w:tc>
          <w:tcPr>
            <w:tcW w:type="dxa" w:w="426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계약 검토 관리, 기여 경로 기록</w:t>
            </w:r>
          </w:p>
        </w:tc>
        <w:tc>
          <w:tcPr>
            <w:tcW w:type="dxa" w:w="115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제9·10장</w:t>
            </w:r>
          </w:p>
        </w:tc>
      </w:tr>
      <w:tr>
        <w:trPr>
          <w:cantSplit/>
          <w:tblHeader w:val="false"/>
        </w:trPr>
        <w:tc>
          <w:tcPr>
            <w:tcW w:type="dxa" w:w="151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⑨ 학습</w:t>
            </w:r>
          </w:p>
        </w:tc>
        <w:tc>
          <w:tcPr>
            <w:tcW w:type="dxa" w:w="271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없음</w:t>
            </w:r>
          </w:p>
        </w:tc>
        <w:tc>
          <w:tcPr>
            <w:tcW w:type="dxa" w:w="42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거절·전환 원인 분석</w:t>
            </w:r>
          </w:p>
        </w:tc>
        <w:tc>
          <w:tcPr>
            <w:tcW w:type="dxa" w:w="115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제10장</w:t>
            </w:r>
          </w:p>
        </w:tc>
      </w:tr>
      <w:tr>
        <w:trPr>
          <w:cantSplit/>
          <w:tblHeader w:val="false"/>
        </w:trPr>
        <w:tc>
          <w:tcPr>
            <w:tcW w:type="dxa" w:w="1511"/>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⑩ 최적화</w:t>
            </w:r>
          </w:p>
        </w:tc>
        <w:tc>
          <w:tcPr>
            <w:tcW w:type="dxa" w:w="2717"/>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소재 교체 수준</w:t>
            </w:r>
          </w:p>
        </w:tc>
        <w:tc>
          <w:tcPr>
            <w:tcW w:type="dxa" w:w="426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예산·메시지·상담의 재조정</w:t>
            </w:r>
          </w:p>
        </w:tc>
        <w:tc>
          <w:tcPr>
            <w:tcW w:type="dxa" w:w="115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제10·12장</w:t>
            </w:r>
          </w:p>
        </w:tc>
      </w:tr>
    </w:tbl>
    <w:p>
      <w:pPr>
        <w:spacing w:after="200" w:before="0"/>
      </w:pPr>
    </w:p>
    <w:p>
      <w:pPr>
        <w:keepNext w:val="false"/>
        <w:spacing w:after="130" w:before="60" w:line="310"/>
        <w:jc w:val="both"/>
      </w:pPr>
      <w:r>
        <w:rPr>
          <w:rFonts w:ascii="맑은 고딕" w:cs="맑은 고딕" w:eastAsia="맑은 고딕" w:hAnsi="맑은 고딕"/>
          <w:b w:val="false"/>
          <w:bCs w:val="false"/>
          <w:i w:val="false"/>
          <w:iCs w:val="false"/>
          <w:color w:val="1A1A1A"/>
          <w:sz w:val="20"/>
          <w:szCs w:val="20"/>
        </w:rPr>
        <w:t xml:space="preserve">좌측 열의 "없음"은 개별 업체의 불성실이 아니라 </w:t>
      </w:r>
      <w:r>
        <w:rPr>
          <w:rFonts w:ascii="맑은 고딕" w:cs="맑은 고딕" w:eastAsia="맑은 고딕" w:hAnsi="맑은 고딕"/>
          <w:b/>
          <w:bCs/>
          <w:i w:val="false"/>
          <w:iCs w:val="false"/>
          <w:color w:val="1A1A1A"/>
          <w:sz w:val="20"/>
          <w:szCs w:val="20"/>
        </w:rPr>
        <w:t xml:space="preserve">업무 범위 정의의 차이</w:t>
      </w:r>
      <w:r>
        <w:rPr>
          <w:rFonts w:ascii="맑은 고딕" w:cs="맑은 고딕" w:eastAsia="맑은 고딕" w:hAnsi="맑은 고딕"/>
          <w:b w:val="false"/>
          <w:bCs w:val="false"/>
          <w:i w:val="false"/>
          <w:iCs w:val="false"/>
          <w:color w:val="1A1A1A"/>
          <w:sz w:val="20"/>
          <w:szCs w:val="20"/>
        </w:rPr>
        <w:t xml:space="preserve">입니다. 분업 구조에서 각 주체는 관행상 성실히 수행하더라도 항목 간 연결이 발생하지 않으며, 연결이 없는 한 개별 항목을 개선해도 제3장의 실패 사슬은 끊어지지 않습니다.</w:t>
      </w:r>
    </w:p>
    <w:p>
      <w:pPr>
        <w:keepNext w:val="false"/>
        <w:spacing w:after="160" w:before="20" w:line="310"/>
        <w:jc w:val="left"/>
      </w:pPr>
      <w:r>
        <w:rPr>
          <w:rFonts w:ascii="맑은 고딕" w:cs="맑은 고딕" w:eastAsia="맑은 고딕" w:hAnsi="맑은 고딕"/>
          <w:b w:val="false"/>
          <w:bCs w:val="false"/>
          <w:i/>
          <w:iCs/>
          <w:color w:val="5A5A5A"/>
          <w:sz w:val="17"/>
          <w:szCs w:val="17"/>
        </w:rPr>
        <w:t xml:space="preserve">본 대조는 특정 업체를 일반화한 비교가 아니라, 운영 구조(업무 범위 정의)의 차이를 설명하기 위한 것입니다.</w:t>
      </w:r>
    </w:p>
    <w:p>
      <w:pPr>
        <w:pStyle w:val="Heading2"/>
        <w:keepNext/>
        <w:spacing w:after="140" w:before="300"/>
      </w:pPr>
      <w:r>
        <w:rPr>
          <w:rFonts w:ascii="맑은 고딕" w:cs="맑은 고딕" w:eastAsia="맑은 고딕" w:hAnsi="맑은 고딕"/>
          <w:b/>
          <w:bCs/>
          <w:color w:val="1A1A1A"/>
          <w:sz w:val="23"/>
          <w:szCs w:val="23"/>
        </w:rPr>
        <w:t xml:space="preserve">4.3 7단계 내부 운영 표준</w:t>
      </w:r>
    </w:p>
    <w:p>
      <w:pPr>
        <w:keepNext w:val="false"/>
        <w:spacing w:after="130" w:before="60" w:line="310"/>
        <w:jc w:val="both"/>
      </w:pPr>
      <w:r>
        <w:rPr>
          <w:rFonts w:ascii="맑은 고딕" w:cs="맑은 고딕" w:eastAsia="맑은 고딕" w:hAnsi="맑은 고딕"/>
          <w:b w:val="false"/>
          <w:bCs w:val="false"/>
          <w:i w:val="false"/>
          <w:iCs w:val="false"/>
          <w:color w:val="1A1A1A"/>
          <w:sz w:val="20"/>
          <w:szCs w:val="20"/>
        </w:rPr>
        <w:t xml:space="preserve">10단계 가치 사슬은 발주처·고객 관점의 흐름이며, 이를 실행하는 내부 운영은 일곱 단계로 표준화됩니다.</w:t>
      </w:r>
    </w:p>
    <w:p>
      <w:pPr>
        <w:keepNext/>
        <w:spacing w:after="90" w:before="220"/>
      </w:pPr>
      <w:r>
        <w:rPr>
          <w:rFonts w:ascii="맑은 고딕" w:cs="맑은 고딕" w:eastAsia="맑은 고딕" w:hAnsi="맑은 고딕"/>
          <w:b/>
          <w:bCs/>
          <w:color w:val="1F3864"/>
          <w:sz w:val="18"/>
          <w:szCs w:val="18"/>
        </w:rPr>
        <w:t xml:space="preserve">[표 4-3] 7단계 전환 운영과 생성 정보</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0"/>
        <w:gridCol w:w="1802"/>
        <w:gridCol w:w="3594"/>
        <w:gridCol w:w="3092"/>
      </w:tblGrid>
      <w:tr>
        <w:trPr>
          <w:cantSplit/>
          <w:tblHeader/>
        </w:trPr>
        <w:tc>
          <w:tcPr>
            <w:tcW w:type="dxa" w:w="1150"/>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내부 단계</w:t>
            </w:r>
          </w:p>
        </w:tc>
        <w:tc>
          <w:tcPr>
            <w:tcW w:type="dxa" w:w="1802"/>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담당하는 가치 사슬</w:t>
            </w:r>
          </w:p>
        </w:tc>
        <w:tc>
          <w:tcPr>
            <w:tcW w:type="dxa" w:w="3594"/>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핵심 활동</w:t>
            </w:r>
          </w:p>
        </w:tc>
        <w:tc>
          <w:tcPr>
            <w:tcW w:type="dxa" w:w="3092"/>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생성되는 관리 정보</w:t>
            </w:r>
          </w:p>
        </w:tc>
      </w:tr>
      <w:tr>
        <w:trPr>
          <w:cantSplit/>
          <w:tblHeader w:val="false"/>
        </w:trPr>
        <w:tc>
          <w:tcPr>
            <w:tcW w:type="dxa" w:w="115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① 진단</w:t>
            </w:r>
          </w:p>
        </w:tc>
        <w:tc>
          <w:tcPr>
            <w:tcW w:type="dxa" w:w="1802"/>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① 현장분석</w:t>
            </w:r>
          </w:p>
        </w:tc>
        <w:tc>
          <w:tcPr>
            <w:tcW w:type="dxa" w:w="3594"/>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자료 수령, 데이터 커버리지 점검</w:t>
            </w:r>
          </w:p>
        </w:tc>
        <w:tc>
          <w:tcPr>
            <w:tcW w:type="dxa" w:w="3092"/>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입력검증표, 분석경계, 결측·제약</w:t>
            </w:r>
          </w:p>
        </w:tc>
      </w:tr>
      <w:tr>
        <w:trPr>
          <w:cantSplit/>
          <w:tblHeader w:val="false"/>
        </w:trPr>
        <w:tc>
          <w:tcPr>
            <w:tcW w:type="dxa" w:w="115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② 분석</w:t>
            </w:r>
          </w:p>
        </w:tc>
        <w:tc>
          <w:tcPr>
            <w:tcW w:type="dxa" w:w="1802"/>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① 현장분석</w:t>
            </w:r>
          </w:p>
        </w:tc>
        <w:tc>
          <w:tcPr>
            <w:tcW w:type="dxa" w:w="3594"/>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가격·수요·공급·환금성·촉매·위험 분석</w:t>
            </w:r>
          </w:p>
        </w:tc>
        <w:tc>
          <w:tcPr>
            <w:tcW w:type="dxa" w:w="3092"/>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근거원장, 현장진단, 시나리오</w:t>
            </w:r>
          </w:p>
        </w:tc>
      </w:tr>
      <w:tr>
        <w:trPr>
          <w:cantSplit/>
          <w:tblHeader w:val="false"/>
        </w:trPr>
        <w:tc>
          <w:tcPr>
            <w:tcW w:type="dxa" w:w="115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③ 설득설계</w:t>
            </w:r>
          </w:p>
        </w:tc>
        <w:tc>
          <w:tcPr>
            <w:tcW w:type="dxa" w:w="1802"/>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② 판매 논리</w:t>
            </w:r>
          </w:p>
        </w:tc>
        <w:tc>
          <w:tcPr>
            <w:tcW w:type="dxa" w:w="3594"/>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고객 질문·가격저항·반대근거 정리</w:t>
            </w:r>
          </w:p>
        </w:tc>
        <w:tc>
          <w:tcPr>
            <w:tcW w:type="dxa" w:w="3092"/>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메시지맵, 고객유형, 표현등급</w:t>
            </w:r>
          </w:p>
        </w:tc>
      </w:tr>
      <w:tr>
        <w:trPr>
          <w:cantSplit/>
          <w:tblHeader w:val="false"/>
        </w:trPr>
        <w:tc>
          <w:tcPr>
            <w:tcW w:type="dxa" w:w="115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④ 제작</w:t>
            </w:r>
          </w:p>
        </w:tc>
        <w:tc>
          <w:tcPr>
            <w:tcW w:type="dxa" w:w="1802"/>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③ 콘텐츠 전략</w:t>
            </w:r>
          </w:p>
        </w:tc>
        <w:tc>
          <w:tcPr>
            <w:tcW w:type="dxa" w:w="3594"/>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정보 허브·리포트·소재 제작</w:t>
            </w:r>
          </w:p>
        </w:tc>
        <w:tc>
          <w:tcPr>
            <w:tcW w:type="dxa" w:w="3092"/>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소재목록, 버전, 승인기록</w:t>
            </w:r>
          </w:p>
        </w:tc>
      </w:tr>
      <w:tr>
        <w:trPr>
          <w:cantSplit/>
          <w:tblHeader w:val="false"/>
        </w:trPr>
        <w:tc>
          <w:tcPr>
            <w:tcW w:type="dxa" w:w="115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⑤ 집행</w:t>
            </w:r>
          </w:p>
        </w:tc>
        <w:tc>
          <w:tcPr>
            <w:tcW w:type="dxa" w:w="1802"/>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④ 광고</w:t>
            </w:r>
          </w:p>
        </w:tc>
        <w:tc>
          <w:tcPr>
            <w:tcW w:type="dxa" w:w="3594"/>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매체별 역할 운영</w:t>
            </w:r>
          </w:p>
        </w:tc>
        <w:tc>
          <w:tcPr>
            <w:tcW w:type="dxa" w:w="3092"/>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캠페인·지출·노출·클릭·전환</w:t>
            </w:r>
          </w:p>
        </w:tc>
      </w:tr>
      <w:tr>
        <w:trPr>
          <w:cantSplit/>
          <w:tblHeader w:val="false"/>
        </w:trPr>
        <w:tc>
          <w:tcPr>
            <w:tcW w:type="dxa" w:w="115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⑥ 전환관리</w:t>
            </w:r>
          </w:p>
        </w:tc>
        <w:tc>
          <w:tcPr>
            <w:tcW w:type="dxa" w:w="1802"/>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⑤~⑧ CRM~계약</w:t>
            </w:r>
          </w:p>
        </w:tc>
        <w:tc>
          <w:tcPr>
            <w:tcW w:type="dxa" w:w="3594"/>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배정·연락·상담·방문·계약 관리</w:t>
            </w:r>
          </w:p>
        </w:tc>
        <w:tc>
          <w:tcPr>
            <w:tcW w:type="dxa" w:w="3092"/>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고객상태, 처리시간, 거절사유</w:t>
            </w:r>
          </w:p>
        </w:tc>
      </w:tr>
      <w:tr>
        <w:trPr>
          <w:cantSplit/>
          <w:tblHeader w:val="false"/>
        </w:trPr>
        <w:tc>
          <w:tcPr>
            <w:tcW w:type="dxa" w:w="115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⑦ 학습</w:t>
            </w:r>
          </w:p>
        </w:tc>
        <w:tc>
          <w:tcPr>
            <w:tcW w:type="dxa" w:w="1802"/>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⑨~⑩ 학습·최적화</w:t>
            </w:r>
          </w:p>
        </w:tc>
        <w:tc>
          <w:tcPr>
            <w:tcW w:type="dxa" w:w="3594"/>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광고 성과와 현장 성과의 결합 분석</w:t>
            </w:r>
          </w:p>
        </w:tc>
        <w:tc>
          <w:tcPr>
            <w:tcW w:type="dxa" w:w="3092"/>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기여소재, 병목, 개선안</w:t>
            </w:r>
          </w:p>
        </w:tc>
      </w:tr>
    </w:tbl>
    <w:p>
      <w:pPr>
        <w:spacing w:after="200" w:before="0"/>
      </w:pPr>
    </w:p>
    <w:p>
      <w:pPr>
        <w:pStyle w:val="Heading2"/>
        <w:keepNext/>
        <w:spacing w:after="140" w:before="300"/>
      </w:pPr>
      <w:r>
        <w:rPr>
          <w:rFonts w:ascii="맑은 고딕" w:cs="맑은 고딕" w:eastAsia="맑은 고딕" w:hAnsi="맑은 고딕"/>
          <w:b/>
          <w:bCs/>
          <w:color w:val="1A1A1A"/>
          <w:sz w:val="23"/>
          <w:szCs w:val="23"/>
        </w:rPr>
        <w:t xml:space="preserve">4.4 폐쇄형 학습 구조</w:t>
      </w:r>
    </w:p>
    <w:p>
      <w:pPr>
        <w:keepNext w:val="false"/>
        <w:spacing w:after="130" w:before="60" w:line="310"/>
        <w:jc w:val="both"/>
      </w:pPr>
      <w:r>
        <w:rPr>
          <w:rFonts w:ascii="맑은 고딕" w:cs="맑은 고딕" w:eastAsia="맑은 고딕" w:hAnsi="맑은 고딕"/>
          <w:b w:val="false"/>
          <w:bCs w:val="false"/>
          <w:i w:val="false"/>
          <w:iCs w:val="false"/>
          <w:color w:val="1A1A1A"/>
          <w:sz w:val="20"/>
          <w:szCs w:val="20"/>
        </w:rPr>
        <w:t xml:space="preserve">일곱 번째 단계가 첫 번째 단계로 되돌아가는 것이 이 체계의 핵심입니다.</w:t>
      </w:r>
    </w:p>
    <w:p>
      <w:pPr>
        <w:keepNext w:val="false"/>
        <w:spacing w:after="130" w:before="60" w:line="310"/>
        <w:jc w:val="both"/>
      </w:pPr>
      <w:r>
        <w:rPr>
          <w:rFonts w:ascii="맑은 고딕" w:cs="맑은 고딕" w:eastAsia="맑은 고딕" w:hAnsi="맑은 고딕"/>
          <w:b w:val="false"/>
          <w:bCs w:val="false"/>
          <w:i w:val="false"/>
          <w:iCs w:val="false"/>
          <w:color w:val="1A1A1A"/>
          <w:sz w:val="20"/>
          <w:szCs w:val="20"/>
        </w:rPr>
        <w:t xml:space="preserve">광고 데이터만으로는 고객이 왜 거절했는지 알 수 없고, 상담 기록만으로는 어떤 광고가 그 고객을 유입시켰는지 알 수 없습니다. 당사는 광고 소재, 유입 캠페인, 담당자, 최초 연락 시각, 상담 결과, 방문, 계약 상태를 하나의 키로 연결합니다.</w:t>
      </w:r>
    </w:p>
    <w:p>
      <w:pPr>
        <w:keepNext/>
        <w:spacing w:after="90" w:before="220"/>
      </w:pPr>
      <w:r>
        <w:rPr>
          <w:rFonts w:ascii="맑은 고딕" w:cs="맑은 고딕" w:eastAsia="맑은 고딕" w:hAnsi="맑은 고딕"/>
          <w:b/>
          <w:bCs/>
          <w:color w:val="1F3864"/>
          <w:sz w:val="18"/>
          <w:szCs w:val="18"/>
        </w:rPr>
        <w:t xml:space="preserve">[그림 4-1] 운영 순환</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BFBFBF" w:sz="4"/>
              <w:left w:val="single" w:color="BFBFBF" w:sz="4"/>
              <w:bottom w:val="single" w:color="BFBFBF" w:sz="4"/>
              <w:right w:val="single" w:color="BFBFBF" w:sz="4"/>
            </w:tcBorders>
            <w:shd w:fill="F4F5F7" w:color="auto" w:val="clear"/>
            <w:tcMar>
              <w:top w:type="dxa" w:w="160"/>
              <w:left w:type="dxa" w:w="200"/>
              <w:bottom w:type="dxa" w:w="160"/>
              <w:right w:type="dxa" w:w="160"/>
            </w:tcMar>
          </w:tcPr>
          <w:p>
            <w:pPr>
              <w:spacing w:after="0" w:before="0" w:line="240"/>
              <w:jc w:val="left"/>
            </w:pPr>
            <w:r>
              <w:rPr>
                <w:rFonts w:ascii="굴림체" w:cs="굴림체" w:eastAsia="굴림체" w:hAnsi="굴림체"/>
                <w:color w:val="1A1A1A"/>
                <w:sz w:val="16"/>
                <w:szCs w:val="16"/>
              </w:rPr>
              <w:t xml:space="preserve">광고 소재 → 광고비 → 고객 유입 → 담당자 배정 → 최초 연락 → 상담 → 방문 → 계약</w:t>
            </w:r>
          </w:p>
          <w:p>
            <w:pPr>
              <w:spacing w:after="0" w:before="0" w:line="240"/>
              <w:jc w:val="left"/>
            </w:pPr>
            <w:r>
              <w:rPr>
                <w:rFonts w:ascii="굴림체" w:cs="굴림체" w:eastAsia="굴림체" w:hAnsi="굴림체"/>
                <w:color w:val="1A1A1A"/>
                <w:sz w:val="16"/>
                <w:szCs w:val="16"/>
              </w:rPr>
              <w:t xml:space="preserve">                                                                          │</w:t>
            </w:r>
          </w:p>
          <w:p>
            <w:pPr>
              <w:spacing w:after="0" w:before="0" w:line="240"/>
              <w:jc w:val="left"/>
            </w:pPr>
            <w:r>
              <w:rPr>
                <w:rFonts w:ascii="굴림체" w:cs="굴림체" w:eastAsia="굴림체" w:hAnsi="굴림체"/>
                <w:color w:val="1A1A1A"/>
                <w:sz w:val="16"/>
                <w:szCs w:val="16"/>
              </w:rPr>
              <w:t xml:space="preserve">   ┌──────────────────────────────────────────────────────────────────────┘</w:t>
            </w:r>
          </w:p>
          <w:p>
            <w:pPr>
              <w:spacing w:after="0" w:before="0" w:line="240"/>
              <w:jc w:val="left"/>
            </w:pPr>
            <w:r>
              <w:rPr>
                <w:rFonts w:ascii="굴림체" w:cs="굴림체" w:eastAsia="굴림체" w:hAnsi="굴림체"/>
                <w:color w:val="1A1A1A"/>
                <w:sz w:val="16"/>
                <w:szCs w:val="16"/>
              </w:rPr>
              <w:t xml:space="preserve">   ▼</w:t>
            </w:r>
          </w:p>
          <w:p>
            <w:pPr>
              <w:spacing w:after="0" w:before="0" w:line="240"/>
              <w:jc w:val="left"/>
            </w:pPr>
            <w:r>
              <w:rPr>
                <w:rFonts w:ascii="굴림체" w:cs="굴림체" w:eastAsia="굴림체" w:hAnsi="굴림체"/>
                <w:color w:val="1A1A1A"/>
                <w:sz w:val="16"/>
                <w:szCs w:val="16"/>
              </w:rPr>
              <w:t xml:space="preserve">거절·성공 원인 분석 → 메시지·매체·상담 개선 → (다음 주기의 광고 소재)</w:t>
            </w:r>
          </w:p>
        </w:tc>
      </w:tr>
    </w:tbl>
    <w:p>
      <w:pPr>
        <w:spacing w:after="160" w:before="0"/>
      </w:pPr>
    </w:p>
    <w:p>
      <w:pPr>
        <w:keepNext w:val="false"/>
        <w:spacing w:after="130" w:before="60" w:line="310"/>
        <w:jc w:val="both"/>
      </w:pPr>
      <w:r>
        <w:rPr>
          <w:rFonts w:ascii="맑은 고딕" w:cs="맑은 고딕" w:eastAsia="맑은 고딕" w:hAnsi="맑은 고딕"/>
          <w:b w:val="false"/>
          <w:bCs w:val="false"/>
          <w:i w:val="false"/>
          <w:iCs w:val="false"/>
          <w:color w:val="1A1A1A"/>
          <w:sz w:val="20"/>
          <w:szCs w:val="20"/>
        </w:rPr>
        <w:t xml:space="preserve">이 순환이 작동하는 조직과 작동하지 않는 조직의 차이는 시간이 지날수록 확대됩니다. 작동하는 조직은 매주 검증된 지식을 축적하고, 작동하지 않는 조직은 매주 같은 실험을 반복합니다.</w:t>
      </w:r>
    </w:p>
    <w:p>
      <w:pPr>
        <w:pStyle w:val="Heading2"/>
        <w:keepNext/>
        <w:spacing w:after="140" w:before="300"/>
      </w:pPr>
      <w:r>
        <w:rPr>
          <w:rFonts w:ascii="맑은 고딕" w:cs="맑은 고딕" w:eastAsia="맑은 고딕" w:hAnsi="맑은 고딕"/>
          <w:b/>
          <w:bCs/>
          <w:color w:val="1A1A1A"/>
          <w:sz w:val="23"/>
          <w:szCs w:val="23"/>
        </w:rPr>
        <w:t xml:space="preserve">4.5 수행 주체 구조</w:t>
      </w:r>
    </w:p>
    <w:p>
      <w:pPr>
        <w:keepNext/>
        <w:spacing w:after="90" w:before="220"/>
      </w:pPr>
      <w:r>
        <w:rPr>
          <w:rFonts w:ascii="맑은 고딕" w:cs="맑은 고딕" w:eastAsia="맑은 고딕" w:hAnsi="맑은 고딕"/>
          <w:b/>
          <w:bCs/>
          <w:color w:val="1F3864"/>
          <w:sz w:val="18"/>
          <w:szCs w:val="18"/>
        </w:rPr>
        <w:t xml:space="preserve">[표 4-4] 분양하마와 테이블플립의 역할</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90"/>
        <w:gridCol w:w="7648"/>
      </w:tblGrid>
      <w:tr>
        <w:trPr>
          <w:cantSplit/>
          <w:tblHeader/>
        </w:trPr>
        <w:tc>
          <w:tcPr>
            <w:tcW w:type="dxa" w:w="1990"/>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주체</w:t>
            </w:r>
          </w:p>
        </w:tc>
        <w:tc>
          <w:tcPr>
            <w:tcW w:type="dxa" w:w="7648"/>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역할</w:t>
            </w:r>
          </w:p>
        </w:tc>
      </w:tr>
      <w:tr>
        <w:trPr>
          <w:cantSplit/>
          <w:tblHeader w:val="false"/>
        </w:trPr>
        <w:tc>
          <w:tcPr>
            <w:tcW w:type="dxa" w:w="199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분양하마</w:t>
            </w:r>
          </w:p>
        </w:tc>
        <w:tc>
          <w:tcPr>
            <w:tcW w:type="dxa" w:w="764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제안·계약·현장분석·설득설계·광고 운영·현장 전환관리·성과 보고의 수행 주체</w:t>
            </w:r>
          </w:p>
        </w:tc>
      </w:tr>
      <w:tr>
        <w:trPr>
          <w:cantSplit/>
          <w:tblHeader w:val="false"/>
        </w:trPr>
        <w:tc>
          <w:tcPr>
            <w:tcW w:type="dxa" w:w="199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테이블플립 (모회사)</w:t>
            </w:r>
          </w:p>
        </w:tc>
        <w:tc>
          <w:tcPr>
            <w:tcW w:type="dxa" w:w="7648"/>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AI·데이터 분석·GEO·업무시스템의 기술 기반 제공</w:t>
            </w:r>
          </w:p>
        </w:tc>
      </w:tr>
    </w:tbl>
    <w:p>
      <w:pPr>
        <w:spacing w:after="200" w:before="0"/>
      </w:pPr>
    </w:p>
    <w:p>
      <w:pPr>
        <w:keepNext w:val="false"/>
        <w:spacing w:after="130" w:before="60" w:line="310"/>
        <w:jc w:val="both"/>
      </w:pPr>
      <w:r>
        <w:rPr>
          <w:rFonts w:ascii="맑은 고딕" w:cs="맑은 고딕" w:eastAsia="맑은 고딕" w:hAnsi="맑은 고딕"/>
          <w:b w:val="false"/>
          <w:bCs w:val="false"/>
          <w:i w:val="false"/>
          <w:iCs w:val="false"/>
          <w:color w:val="1A1A1A"/>
          <w:sz w:val="20"/>
          <w:szCs w:val="20"/>
        </w:rPr>
        <w:t xml:space="preserve">분양하마는 테이블플립의 분석·콘텐츠·디지털 운영 역량을 분양 업무에 결합한 자회사이자 전문 운영 브랜드입니다. 기술 기반은 모회사의 축적된 역량을 활용하되, </w:t>
      </w:r>
      <w:r>
        <w:rPr>
          <w:rFonts w:ascii="맑은 고딕" w:cs="맑은 고딕" w:eastAsia="맑은 고딕" w:hAnsi="맑은 고딕"/>
          <w:b/>
          <w:bCs/>
          <w:i w:val="false"/>
          <w:iCs w:val="false"/>
          <w:color w:val="1A1A1A"/>
          <w:sz w:val="20"/>
          <w:szCs w:val="20"/>
        </w:rPr>
        <w:t xml:space="preserve">분양 현장의 계약·운영·책임은 분양하마가 단일 창구로 담당합니다.</w:t>
      </w:r>
    </w:p>
    <w:p>
      <w:pPr>
        <w:pStyle w:val="Heading2"/>
        <w:keepNext/>
        <w:spacing w:after="140" w:before="300"/>
      </w:pPr>
      <w:r>
        <w:rPr>
          <w:rFonts w:ascii="맑은 고딕" w:cs="맑은 고딕" w:eastAsia="맑은 고딕" w:hAnsi="맑은 고딕"/>
          <w:b/>
          <w:bCs/>
          <w:color w:val="1A1A1A"/>
          <w:sz w:val="23"/>
          <w:szCs w:val="23"/>
        </w:rPr>
        <w:t xml:space="preserve">4.6 "수수료 10%"를 차별점으로 제시하지 않는 이유</w:t>
      </w:r>
    </w:p>
    <w:p>
      <w:pPr>
        <w:keepNext w:val="false"/>
        <w:spacing w:after="130" w:before="60" w:line="310"/>
        <w:jc w:val="both"/>
      </w:pPr>
      <w:r>
        <w:rPr>
          <w:rFonts w:ascii="맑은 고딕" w:cs="맑은 고딕" w:eastAsia="맑은 고딕" w:hAnsi="맑은 고딕"/>
          <w:b w:val="false"/>
          <w:bCs w:val="false"/>
          <w:i w:val="false"/>
          <w:iCs w:val="false"/>
          <w:color w:val="1A1A1A"/>
          <w:sz w:val="20"/>
          <w:szCs w:val="20"/>
        </w:rPr>
        <w:t xml:space="preserve">당사의 표준 운영수수료는 광고운영예산의 10%입니다. 그러나 이 수치는 시장에서도 확인될 수 있는 조건이므로, 본 제안의 차별점으로 제시하지 않습니다.</w:t>
      </w:r>
    </w:p>
    <w:p>
      <w:pPr>
        <w:keepNext/>
        <w:spacing w:after="90" w:before="220"/>
      </w:pPr>
      <w:r>
        <w:rPr>
          <w:rFonts w:ascii="맑은 고딕" w:cs="맑은 고딕" w:eastAsia="맑은 고딕" w:hAnsi="맑은 고딕"/>
          <w:b/>
          <w:bCs/>
          <w:color w:val="1F3864"/>
          <w:sz w:val="18"/>
          <w:szCs w:val="18"/>
        </w:rPr>
        <w:t xml:space="preserve">[표 4-5] 수수료 비교 시 확인해야 할 구조</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19"/>
        <w:gridCol w:w="3213"/>
        <w:gridCol w:w="5206"/>
      </w:tblGrid>
      <w:tr>
        <w:trPr>
          <w:cantSplit/>
          <w:tblHeader/>
        </w:trPr>
        <w:tc>
          <w:tcPr>
            <w:tcW w:type="dxa" w:w="1219"/>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판단 항목</w:t>
            </w:r>
          </w:p>
        </w:tc>
        <w:tc>
          <w:tcPr>
            <w:tcW w:type="dxa" w:w="3213"/>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수수료율만 확인할 때</w:t>
            </w:r>
          </w:p>
        </w:tc>
        <w:tc>
          <w:tcPr>
            <w:tcW w:type="dxa" w:w="5206"/>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구조까지 확인할 때</w:t>
            </w:r>
          </w:p>
        </w:tc>
      </w:tr>
      <w:tr>
        <w:trPr>
          <w:cantSplit/>
          <w:tblHeader w:val="false"/>
        </w:trPr>
        <w:tc>
          <w:tcPr>
            <w:tcW w:type="dxa" w:w="1219"/>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기준 금액</w:t>
            </w:r>
          </w:p>
        </w:tc>
        <w:tc>
          <w:tcPr>
            <w:tcW w:type="dxa" w:w="321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"10%"라는 숫자만 비교</w:t>
            </w:r>
          </w:p>
        </w:tc>
        <w:tc>
          <w:tcPr>
            <w:tcW w:type="dxa" w:w="520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VAT 포함 여부, 제작비 포함 여부, 최소 비용</w:t>
            </w:r>
          </w:p>
        </w:tc>
      </w:tr>
      <w:tr>
        <w:trPr>
          <w:cantSplit/>
          <w:tblHeader w:val="false"/>
        </w:trPr>
        <w:tc>
          <w:tcPr>
            <w:tcW w:type="dxa" w:w="1219"/>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실제 매체비</w:t>
            </w:r>
          </w:p>
        </w:tc>
        <w:tc>
          <w:tcPr>
            <w:tcW w:type="dxa" w:w="3213"/>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나머지가 모두 광고비라고 추정</w:t>
            </w:r>
          </w:p>
        </w:tc>
        <w:tc>
          <w:tcPr>
            <w:tcW w:type="dxa" w:w="5206"/>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충전·결제·환불·잔액까지 실집행 원장으로 확인</w:t>
            </w:r>
          </w:p>
        </w:tc>
      </w:tr>
      <w:tr>
        <w:trPr>
          <w:cantSplit/>
          <w:tblHeader w:val="false"/>
        </w:trPr>
        <w:tc>
          <w:tcPr>
            <w:tcW w:type="dxa" w:w="1219"/>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제공 업무</w:t>
            </w:r>
          </w:p>
        </w:tc>
        <w:tc>
          <w:tcPr>
            <w:tcW w:type="dxa" w:w="321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운영 범위를 포괄적으로 이해</w:t>
            </w:r>
          </w:p>
        </w:tc>
        <w:tc>
          <w:tcPr>
            <w:tcW w:type="dxa" w:w="520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분석·전략·세팅·최적화·리포트의 실제 수행 범위</w:t>
            </w:r>
          </w:p>
        </w:tc>
      </w:tr>
      <w:tr>
        <w:trPr>
          <w:cantSplit/>
          <w:tblHeader w:val="false"/>
        </w:trPr>
        <w:tc>
          <w:tcPr>
            <w:tcW w:type="dxa" w:w="1219"/>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콘텐츠</w:t>
            </w:r>
          </w:p>
        </w:tc>
        <w:tc>
          <w:tcPr>
            <w:tcW w:type="dxa" w:w="3213"/>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운영비에 포함된 것으로 오해</w:t>
            </w:r>
          </w:p>
        </w:tc>
        <w:tc>
          <w:tcPr>
            <w:tcW w:type="dxa" w:w="5206"/>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종류·수량·촬영·수정·소유권을 별도 견적으로 확정</w:t>
            </w:r>
          </w:p>
        </w:tc>
      </w:tr>
      <w:tr>
        <w:trPr>
          <w:cantSplit/>
          <w:tblHeader w:val="false"/>
        </w:trPr>
        <w:tc>
          <w:tcPr>
            <w:tcW w:type="dxa" w:w="1219"/>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성과</w:t>
            </w:r>
          </w:p>
        </w:tc>
        <w:tc>
          <w:tcPr>
            <w:tcW w:type="dxa" w:w="321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DB 단가 중심 비교</w:t>
            </w:r>
          </w:p>
        </w:tc>
        <w:tc>
          <w:tcPr>
            <w:tcW w:type="dxa" w:w="520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유효 DB·상담·방문·계약·거절사유까지 기준 통일</w:t>
            </w:r>
          </w:p>
        </w:tc>
      </w:tr>
    </w:tbl>
    <w:p>
      <w:pPr>
        <w:spacing w:after="200" w:before="0"/>
      </w:pPr>
    </w:p>
    <w:p>
      <w:pPr>
        <w:keepNext w:val="false"/>
        <w:spacing w:after="130" w:before="60" w:line="310"/>
        <w:jc w:val="both"/>
      </w:pPr>
      <w:r>
        <w:rPr>
          <w:rFonts w:ascii="맑은 고딕" w:cs="맑은 고딕" w:eastAsia="맑은 고딕" w:hAnsi="맑은 고딕"/>
          <w:b w:val="false"/>
          <w:bCs w:val="false"/>
          <w:i w:val="false"/>
          <w:iCs w:val="false"/>
          <w:color w:val="1A1A1A"/>
          <w:sz w:val="20"/>
          <w:szCs w:val="20"/>
        </w:rPr>
        <w:t xml:space="preserve">발주처께 요청드리는 것은 분양하마를 포함한 모든 제안사를 </w:t>
      </w:r>
      <w:r>
        <w:rPr>
          <w:rFonts w:ascii="맑은 고딕" w:cs="맑은 고딕" w:eastAsia="맑은 고딕" w:hAnsi="맑은 고딕"/>
          <w:b/>
          <w:bCs/>
          <w:i w:val="false"/>
          <w:iCs w:val="false"/>
          <w:color w:val="1A1A1A"/>
          <w:sz w:val="20"/>
          <w:szCs w:val="20"/>
        </w:rPr>
        <w:t xml:space="preserve">이 구조 기준으로 비교</w:t>
      </w:r>
      <w:r>
        <w:rPr>
          <w:rFonts w:ascii="맑은 고딕" w:cs="맑은 고딕" w:eastAsia="맑은 고딕" w:hAnsi="맑은 고딕"/>
          <w:b w:val="false"/>
          <w:bCs w:val="false"/>
          <w:i w:val="false"/>
          <w:iCs w:val="false"/>
          <w:color w:val="1A1A1A"/>
          <w:sz w:val="20"/>
          <w:szCs w:val="20"/>
        </w:rPr>
        <w:t xml:space="preserve">해 주시는 것입니다.</w:t>
      </w:r>
    </w:p>
    <w:p>
      <w:pPr>
        <w:pStyle w:val="Heading2"/>
        <w:keepNext/>
        <w:spacing w:after="140" w:before="300"/>
      </w:pPr>
      <w:r>
        <w:rPr>
          <w:rFonts w:ascii="맑은 고딕" w:cs="맑은 고딕" w:eastAsia="맑은 고딕" w:hAnsi="맑은 고딕"/>
          <w:b/>
          <w:bCs/>
          <w:color w:val="1A1A1A"/>
          <w:sz w:val="23"/>
          <w:szCs w:val="23"/>
        </w:rPr>
        <w:t xml:space="preserve">4.7 인접 서비스와의 위치 비교</w:t>
      </w:r>
    </w:p>
    <w:p>
      <w:pPr>
        <w:keepNext w:val="false"/>
        <w:spacing w:after="130" w:before="60" w:line="310"/>
        <w:jc w:val="both"/>
      </w:pPr>
      <w:r>
        <w:rPr>
          <w:rFonts w:ascii="맑은 고딕" w:cs="맑은 고딕" w:eastAsia="맑은 고딕" w:hAnsi="맑은 고딕"/>
          <w:b w:val="false"/>
          <w:bCs w:val="false"/>
          <w:i w:val="false"/>
          <w:iCs w:val="false"/>
          <w:color w:val="1A1A1A"/>
          <w:sz w:val="20"/>
          <w:szCs w:val="20"/>
        </w:rPr>
        <w:t xml:space="preserve">프롭테크 시장에는 당사와 부분적으로 겹치는 서비스 유형이 존재합니다. 발주처의 정확한 판단을 위해 유형별 차이를 명시합니다.</w:t>
      </w:r>
    </w:p>
    <w:p>
      <w:pPr>
        <w:keepNext/>
        <w:spacing w:after="90" w:before="220"/>
      </w:pPr>
      <w:r>
        <w:rPr>
          <w:rFonts w:ascii="맑은 고딕" w:cs="맑은 고딕" w:eastAsia="맑은 고딕" w:hAnsi="맑은 고딕"/>
          <w:b/>
          <w:bCs/>
          <w:color w:val="1F3864"/>
          <w:sz w:val="18"/>
          <w:szCs w:val="18"/>
        </w:rPr>
        <w:t xml:space="preserve">[표 4-6] 인접 서비스 유형과 분양하마의 위치</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8"/>
        <w:gridCol w:w="3324"/>
        <w:gridCol w:w="1292"/>
        <w:gridCol w:w="1108"/>
        <w:gridCol w:w="2806"/>
      </w:tblGrid>
      <w:tr>
        <w:trPr>
          <w:cantSplit/>
          <w:tblHeader/>
        </w:trPr>
        <w:tc>
          <w:tcPr>
            <w:tcW w:type="dxa" w:w="1108"/>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서비스 유형</w:t>
            </w:r>
          </w:p>
        </w:tc>
        <w:tc>
          <w:tcPr>
            <w:tcW w:type="dxa" w:w="3324"/>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제공 범위</w:t>
            </w:r>
          </w:p>
        </w:tc>
        <w:tc>
          <w:tcPr>
            <w:tcW w:type="dxa" w:w="1292"/>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강점</w:t>
            </w:r>
          </w:p>
        </w:tc>
        <w:tc>
          <w:tcPr>
            <w:tcW w:type="dxa" w:w="1108"/>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업무의 종료 지점</w:t>
            </w:r>
          </w:p>
        </w:tc>
        <w:tc>
          <w:tcPr>
            <w:tcW w:type="dxa" w:w="2806"/>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분양하마와의 관계</w:t>
            </w:r>
          </w:p>
        </w:tc>
      </w:tr>
      <w:tr>
        <w:trPr>
          <w:cantSplit/>
          <w:tblHeader w:val="false"/>
        </w:trPr>
        <w:tc>
          <w:tcPr>
            <w:tcW w:type="dxa" w:w="110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AI 분양가 산정·시장분석 솔루션</w:t>
            </w:r>
          </w:p>
        </w:tc>
        <w:tc>
          <w:tcPr>
            <w:tcW w:type="dxa" w:w="3324"/>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적정 분양가 산정, 청약 수요 예측, 사업지 분석 리포트, 데이터룸</w:t>
            </w:r>
          </w:p>
        </w:tc>
        <w:tc>
          <w:tcPr>
            <w:tcW w:type="dxa" w:w="1292"/>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대량 데이터 기반 신속한 사업성 판단</w:t>
            </w:r>
          </w:p>
        </w:tc>
        <w:tc>
          <w:tcPr>
            <w:tcW w:type="dxa" w:w="110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분석 리포트 납품에서 종료</w:t>
            </w:r>
          </w:p>
        </w:tc>
        <w:tc>
          <w:tcPr>
            <w:tcW w:type="dxa" w:w="280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분석까지는 유사. 분석을 광고·상담·계약 전환으로 실행하는 운영이 없음</w:t>
            </w:r>
          </w:p>
        </w:tc>
      </w:tr>
      <w:tr>
        <w:trPr>
          <w:cantSplit/>
          <w:tblHeader w:val="false"/>
        </w:trPr>
        <w:tc>
          <w:tcPr>
            <w:tcW w:type="dxa" w:w="1108"/>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분양가 보장형 금융 상품</w:t>
            </w:r>
          </w:p>
        </w:tc>
        <w:tc>
          <w:tcPr>
            <w:tcW w:type="dxa" w:w="3324"/>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세대 단위 적정가 산출, 보호약정(환매권 등), 위험 조기경보</w:t>
            </w:r>
          </w:p>
        </w:tc>
        <w:tc>
          <w:tcPr>
            <w:tcW w:type="dxa" w:w="1292"/>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수요자 심리 방어, 금융 구조 설계</w:t>
            </w:r>
          </w:p>
        </w:tc>
        <w:tc>
          <w:tcPr>
            <w:tcW w:type="dxa" w:w="1108"/>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보장 상품 판매에서 종료</w:t>
            </w:r>
          </w:p>
        </w:tc>
        <w:tc>
          <w:tcPr>
            <w:tcW w:type="dxa" w:w="2806"/>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수요자 안심 장치로서 당사 운영과 병행 가능. 수요를 발굴·전환하는 기능이 없음</w:t>
            </w:r>
          </w:p>
        </w:tc>
      </w:tr>
      <w:tr>
        <w:trPr>
          <w:cantSplit/>
          <w:tblHeader w:val="false"/>
        </w:trPr>
        <w:tc>
          <w:tcPr>
            <w:tcW w:type="dxa" w:w="110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광고대행</w:t>
            </w:r>
          </w:p>
        </w:tc>
        <w:tc>
          <w:tcPr>
            <w:tcW w:type="dxa" w:w="3324"/>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매체 집행, 소재 제작, DB 수집</w:t>
            </w:r>
          </w:p>
        </w:tc>
        <w:tc>
          <w:tcPr>
            <w:tcW w:type="dxa" w:w="1292"/>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매체 운영 실무</w:t>
            </w:r>
          </w:p>
        </w:tc>
        <w:tc>
          <w:tcPr>
            <w:tcW w:type="dxa" w:w="110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DB 전달에서 종료</w:t>
            </w:r>
            <w:r>
              <w:rPr>
                <w:rFonts w:ascii="맑은 고딕" w:cs="맑은 고딕" w:eastAsia="맑은 고딕" w:hAnsi="맑은 고딕"/>
                <w:color w:val="1A1A1A"/>
                <w:sz w:val="18"/>
                <w:szCs w:val="18"/>
              </w:rPr>
              <w:t xml:space="preserve"> (제3장)</w:t>
            </w:r>
          </w:p>
        </w:tc>
        <w:tc>
          <w:tcPr>
            <w:tcW w:type="dxa" w:w="280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당사 10단계 중 ④ 한 단계에 해당</w:t>
            </w:r>
          </w:p>
        </w:tc>
      </w:tr>
      <w:tr>
        <w:trPr>
          <w:cantSplit/>
          <w:tblHeader w:val="false"/>
        </w:trPr>
        <w:tc>
          <w:tcPr>
            <w:tcW w:type="dxa" w:w="1108"/>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분양하마</w:t>
            </w:r>
          </w:p>
        </w:tc>
        <w:tc>
          <w:tcPr>
            <w:tcW w:type="dxa" w:w="3324"/>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현장분석 → 판매 논리 → 콘텐츠 → 광고 → CRM → 고객관리 → 방문 → 계약 → 학습 → 최적화</w:t>
            </w:r>
          </w:p>
        </w:tc>
        <w:tc>
          <w:tcPr>
            <w:tcW w:type="dxa" w:w="1292"/>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전 구간의 단일 책임 운영</w:t>
            </w:r>
          </w:p>
        </w:tc>
        <w:tc>
          <w:tcPr>
            <w:tcW w:type="dxa" w:w="1108"/>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계약·학습·다음 주기 최적화까지</w:t>
            </w:r>
          </w:p>
        </w:tc>
        <w:tc>
          <w:tcPr>
            <w:tcW w:type="dxa" w:w="2806"/>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w:t>
            </w:r>
          </w:p>
        </w:tc>
      </w:tr>
    </w:tbl>
    <w:p>
      <w:pPr>
        <w:spacing w:after="200" w:before="0"/>
      </w:pPr>
    </w:p>
    <w:p>
      <w:pPr>
        <w:keepNext w:val="false"/>
        <w:spacing w:after="160" w:before="20" w:line="310"/>
        <w:jc w:val="left"/>
      </w:pPr>
      <w:r>
        <w:rPr>
          <w:rFonts w:ascii="맑은 고딕" w:cs="맑은 고딕" w:eastAsia="맑은 고딕" w:hAnsi="맑은 고딕"/>
          <w:b w:val="false"/>
          <w:bCs w:val="false"/>
          <w:i/>
          <w:iCs/>
          <w:color w:val="5A5A5A"/>
          <w:sz w:val="17"/>
          <w:szCs w:val="17"/>
        </w:rPr>
        <w:t xml:space="preserve">본 비교는 특정 업체가 아닌 서비스 유형 단위의 비교이며, 각 유형의 서비스는 고유한 가치를 갖습니다.</w:t>
      </w:r>
    </w:p>
    <w:p>
      <w:pPr>
        <w:keepNext w:val="false"/>
        <w:spacing w:after="130" w:before="60" w:line="310"/>
        <w:jc w:val="both"/>
      </w:pPr>
      <w:r>
        <w:rPr>
          <w:rFonts w:ascii="맑은 고딕" w:cs="맑은 고딕" w:eastAsia="맑은 고딕" w:hAnsi="맑은 고딕"/>
          <w:b w:val="false"/>
          <w:bCs w:val="false"/>
          <w:i w:val="false"/>
          <w:iCs w:val="false"/>
          <w:color w:val="1A1A1A"/>
          <w:sz w:val="20"/>
          <w:szCs w:val="20"/>
        </w:rPr>
        <w:t xml:space="preserve">세 유형과 당사의 차이는 우열이 아니라 </w:t>
      </w:r>
      <w:r>
        <w:rPr>
          <w:rFonts w:ascii="맑은 고딕" w:cs="맑은 고딕" w:eastAsia="맑은 고딕" w:hAnsi="맑은 고딕"/>
          <w:b/>
          <w:bCs/>
          <w:i w:val="false"/>
          <w:iCs w:val="false"/>
          <w:color w:val="1A1A1A"/>
          <w:sz w:val="20"/>
          <w:szCs w:val="20"/>
        </w:rPr>
        <w:t xml:space="preserve">업무의 종료 지점</w:t>
      </w:r>
      <w:r>
        <w:rPr>
          <w:rFonts w:ascii="맑은 고딕" w:cs="맑은 고딕" w:eastAsia="맑은 고딕" w:hAnsi="맑은 고딕"/>
          <w:b w:val="false"/>
          <w:bCs w:val="false"/>
          <w:i w:val="false"/>
          <w:iCs w:val="false"/>
          <w:color w:val="1A1A1A"/>
          <w:sz w:val="20"/>
          <w:szCs w:val="20"/>
        </w:rPr>
        <w:t xml:space="preserve">입니다. 분석 솔루션은 리포트에서, 보장 상품은 약정 체결에서, 광고대행은 DB 전달에서 업무가 종료됩니다. 당사는 분석 결과가 광고 문구가 되고, 광고 유입이 상담 기록이 되고, 거절 사유가 다음 분석의 입력이 되는 </w:t>
      </w:r>
      <w:r>
        <w:rPr>
          <w:rFonts w:ascii="맑은 고딕" w:cs="맑은 고딕" w:eastAsia="맑은 고딕" w:hAnsi="맑은 고딕"/>
          <w:b/>
          <w:bCs/>
          <w:i w:val="false"/>
          <w:iCs w:val="false"/>
          <w:color w:val="1A1A1A"/>
          <w:sz w:val="20"/>
          <w:szCs w:val="20"/>
        </w:rPr>
        <w:t xml:space="preserve">전환 운영의 전 구간</w:t>
      </w:r>
      <w:r>
        <w:rPr>
          <w:rFonts w:ascii="맑은 고딕" w:cs="맑은 고딕" w:eastAsia="맑은 고딕" w:hAnsi="맑은 고딕"/>
          <w:b w:val="false"/>
          <w:bCs w:val="false"/>
          <w:i w:val="false"/>
          <w:iCs w:val="false"/>
          <w:color w:val="1A1A1A"/>
          <w:sz w:val="20"/>
          <w:szCs w:val="20"/>
        </w:rPr>
        <w:t xml:space="preserve">을 담당합니다. 발주처가 이미 분석 솔루션이나 보장 상품을 이용 중이라면, 당사 운영체계는 이를 대체하는 것이 아니라 그 산출물이 실제 계약으로 전환되는 구간을 담당합니다.</w:t>
      </w:r>
    </w:p>
    <w:p>
      <w:pPr>
        <w:pStyle w:val="Heading2"/>
        <w:keepNext/>
        <w:spacing w:after="140" w:before="300"/>
      </w:pPr>
      <w:r>
        <w:rPr>
          <w:rFonts w:ascii="맑은 고딕" w:cs="맑은 고딕" w:eastAsia="맑은 고딕" w:hAnsi="맑은 고딕"/>
          <w:b/>
          <w:bCs/>
          <w:color w:val="1A1A1A"/>
          <w:sz w:val="23"/>
          <w:szCs w:val="23"/>
        </w:rPr>
        <w:t xml:space="preserve">4.8 소결</w:t>
      </w:r>
    </w:p>
    <w:p>
      <w:pPr>
        <w:keepNext w:val="false"/>
        <w:spacing w:after="130" w:before="60" w:line="310"/>
        <w:jc w:val="both"/>
      </w:pPr>
      <w:r>
        <w:rPr>
          <w:rFonts w:ascii="맑은 고딕" w:cs="맑은 고딕" w:eastAsia="맑은 고딕" w:hAnsi="맑은 고딕"/>
          <w:b w:val="false"/>
          <w:bCs w:val="false"/>
          <w:i w:val="false"/>
          <w:iCs w:val="false"/>
          <w:color w:val="1A1A1A"/>
          <w:sz w:val="20"/>
          <w:szCs w:val="20"/>
        </w:rPr>
        <w:t xml:space="preserve">분양하마의 경쟁력은 개별 기능이 아니라 기능 간의 연결 구조에 있습니다.</w:t>
      </w:r>
    </w:p>
    <w:p>
      <w:pPr>
        <w:keepNext w:val="false"/>
        <w:spacing w:after="130" w:before="60" w:line="310"/>
        <w:jc w:val="both"/>
      </w:pPr>
      <w:r>
        <w:rPr>
          <w:rFonts w:ascii="맑은 고딕" w:cs="맑은 고딕" w:eastAsia="맑은 고딕" w:hAnsi="맑은 고딕"/>
          <w:b w:val="false"/>
          <w:bCs w:val="false"/>
          <w:i w:val="false"/>
          <w:iCs w:val="false"/>
          <w:color w:val="1A1A1A"/>
          <w:sz w:val="20"/>
          <w:szCs w:val="20"/>
        </w:rPr>
        <w:t xml:space="preserve">이 구조의 앞단, 즉 </w:t>
      </w:r>
      <w:r>
        <w:rPr>
          <w:rFonts w:ascii="맑은 고딕" w:cs="맑은 고딕" w:eastAsia="맑은 고딕" w:hAnsi="맑은 고딕"/>
          <w:b/>
          <w:bCs/>
          <w:i w:val="false"/>
          <w:iCs w:val="false"/>
          <w:color w:val="1A1A1A"/>
          <w:sz w:val="20"/>
          <w:szCs w:val="20"/>
        </w:rPr>
        <w:t xml:space="preserve">팔릴 근거를 생산하는 방법론</w:t>
      </w:r>
      <w:r>
        <w:rPr>
          <w:rFonts w:ascii="맑은 고딕" w:cs="맑은 고딕" w:eastAsia="맑은 고딕" w:hAnsi="맑은 고딕"/>
          <w:b w:val="false"/>
          <w:bCs w:val="false"/>
          <w:i w:val="false"/>
          <w:iCs w:val="false"/>
          <w:color w:val="1A1A1A"/>
          <w:sz w:val="20"/>
          <w:szCs w:val="20"/>
        </w:rPr>
        <w:t xml:space="preserve">이 제5장의 주제입니다. 본 제안서에서 가장 상세히 기술하는 장이며, 당사가 광고대행과 구분되는 가장 근본적인 지점이기도 합니다.</w:t>
      </w:r>
    </w:p>
    <w:p>
      <w:pPr>
        <w:pStyle w:val="Heading1"/>
        <w:pageBreakBefore/>
        <w:pBdr>
          <w:bottom w:val="single" w:color="1F3864" w:sz="10" w:space="8"/>
        </w:pBdr>
        <w:spacing w:after="240" w:before="0"/>
      </w:pPr>
      <w:r>
        <w:rPr>
          <w:rFonts w:ascii="맑은 고딕" w:cs="맑은 고딕" w:eastAsia="맑은 고딕" w:hAnsi="맑은 고딕"/>
          <w:b/>
          <w:bCs/>
          <w:color w:val="1F3864"/>
          <w:sz w:val="30"/>
          <w:szCs w:val="30"/>
        </w:rPr>
        <w:t xml:space="preserve">제5장. AI 현장가치 분석</w:t>
      </w:r>
    </w:p>
    <w:p>
      <w:pPr>
        <w:keepNext w:val="false"/>
        <w:spacing w:after="130" w:before="60" w:line="310"/>
        <w:jc w:val="both"/>
      </w:pPr>
      <w:r>
        <w:rPr>
          <w:rFonts w:ascii="맑은 고딕" w:cs="맑은 고딕" w:eastAsia="맑은 고딕" w:hAnsi="맑은 고딕"/>
          <w:b/>
          <w:bCs/>
          <w:i w:val="false"/>
          <w:iCs w:val="false"/>
          <w:color w:val="1A1A1A"/>
          <w:sz w:val="20"/>
          <w:szCs w:val="20"/>
        </w:rPr>
        <w:t xml:space="preserve">헤드라인.</w:t>
      </w:r>
      <w:r>
        <w:rPr>
          <w:rFonts w:ascii="맑은 고딕" w:cs="맑은 고딕" w:eastAsia="맑은 고딕" w:hAnsi="맑은 고딕"/>
          <w:b w:val="false"/>
          <w:bCs w:val="false"/>
          <w:i w:val="false"/>
          <w:iCs w:val="false"/>
          <w:color w:val="1A1A1A"/>
          <w:sz w:val="20"/>
          <w:szCs w:val="20"/>
        </w:rPr>
        <w:t xml:space="preserve"> 분양하마는 아파트 가격을 비교하지 않습니다. </w:t>
      </w:r>
      <w:r>
        <w:rPr>
          <w:rFonts w:ascii="맑은 고딕" w:cs="맑은 고딕" w:eastAsia="맑은 고딕" w:hAnsi="맑은 고딕"/>
          <w:b/>
          <w:bCs/>
          <w:i w:val="false"/>
          <w:iCs w:val="false"/>
          <w:color w:val="1A1A1A"/>
          <w:sz w:val="20"/>
          <w:szCs w:val="20"/>
        </w:rPr>
        <w:t xml:space="preserve">7대 코어 카테고리 → 15개 데이터 레이어 → 300개 이상의 표준 지표</w:t>
      </w:r>
      <w:r>
        <w:rPr>
          <w:rFonts w:ascii="맑은 고딕" w:cs="맑은 고딕" w:eastAsia="맑은 고딕" w:hAnsi="맑은 고딕"/>
          <w:b w:val="false"/>
          <w:bCs w:val="false"/>
          <w:i w:val="false"/>
          <w:iCs w:val="false"/>
          <w:color w:val="1A1A1A"/>
          <w:sz w:val="20"/>
          <w:szCs w:val="20"/>
        </w:rPr>
        <w:t xml:space="preserve">로 구성된 프레임워크에서, 서로 독립적인 데이터셋으로 현장가치를 교차 검증합니다.</w:t>
      </w:r>
    </w:p>
    <w:p>
      <w:pPr>
        <w:keepNext/>
        <w:spacing w:after="90" w:before="220"/>
      </w:pPr>
      <w:r>
        <w:rPr>
          <w:rFonts w:ascii="맑은 고딕" w:cs="맑은 고딕" w:eastAsia="맑은 고딕" w:hAnsi="맑은 고딕"/>
          <w:b/>
          <w:bCs/>
          <w:color w:val="1F3864"/>
          <w:sz w:val="18"/>
          <w:szCs w:val="18"/>
        </w:rPr>
        <w:t xml:space="preserve">[표 5-1] 장 요약</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7838"/>
      </w:tblGrid>
      <w:tr>
        <w:trPr>
          <w:cantSplit/>
          <w:tblHeader/>
        </w:trPr>
        <w:tc>
          <w:tcPr>
            <w:tcW w:type="dxa" w:w="1800"/>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구분</w:t>
            </w:r>
          </w:p>
        </w:tc>
        <w:tc>
          <w:tcPr>
            <w:tcW w:type="dxa" w:w="7838"/>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내용</w:t>
            </w:r>
          </w:p>
        </w:tc>
      </w:tr>
      <w:tr>
        <w:trPr>
          <w:cantSplit/>
          <w:tblHeader w:val="false"/>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문제 (Problem)</w:t>
            </w:r>
          </w:p>
        </w:tc>
        <w:tc>
          <w:tcPr>
            <w:tcW w:type="dxa" w:w="783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주변 시세를 비교해 가격을 추정하는 보고서는 순환 논리·오염된 표본·단일 소스 의존의 결함을 갖는다</w:t>
            </w:r>
          </w:p>
        </w:tc>
      </w:tr>
      <w:tr>
        <w:trPr>
          <w:cantSplit/>
          <w:tblHeader w:val="false"/>
        </w:trPr>
        <w:tc>
          <w:tcPr>
            <w:tcW w:type="dxa" w:w="180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원인 (Reason)</w:t>
            </w:r>
          </w:p>
        </w:tc>
        <w:tc>
          <w:tcPr>
            <w:tcW w:type="dxa" w:w="7838"/>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현장가치는 직접 관측할 수 없는 변수이므로, 단일 데이터로는 신뢰할 수 있게 추정되지 않는다</w:t>
            </w:r>
          </w:p>
        </w:tc>
      </w:tr>
      <w:tr>
        <w:trPr>
          <w:cantSplit/>
          <w:tblHeader w:val="false"/>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방법 (Method)</w:t>
            </w:r>
          </w:p>
        </w:tc>
        <w:tc>
          <w:tcPr>
            <w:tcW w:type="dxa" w:w="783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3층 프레임워크(5.2~5.3)에 방법론 엔진 6종 — GIS 공간분석·시계열·교차검증·반대근거·신뢰도 평가·조정계수 교정(5.4) — 를 적용한다</w:t>
            </w:r>
          </w:p>
        </w:tc>
      </w:tr>
      <w:tr>
        <w:trPr>
          <w:cantSplit/>
          <w:tblHeader w:val="false"/>
        </w:trPr>
        <w:tc>
          <w:tcPr>
            <w:tcW w:type="dxa" w:w="180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기대 효과 (Effect)</w:t>
            </w:r>
          </w:p>
        </w:tc>
        <w:tc>
          <w:tcPr>
            <w:tcW w:type="dxa" w:w="7838"/>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반증을 통과한 판매 근거가 확보되고, 4개 독립 판정(5.8)이 판매 전략의 형태를 결정한다</w:t>
            </w:r>
          </w:p>
        </w:tc>
      </w:tr>
    </w:tbl>
    <w:p>
      <w:pPr>
        <w:spacing w:after="200" w:before="0"/>
      </w:pPr>
    </w:p>
    <w:p>
      <w:pPr>
        <w:keepNext w:val="false"/>
        <w:spacing w:after="130" w:before="60" w:line="310"/>
        <w:jc w:val="both"/>
      </w:pPr>
      <w:r>
        <w:rPr>
          <w:rFonts w:ascii="맑은 고딕" w:cs="맑은 고딕" w:eastAsia="맑은 고딕" w:hAnsi="맑은 고딕"/>
          <w:b w:val="false"/>
          <w:bCs w:val="false"/>
          <w:i w:val="false"/>
          <w:iCs w:val="false"/>
          <w:color w:val="1A1A1A"/>
          <w:sz w:val="20"/>
          <w:szCs w:val="20"/>
        </w:rPr>
        <w:t xml:space="preserve">분석에서 AI가 담당하는 범위와 사람의 책임은 5.9에서 한 번에 정의합니다.</w:t>
      </w:r>
    </w:p>
    <w:p>
      <w:pPr>
        <w:pStyle w:val="Heading2"/>
        <w:keepNext/>
        <w:spacing w:after="140" w:before="300"/>
      </w:pPr>
      <w:r>
        <w:rPr>
          <w:rFonts w:ascii="맑은 고딕" w:cs="맑은 고딕" w:eastAsia="맑은 고딕" w:hAnsi="맑은 고딕"/>
          <w:b/>
          <w:bCs/>
          <w:color w:val="1A1A1A"/>
          <w:sz w:val="23"/>
          <w:szCs w:val="23"/>
        </w:rPr>
        <w:t xml:space="preserve">5.1 분석 철학 — 가격 비교가 아니라 가치의 독립 검증</w:t>
      </w:r>
    </w:p>
    <w:p>
      <w:pPr>
        <w:pStyle w:val="Heading3"/>
        <w:keepNext/>
        <w:spacing w:after="110" w:before="240"/>
      </w:pPr>
      <w:r>
        <w:rPr>
          <w:rFonts w:ascii="맑은 고딕" w:cs="맑은 고딕" w:eastAsia="맑은 고딕" w:hAnsi="맑은 고딕"/>
          <w:b/>
          <w:bCs/>
          <w:color w:val="5A5A5A"/>
          <w:sz w:val="20"/>
          <w:szCs w:val="20"/>
        </w:rPr>
        <w:t xml:space="preserve">5.1.1 통상적 시세 비교 보고서의 세 가지 결함</w:t>
      </w:r>
    </w:p>
    <w:p>
      <w:pPr>
        <w:keepNext/>
        <w:spacing w:after="90" w:before="220"/>
      </w:pPr>
      <w:r>
        <w:rPr>
          <w:rFonts w:ascii="맑은 고딕" w:cs="맑은 고딕" w:eastAsia="맑은 고딕" w:hAnsi="맑은 고딕"/>
          <w:b/>
          <w:bCs/>
          <w:color w:val="1F3864"/>
          <w:sz w:val="18"/>
          <w:szCs w:val="18"/>
        </w:rPr>
        <w:t xml:space="preserve">[표 5-2] 시세 비교 방식의 방법론적 결함</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0"/>
        <w:gridCol w:w="3621"/>
        <w:gridCol w:w="4867"/>
      </w:tblGrid>
      <w:tr>
        <w:trPr>
          <w:cantSplit/>
          <w:tblHeader/>
        </w:trPr>
        <w:tc>
          <w:tcPr>
            <w:tcW w:type="dxa" w:w="1150"/>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결함</w:t>
            </w:r>
          </w:p>
        </w:tc>
        <w:tc>
          <w:tcPr>
            <w:tcW w:type="dxa" w:w="3621"/>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내용</w:t>
            </w:r>
          </w:p>
        </w:tc>
        <w:tc>
          <w:tcPr>
            <w:tcW w:type="dxa" w:w="4867"/>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결과</w:t>
            </w:r>
          </w:p>
        </w:tc>
      </w:tr>
      <w:tr>
        <w:trPr>
          <w:cantSplit/>
          <w:tblHeader w:val="false"/>
        </w:trPr>
        <w:tc>
          <w:tcPr>
            <w:tcW w:type="dxa" w:w="115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순환 논리</w:t>
            </w:r>
          </w:p>
        </w:tc>
        <w:tc>
          <w:tcPr>
            <w:tcW w:type="dxa" w:w="362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가격을 가격으로 설명. "주변이 이 가격이니 이 현장도 이 가격"</w:t>
            </w:r>
          </w:p>
        </w:tc>
        <w:tc>
          <w:tcPr>
            <w:tcW w:type="dxa" w:w="486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주변 가격이 유지될 근거가 검증되지 않아, 시장 하강 국면에서 논리가 성립하지 않음</w:t>
            </w:r>
          </w:p>
        </w:tc>
      </w:tr>
      <w:tr>
        <w:trPr>
          <w:cantSplit/>
          <w:tblHeader w:val="false"/>
        </w:trPr>
        <w:tc>
          <w:tcPr>
            <w:tcW w:type="dxa" w:w="115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오염된 표본</w:t>
            </w:r>
          </w:p>
        </w:tc>
        <w:tc>
          <w:tcPr>
            <w:tcW w:type="dxa" w:w="3621"/>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호가·취소 거래·이상 고가·특수관계 거래가 정제되지 않음</w:t>
            </w:r>
          </w:p>
        </w:tc>
        <w:tc>
          <w:tcPr>
            <w:tcW w:type="dxa" w:w="4867"/>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비교 기준 자체가 왜곡됨</w:t>
            </w:r>
          </w:p>
        </w:tc>
      </w:tr>
      <w:tr>
        <w:trPr>
          <w:cantSplit/>
          <w:tblHeader w:val="false"/>
        </w:trPr>
        <w:tc>
          <w:tcPr>
            <w:tcW w:type="dxa" w:w="115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단일 소스 의존</w:t>
            </w:r>
          </w:p>
        </w:tc>
        <w:tc>
          <w:tcPr>
            <w:tcW w:type="dxa" w:w="362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하나의 데이터셋에서 결론 도출</w:t>
            </w:r>
          </w:p>
        </w:tc>
        <w:tc>
          <w:tcPr>
            <w:tcW w:type="dxa" w:w="486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해당 데이터의 오류·편향·공백을 결론이 그대로 승계함</w:t>
            </w:r>
          </w:p>
        </w:tc>
      </w:tr>
    </w:tbl>
    <w:p>
      <w:pPr>
        <w:spacing w:after="200" w:before="0"/>
      </w:pPr>
    </w:p>
    <w:p>
      <w:pPr>
        <w:pStyle w:val="Heading3"/>
        <w:keepNext/>
        <w:spacing w:after="110" w:before="240"/>
      </w:pPr>
      <w:r>
        <w:rPr>
          <w:rFonts w:ascii="맑은 고딕" w:cs="맑은 고딕" w:eastAsia="맑은 고딕" w:hAnsi="맑은 고딕"/>
          <w:b/>
          <w:bCs/>
          <w:color w:val="5A5A5A"/>
          <w:sz w:val="20"/>
          <w:szCs w:val="20"/>
        </w:rPr>
        <w:t xml:space="preserve">5.1.2 대안 — 독립 데이터셋에 의한 삼각측량</w:t>
      </w:r>
    </w:p>
    <w:p>
      <w:pPr>
        <w:keepNext w:val="false"/>
        <w:spacing w:after="130" w:before="60" w:line="310"/>
        <w:jc w:val="both"/>
      </w:pPr>
      <w:r>
        <w:rPr>
          <w:rFonts w:ascii="맑은 고딕" w:cs="맑은 고딕" w:eastAsia="맑은 고딕" w:hAnsi="맑은 고딕"/>
          <w:b w:val="false"/>
          <w:bCs w:val="false"/>
          <w:i w:val="false"/>
          <w:iCs w:val="false"/>
          <w:color w:val="1A1A1A"/>
          <w:sz w:val="20"/>
          <w:szCs w:val="20"/>
        </w:rPr>
        <w:t xml:space="preserve">현장의 가치는 직접 관측할 수 없는 잠재 변수입니다. 따라서 </w:t>
      </w:r>
      <w:r>
        <w:rPr>
          <w:rFonts w:ascii="맑은 고딕" w:cs="맑은 고딕" w:eastAsia="맑은 고딕" w:hAnsi="맑은 고딕"/>
          <w:b/>
          <w:bCs/>
          <w:i w:val="false"/>
          <w:iCs w:val="false"/>
          <w:color w:val="1A1A1A"/>
          <w:sz w:val="20"/>
          <w:szCs w:val="20"/>
        </w:rPr>
        <w:t xml:space="preserve">생성 주체와 수집 경로가 서로 다른 여러 데이터셋으로 같은 대상을 측정하는 방식</w:t>
      </w:r>
      <w:r>
        <w:rPr>
          <w:rFonts w:ascii="맑은 고딕" w:cs="맑은 고딕" w:eastAsia="맑은 고딕" w:hAnsi="맑은 고딕"/>
          <w:b w:val="false"/>
          <w:bCs w:val="false"/>
          <w:i w:val="false"/>
          <w:iCs w:val="false"/>
          <w:color w:val="1A1A1A"/>
          <w:sz w:val="20"/>
          <w:szCs w:val="20"/>
        </w:rPr>
        <w:t xml:space="preserve">으로만 신뢰할 수 있게 추정됩니다.</w:t>
      </w:r>
    </w:p>
    <w:p>
      <w:pPr>
        <w:keepNext/>
        <w:spacing w:after="90" w:before="220"/>
      </w:pPr>
      <w:r>
        <w:rPr>
          <w:rFonts w:ascii="맑은 고딕" w:cs="맑은 고딕" w:eastAsia="맑은 고딕" w:hAnsi="맑은 고딕"/>
          <w:b/>
          <w:bCs/>
          <w:color w:val="1F3864"/>
          <w:sz w:val="18"/>
          <w:szCs w:val="18"/>
        </w:rPr>
        <w:t xml:space="preserve">[표 5-3] 검증 대상별 독립 측정 데이터</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41"/>
        <w:gridCol w:w="3540"/>
        <w:gridCol w:w="2557"/>
      </w:tblGrid>
      <w:tr>
        <w:trPr>
          <w:cantSplit/>
          <w:tblHeader/>
        </w:trPr>
        <w:tc>
          <w:tcPr>
            <w:tcW w:type="dxa" w:w="3541"/>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검증 대상</w:t>
            </w:r>
          </w:p>
        </w:tc>
        <w:tc>
          <w:tcPr>
            <w:tcW w:type="dxa" w:w="3540"/>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독립 측정 데이터</w:t>
            </w:r>
          </w:p>
        </w:tc>
        <w:tc>
          <w:tcPr>
            <w:tcW w:type="dxa" w:w="2557"/>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담당 카테고리</w:t>
            </w:r>
          </w:p>
        </w:tc>
      </w:tr>
      <w:tr>
        <w:trPr>
          <w:cantSplit/>
          <w:tblHeader w:val="false"/>
        </w:trPr>
        <w:tc>
          <w:tcPr>
            <w:tcW w:type="dxa" w:w="354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거주 수요의 존재</w:t>
            </w:r>
          </w:p>
        </w:tc>
        <w:tc>
          <w:tcPr>
            <w:tcW w:type="dxa" w:w="354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인구·가구 데이터</w:t>
            </w:r>
          </w:p>
        </w:tc>
        <w:tc>
          <w:tcPr>
            <w:tcW w:type="dxa" w:w="255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C1</w:t>
            </w:r>
          </w:p>
        </w:tc>
      </w:tr>
      <w:tr>
        <w:trPr>
          <w:cantSplit/>
          <w:tblHeader w:val="false"/>
        </w:trPr>
        <w:tc>
          <w:tcPr>
            <w:tcW w:type="dxa" w:w="3541"/>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수요의 지불 능력</w:t>
            </w:r>
          </w:p>
        </w:tc>
        <w:tc>
          <w:tcPr>
            <w:tcW w:type="dxa" w:w="354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고용·소득 데이터</w:t>
            </w:r>
          </w:p>
        </w:tc>
        <w:tc>
          <w:tcPr>
            <w:tcW w:type="dxa" w:w="2557"/>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C2</w:t>
            </w:r>
          </w:p>
        </w:tc>
      </w:tr>
      <w:tr>
        <w:trPr>
          <w:cantSplit/>
          <w:tblHeader w:val="false"/>
        </w:trPr>
        <w:tc>
          <w:tcPr>
            <w:tcW w:type="dxa" w:w="354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생활권의 활력</w:t>
            </w:r>
          </w:p>
        </w:tc>
        <w:tc>
          <w:tcPr>
            <w:tcW w:type="dxa" w:w="354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유동·소비 데이터</w:t>
            </w:r>
          </w:p>
        </w:tc>
        <w:tc>
          <w:tcPr>
            <w:tcW w:type="dxa" w:w="255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C3·C4</w:t>
            </w:r>
          </w:p>
        </w:tc>
      </w:tr>
      <w:tr>
        <w:trPr>
          <w:cantSplit/>
          <w:tblHeader w:val="false"/>
        </w:trPr>
        <w:tc>
          <w:tcPr>
            <w:tcW w:type="dxa" w:w="3541"/>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시장의 실제 움직임</w:t>
            </w:r>
          </w:p>
        </w:tc>
        <w:tc>
          <w:tcPr>
            <w:tcW w:type="dxa" w:w="354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정제된 거래 데이터</w:t>
            </w:r>
          </w:p>
        </w:tc>
        <w:tc>
          <w:tcPr>
            <w:tcW w:type="dxa" w:w="2557"/>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C5</w:t>
            </w:r>
          </w:p>
        </w:tc>
      </w:tr>
      <w:tr>
        <w:trPr>
          <w:cantSplit/>
          <w:tblHeader w:val="false"/>
        </w:trPr>
        <w:tc>
          <w:tcPr>
            <w:tcW w:type="dxa" w:w="354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미래의 경쟁 부담</w:t>
            </w:r>
          </w:p>
        </w:tc>
        <w:tc>
          <w:tcPr>
            <w:tcW w:type="dxa" w:w="354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공급·계획 데이터</w:t>
            </w:r>
          </w:p>
        </w:tc>
        <w:tc>
          <w:tcPr>
            <w:tcW w:type="dxa" w:w="255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C6·C7</w:t>
            </w:r>
          </w:p>
        </w:tc>
      </w:tr>
    </w:tbl>
    <w:p>
      <w:pPr>
        <w:spacing w:after="200" w:before="0"/>
      </w:pPr>
    </w:p>
    <w:p>
      <w:pPr>
        <w:pStyle w:val="Heading3"/>
        <w:keepNext/>
        <w:spacing w:after="110" w:before="240"/>
      </w:pPr>
      <w:r>
        <w:rPr>
          <w:rFonts w:ascii="맑은 고딕" w:cs="맑은 고딕" w:eastAsia="맑은 고딕" w:hAnsi="맑은 고딕"/>
          <w:b/>
          <w:bCs/>
          <w:color w:val="5A5A5A"/>
          <w:sz w:val="20"/>
          <w:szCs w:val="20"/>
        </w:rPr>
        <w:t xml:space="preserve">5.1.3 세 가지 운영 원칙</w:t>
      </w:r>
    </w:p>
    <w:p>
      <w:pPr>
        <w:keepNext/>
        <w:spacing w:after="90" w:before="220"/>
      </w:pPr>
      <w:r>
        <w:rPr>
          <w:rFonts w:ascii="맑은 고딕" w:cs="맑은 고딕" w:eastAsia="맑은 고딕" w:hAnsi="맑은 고딕"/>
          <w:b/>
          <w:bCs/>
          <w:color w:val="1F3864"/>
          <w:sz w:val="18"/>
          <w:szCs w:val="18"/>
        </w:rPr>
        <w:t xml:space="preserve">[표 5-4] 분석 운영 원칙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84"/>
        <w:gridCol w:w="7654"/>
      </w:tblGrid>
      <w:tr>
        <w:trPr>
          <w:cantSplit/>
          <w:tblHeader/>
        </w:trPr>
        <w:tc>
          <w:tcPr>
            <w:tcW w:type="dxa" w:w="1984"/>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원칙</w:t>
            </w:r>
          </w:p>
        </w:tc>
        <w:tc>
          <w:tcPr>
            <w:tcW w:type="dxa" w:w="7654"/>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내용</w:t>
            </w:r>
          </w:p>
        </w:tc>
      </w:tr>
      <w:tr>
        <w:trPr>
          <w:cantSplit/>
          <w:tblHeader w:val="false"/>
        </w:trPr>
        <w:tc>
          <w:tcPr>
            <w:tcW w:type="dxa" w:w="1984"/>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독립성 (Independence)</w:t>
            </w:r>
          </w:p>
        </w:tc>
        <w:tc>
          <w:tcPr>
            <w:tcW w:type="dxa" w:w="7654"/>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결론을 지지하는 근거는 생성 주체와 수집 경로가 서로 다른 데이터셋에서 나와야 한다</w:t>
            </w:r>
          </w:p>
        </w:tc>
      </w:tr>
      <w:tr>
        <w:trPr>
          <w:cantSplit/>
          <w:tblHeader w:val="false"/>
        </w:trPr>
        <w:tc>
          <w:tcPr>
            <w:tcW w:type="dxa" w:w="1984"/>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수렴 (Convergence)</w:t>
            </w:r>
          </w:p>
        </w:tc>
        <w:tc>
          <w:tcPr>
            <w:tcW w:type="dxa" w:w="7654"/>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서로 다른 데이터가 같은 방향을 가리킬 때만 판매 근거로 채택한다</w:t>
            </w:r>
          </w:p>
        </w:tc>
      </w:tr>
      <w:tr>
        <w:trPr>
          <w:cantSplit/>
          <w:tblHeader w:val="false"/>
        </w:trPr>
        <w:tc>
          <w:tcPr>
            <w:tcW w:type="dxa" w:w="1984"/>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반증 (Falsification)</w:t>
            </w:r>
          </w:p>
        </w:tc>
        <w:tc>
          <w:tcPr>
            <w:tcW w:type="dxa" w:w="7654"/>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결론을 약화하는 데이터를 먼저 탐색하고, 그것을 통과한 설명만 남긴다</w:t>
            </w:r>
          </w:p>
        </w:tc>
      </w:tr>
    </w:tbl>
    <w:p>
      <w:pPr>
        <w:spacing w:after="200" w:before="0"/>
      </w:pPr>
    </w:p>
    <w:p>
      <w:pPr>
        <w:pStyle w:val="Heading2"/>
        <w:keepNext/>
        <w:spacing w:after="140" w:before="300"/>
      </w:pPr>
      <w:r>
        <w:rPr>
          <w:rFonts w:ascii="맑은 고딕" w:cs="맑은 고딕" w:eastAsia="맑은 고딕" w:hAnsi="맑은 고딕"/>
          <w:b/>
          <w:bCs/>
          <w:color w:val="1A1A1A"/>
          <w:sz w:val="23"/>
          <w:szCs w:val="23"/>
        </w:rPr>
        <w:t xml:space="preserve">5.2 프레임워크 구조 — 7 → 15 → 300+</w:t>
      </w:r>
    </w:p>
    <w:p>
      <w:pPr>
        <w:keepNext/>
        <w:spacing w:after="90" w:before="220"/>
      </w:pPr>
      <w:r>
        <w:rPr>
          <w:rFonts w:ascii="맑은 고딕" w:cs="맑은 고딕" w:eastAsia="맑은 고딕" w:hAnsi="맑은 고딕"/>
          <w:b/>
          <w:bCs/>
          <w:color w:val="1F3864"/>
          <w:sz w:val="18"/>
          <w:szCs w:val="18"/>
        </w:rPr>
        <w:t xml:space="preserve">[그림 5-1] 3층 분석 프레임워크</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BFBFBF" w:sz="4"/>
              <w:left w:val="single" w:color="BFBFBF" w:sz="4"/>
              <w:bottom w:val="single" w:color="BFBFBF" w:sz="4"/>
              <w:right w:val="single" w:color="BFBFBF" w:sz="4"/>
            </w:tcBorders>
            <w:shd w:fill="F4F5F7" w:color="auto" w:val="clear"/>
            <w:tcMar>
              <w:top w:type="dxa" w:w="160"/>
              <w:left w:type="dxa" w:w="200"/>
              <w:bottom w:type="dxa" w:w="160"/>
              <w:right w:type="dxa" w:w="160"/>
            </w:tcMar>
          </w:tcPr>
          <w:p>
            <w:pPr>
              <w:spacing w:after="0" w:before="0" w:line="240"/>
              <w:jc w:val="left"/>
            </w:pPr>
            <w:r>
              <w:rPr>
                <w:rFonts w:ascii="굴림체" w:cs="굴림체" w:eastAsia="굴림체" w:hAnsi="굴림체"/>
                <w:color w:val="1A1A1A"/>
                <w:sz w:val="16"/>
                <w:szCs w:val="16"/>
              </w:rPr>
              <w:t xml:space="preserve">┌───────────────────────────────────────────────────────────┐</w:t>
            </w:r>
          </w:p>
          <w:p>
            <w:pPr>
              <w:spacing w:after="0" w:before="0" w:line="240"/>
              <w:jc w:val="left"/>
            </w:pPr>
            <w:r>
              <w:rPr>
                <w:rFonts w:ascii="굴림체" w:cs="굴림체" w:eastAsia="굴림체" w:hAnsi="굴림체"/>
                <w:color w:val="1A1A1A"/>
                <w:sz w:val="16"/>
                <w:szCs w:val="16"/>
              </w:rPr>
              <w:t xml:space="preserve">│              7대 코어 카테고리 (Core Categories)             │  ← 결론의 단위</w:t>
            </w:r>
          </w:p>
          <w:p>
            <w:pPr>
              <w:spacing w:after="0" w:before="0" w:line="240"/>
              <w:jc w:val="left"/>
            </w:pPr>
            <w:r>
              <w:rPr>
                <w:rFonts w:ascii="굴림체" w:cs="굴림체" w:eastAsia="굴림체" w:hAnsi="굴림체"/>
                <w:color w:val="1A1A1A"/>
                <w:sz w:val="16"/>
                <w:szCs w:val="16"/>
              </w:rPr>
              <w:t xml:space="preserve">│   인구·가구 │ 고용·소득 │ 이동·교통 │ 상권·소비                │    "수요가 있는가?"</w:t>
            </w:r>
          </w:p>
          <w:p>
            <w:pPr>
              <w:spacing w:after="0" w:before="0" w:line="240"/>
              <w:jc w:val="left"/>
            </w:pPr>
            <w:r>
              <w:rPr>
                <w:rFonts w:ascii="굴림체" w:cs="굴림체" w:eastAsia="굴림체" w:hAnsi="굴림체"/>
                <w:color w:val="1A1A1A"/>
                <w:sz w:val="16"/>
                <w:szCs w:val="16"/>
              </w:rPr>
              <w:t xml:space="preserve">│   주택시장 │ 공급 │ 개발·도시계획                              │</w:t>
            </w:r>
          </w:p>
          <w:p>
            <w:pPr>
              <w:spacing w:after="0" w:before="0" w:line="240"/>
              <w:jc w:val="left"/>
            </w:pPr>
            <w:r>
              <w:rPr>
                <w:rFonts w:ascii="굴림체" w:cs="굴림체" w:eastAsia="굴림체" w:hAnsi="굴림체"/>
                <w:color w:val="1A1A1A"/>
                <w:sz w:val="16"/>
                <w:szCs w:val="16"/>
              </w:rPr>
              <w:t xml:space="preserve">└──────────────────────────┬────────────────────────────────┘</w:t>
            </w:r>
          </w:p>
          <w:p>
            <w:pPr>
              <w:spacing w:after="0" w:before="0" w:line="240"/>
              <w:jc w:val="left"/>
            </w:pPr>
            <w:r>
              <w:rPr>
                <w:rFonts w:ascii="굴림체" w:cs="굴림체" w:eastAsia="굴림체" w:hAnsi="굴림체"/>
                <w:color w:val="1A1A1A"/>
                <w:sz w:val="16"/>
                <w:szCs w:val="16"/>
              </w:rPr>
              <w:t xml:space="preserve">                           ▼</w:t>
            </w:r>
          </w:p>
          <w:p>
            <w:pPr>
              <w:spacing w:after="0" w:before="0" w:line="240"/>
              <w:jc w:val="left"/>
            </w:pPr>
            <w:r>
              <w:rPr>
                <w:rFonts w:ascii="굴림체" w:cs="굴림체" w:eastAsia="굴림체" w:hAnsi="굴림체"/>
                <w:color w:val="1A1A1A"/>
                <w:sz w:val="16"/>
                <w:szCs w:val="16"/>
              </w:rPr>
              <w:t xml:space="preserve">┌───────────────────────────────────────────────────────────┐</w:t>
            </w:r>
          </w:p>
          <w:p>
            <w:pPr>
              <w:spacing w:after="0" w:before="0" w:line="240"/>
              <w:jc w:val="left"/>
            </w:pPr>
            <w:r>
              <w:rPr>
                <w:rFonts w:ascii="굴림체" w:cs="굴림체" w:eastAsia="굴림체" w:hAnsi="굴림체"/>
                <w:color w:val="1A1A1A"/>
                <w:sz w:val="16"/>
                <w:szCs w:val="16"/>
              </w:rPr>
              <w:t xml:space="preserve">│              15개 데이터 레이어 (Data Layers)                │  ← 독립성의 단위</w:t>
            </w:r>
          </w:p>
          <w:p>
            <w:pPr>
              <w:spacing w:after="0" w:before="0" w:line="240"/>
              <w:jc w:val="left"/>
            </w:pPr>
            <w:r>
              <w:rPr>
                <w:rFonts w:ascii="굴림체" w:cs="굴림체" w:eastAsia="굴림체" w:hAnsi="굴림체"/>
                <w:color w:val="1A1A1A"/>
                <w:sz w:val="16"/>
                <w:szCs w:val="16"/>
              </w:rPr>
              <w:t xml:space="preserve">│   L1 상주인구 · L2 가구수요 · L3 인구이동                     │    "무엇으로 측정하는가?"</w:t>
            </w:r>
          </w:p>
          <w:p>
            <w:pPr>
              <w:spacing w:after="0" w:before="0" w:line="240"/>
              <w:jc w:val="left"/>
            </w:pPr>
            <w:r>
              <w:rPr>
                <w:rFonts w:ascii="굴림체" w:cs="굴림체" w:eastAsia="굴림체" w:hAnsi="굴림체"/>
                <w:color w:val="1A1A1A"/>
                <w:sz w:val="16"/>
                <w:szCs w:val="16"/>
              </w:rPr>
              <w:t xml:space="preserve">│   L4 고용 · L5 소득 · L6 유동인구 · L7 생활이동 · L8 교통망     │</w:t>
            </w:r>
          </w:p>
          <w:p>
            <w:pPr>
              <w:spacing w:after="0" w:before="0" w:line="240"/>
              <w:jc w:val="left"/>
            </w:pPr>
            <w:r>
              <w:rPr>
                <w:rFonts w:ascii="굴림체" w:cs="굴림체" w:eastAsia="굴림체" w:hAnsi="굴림체"/>
                <w:color w:val="1A1A1A"/>
                <w:sz w:val="16"/>
                <w:szCs w:val="16"/>
              </w:rPr>
              <w:t xml:space="preserve">│   L9 상권 · L10 카드소비 · L11 실거래 · L12 청약/미분양        │</w:t>
            </w:r>
          </w:p>
          <w:p>
            <w:pPr>
              <w:spacing w:after="0" w:before="0" w:line="240"/>
              <w:jc w:val="left"/>
            </w:pPr>
            <w:r>
              <w:rPr>
                <w:rFonts w:ascii="굴림체" w:cs="굴림체" w:eastAsia="굴림체" w:hAnsi="굴림체"/>
                <w:color w:val="1A1A1A"/>
                <w:sz w:val="16"/>
                <w:szCs w:val="16"/>
              </w:rPr>
              <w:t xml:space="preserve">│   L13 공급 파이프라인 · L14 개발계획 · L15 도시계획            │</w:t>
            </w:r>
          </w:p>
          <w:p>
            <w:pPr>
              <w:spacing w:after="0" w:before="0" w:line="240"/>
              <w:jc w:val="left"/>
            </w:pPr>
            <w:r>
              <w:rPr>
                <w:rFonts w:ascii="굴림체" w:cs="굴림체" w:eastAsia="굴림체" w:hAnsi="굴림체"/>
                <w:color w:val="1A1A1A"/>
                <w:sz w:val="16"/>
                <w:szCs w:val="16"/>
              </w:rPr>
              <w:t xml:space="preserve">└──────────────────────────┬────────────────────────────────┘</w:t>
            </w:r>
          </w:p>
          <w:p>
            <w:pPr>
              <w:spacing w:after="0" w:before="0" w:line="240"/>
              <w:jc w:val="left"/>
            </w:pPr>
            <w:r>
              <w:rPr>
                <w:rFonts w:ascii="굴림체" w:cs="굴림체" w:eastAsia="굴림체" w:hAnsi="굴림체"/>
                <w:color w:val="1A1A1A"/>
                <w:sz w:val="16"/>
                <w:szCs w:val="16"/>
              </w:rPr>
              <w:t xml:space="preserve">                           ▼</w:t>
            </w:r>
          </w:p>
          <w:p>
            <w:pPr>
              <w:spacing w:after="0" w:before="0" w:line="240"/>
              <w:jc w:val="left"/>
            </w:pPr>
            <w:r>
              <w:rPr>
                <w:rFonts w:ascii="굴림체" w:cs="굴림체" w:eastAsia="굴림체" w:hAnsi="굴림체"/>
                <w:color w:val="1A1A1A"/>
                <w:sz w:val="16"/>
                <w:szCs w:val="16"/>
              </w:rPr>
              <w:t xml:space="preserve">┌───────────────────────────────────────────────────────────┐</w:t>
            </w:r>
          </w:p>
          <w:p>
            <w:pPr>
              <w:spacing w:after="0" w:before="0" w:line="240"/>
              <w:jc w:val="left"/>
            </w:pPr>
            <w:r>
              <w:rPr>
                <w:rFonts w:ascii="굴림체" w:cs="굴림체" w:eastAsia="굴림체" w:hAnsi="굴림체"/>
                <w:color w:val="1A1A1A"/>
                <w:sz w:val="16"/>
                <w:szCs w:val="16"/>
              </w:rPr>
              <w:t xml:space="preserve">│            300+ 표준 분석 지표 (Indicators)                  │  ← 재현성의 단위</w:t>
            </w:r>
          </w:p>
          <w:p>
            <w:pPr>
              <w:spacing w:after="0" w:before="0" w:line="240"/>
              <w:jc w:val="left"/>
            </w:pPr>
            <w:r>
              <w:rPr>
                <w:rFonts w:ascii="굴림체" w:cs="굴림체" w:eastAsia="굴림체" w:hAnsi="굴림체"/>
                <w:color w:val="1A1A1A"/>
                <w:sz w:val="16"/>
                <w:szCs w:val="16"/>
              </w:rPr>
              <w:t xml:space="preserve">│   지표별 정의 · 산식 · 공간단위 · 출처 · 갱신주기 · 신뢰등급     │    "어떻게 계산하는가?"</w:t>
            </w:r>
          </w:p>
          <w:p>
            <w:pPr>
              <w:spacing w:after="0" w:before="0" w:line="240"/>
              <w:jc w:val="left"/>
            </w:pPr>
            <w:r>
              <w:rPr>
                <w:rFonts w:ascii="굴림체" w:cs="굴림체" w:eastAsia="굴림체" w:hAnsi="굴림체"/>
                <w:color w:val="1A1A1A"/>
                <w:sz w:val="16"/>
                <w:szCs w:val="16"/>
              </w:rPr>
              <w:t xml:space="preserve">└───────────────────────────────────────────────────────────┘</w:t>
            </w:r>
          </w:p>
        </w:tc>
      </w:tr>
    </w:tbl>
    <w:p>
      <w:pPr>
        <w:spacing w:after="160" w:before="0"/>
      </w:pPr>
    </w:p>
    <w:p>
      <w:pPr>
        <w:keepNext/>
        <w:spacing w:after="90" w:before="220"/>
      </w:pPr>
      <w:r>
        <w:rPr>
          <w:rFonts w:ascii="맑은 고딕" w:cs="맑은 고딕" w:eastAsia="맑은 고딕" w:hAnsi="맑은 고딕"/>
          <w:b/>
          <w:bCs/>
          <w:color w:val="1F3864"/>
          <w:sz w:val="18"/>
          <w:szCs w:val="18"/>
        </w:rPr>
        <w:t xml:space="preserve">[표 5-5] 각 층의 역할</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0"/>
        <w:gridCol w:w="1150"/>
        <w:gridCol w:w="7338"/>
      </w:tblGrid>
      <w:tr>
        <w:trPr>
          <w:cantSplit/>
          <w:tblHeader/>
        </w:trPr>
        <w:tc>
          <w:tcPr>
            <w:tcW w:type="dxa" w:w="1150"/>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층</w:t>
            </w:r>
          </w:p>
        </w:tc>
        <w:tc>
          <w:tcPr>
            <w:tcW w:type="dxa" w:w="1150"/>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단위</w:t>
            </w:r>
          </w:p>
        </w:tc>
        <w:tc>
          <w:tcPr>
            <w:tcW w:type="dxa" w:w="7338"/>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역할</w:t>
            </w:r>
          </w:p>
        </w:tc>
      </w:tr>
      <w:tr>
        <w:trPr>
          <w:cantSplit/>
          <w:tblHeader w:val="false"/>
        </w:trPr>
        <w:tc>
          <w:tcPr>
            <w:tcW w:type="dxa" w:w="115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카테고리</w:t>
            </w:r>
          </w:p>
        </w:tc>
        <w:tc>
          <w:tcPr>
            <w:tcW w:type="dxa" w:w="115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결론</w:t>
            </w:r>
          </w:p>
        </w:tc>
        <w:tc>
          <w:tcPr>
            <w:tcW w:type="dxa" w:w="733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최종 판정(5.8)이 내려지는 단위. 경영진 보고와 고객 설득 논리(제6장)의 구성 단위</w:t>
            </w:r>
          </w:p>
        </w:tc>
      </w:tr>
      <w:tr>
        <w:trPr>
          <w:cantSplit/>
          <w:tblHeader w:val="false"/>
        </w:trPr>
        <w:tc>
          <w:tcPr>
            <w:tcW w:type="dxa" w:w="115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레이어</w:t>
            </w:r>
          </w:p>
        </w:tc>
        <w:tc>
          <w:tcPr>
            <w:tcW w:type="dxa" w:w="115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독립성</w:t>
            </w:r>
          </w:p>
        </w:tc>
        <w:tc>
          <w:tcPr>
            <w:tcW w:type="dxa" w:w="7338"/>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생성 주체·수집 경로가 구분되는 데이터셋. 교차검증(5.4.3)이 수행되는 단위</w:t>
            </w:r>
          </w:p>
        </w:tc>
      </w:tr>
      <w:tr>
        <w:trPr>
          <w:cantSplit/>
          <w:tblHeader w:val="false"/>
        </w:trPr>
        <w:tc>
          <w:tcPr>
            <w:tcW w:type="dxa" w:w="115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지표</w:t>
            </w:r>
          </w:p>
        </w:tc>
        <w:tc>
          <w:tcPr>
            <w:tcW w:type="dxa" w:w="115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재현성</w:t>
            </w:r>
          </w:p>
        </w:tc>
        <w:tc>
          <w:tcPr>
            <w:tcW w:type="dxa" w:w="733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정의·산식·공간단위·출처·갱신주기·신뢰등급이 등록되어, 누가 계산해도 같은 값이 산출되는 단위</w:t>
            </w:r>
          </w:p>
        </w:tc>
      </w:tr>
    </w:tbl>
    <w:p>
      <w:pPr>
        <w:spacing w:after="200" w:before="0"/>
      </w:pPr>
    </w:p>
    <w:p>
      <w:pPr>
        <w:keepNext w:val="false"/>
        <w:spacing w:after="130" w:before="60" w:line="310"/>
        <w:jc w:val="both"/>
      </w:pPr>
      <w:r>
        <w:rPr>
          <w:rFonts w:ascii="맑은 고딕" w:cs="맑은 고딕" w:eastAsia="맑은 고딕" w:hAnsi="맑은 고딕"/>
          <w:b w:val="false"/>
          <w:bCs w:val="false"/>
          <w:i w:val="false"/>
          <w:iCs w:val="false"/>
          <w:color w:val="1A1A1A"/>
          <w:sz w:val="20"/>
          <w:szCs w:val="20"/>
        </w:rPr>
        <w:t xml:space="preserve">표준 지표 사전은 300개 이상의 지표로 구성됩니다. 다만 다음을 명시합니다. </w:t>
      </w:r>
      <w:r>
        <w:rPr>
          <w:rFonts w:ascii="맑은 고딕" w:cs="맑은 고딕" w:eastAsia="맑은 고딕" w:hAnsi="맑은 고딕"/>
          <w:b/>
          <w:bCs/>
          <w:i w:val="false"/>
          <w:iCs w:val="false"/>
          <w:color w:val="1A1A1A"/>
          <w:sz w:val="20"/>
          <w:szCs w:val="20"/>
        </w:rPr>
        <w:t xml:space="preserve">현장별로 실제 적용되는 지표 수는 데이터 커버리지(5.10)에 따라 달라지며, 계약 전에 커버리지표로 확정하여 제출합니다.</w:t>
      </w:r>
      <w:r>
        <w:rPr>
          <w:rFonts w:ascii="맑은 고딕" w:cs="맑은 고딕" w:eastAsia="맑은 고딕" w:hAnsi="맑은 고딕"/>
          <w:b w:val="false"/>
          <w:bCs w:val="false"/>
          <w:i w:val="false"/>
          <w:iCs w:val="false"/>
          <w:color w:val="1A1A1A"/>
          <w:sz w:val="20"/>
          <w:szCs w:val="20"/>
        </w:rPr>
        <w:t xml:space="preserve"> 지표 수는 과시의 대상이 아니라 관리의 대상입니다.</w:t>
      </w:r>
    </w:p>
    <w:p>
      <w:pPr>
        <w:pStyle w:val="Heading2"/>
        <w:keepNext/>
        <w:spacing w:after="140" w:before="300"/>
      </w:pPr>
      <w:r>
        <w:rPr>
          <w:rFonts w:ascii="맑은 고딕" w:cs="맑은 고딕" w:eastAsia="맑은 고딕" w:hAnsi="맑은 고딕"/>
          <w:b/>
          <w:bCs/>
          <w:color w:val="1A1A1A"/>
          <w:sz w:val="23"/>
          <w:szCs w:val="23"/>
        </w:rPr>
        <w:t xml:space="preserve">5.3 7대 코어 카테고리와 15개 데이터 레이어</w:t>
      </w:r>
    </w:p>
    <w:p>
      <w:pPr>
        <w:pStyle w:val="Heading3"/>
        <w:keepNext/>
        <w:spacing w:after="110" w:before="240"/>
      </w:pPr>
      <w:r>
        <w:rPr>
          <w:rFonts w:ascii="맑은 고딕" w:cs="맑은 고딕" w:eastAsia="맑은 고딕" w:hAnsi="맑은 고딕"/>
          <w:b/>
          <w:bCs/>
          <w:color w:val="5A5A5A"/>
          <w:sz w:val="20"/>
          <w:szCs w:val="20"/>
        </w:rPr>
        <w:t xml:space="preserve">5.3.1 전체 구성</w:t>
      </w:r>
    </w:p>
    <w:p>
      <w:pPr>
        <w:keepNext/>
        <w:spacing w:after="90" w:before="220"/>
      </w:pPr>
      <w:r>
        <w:rPr>
          <w:rFonts w:ascii="맑은 고딕" w:cs="맑은 고딕" w:eastAsia="맑은 고딕" w:hAnsi="맑은 고딕"/>
          <w:b/>
          <w:bCs/>
          <w:color w:val="1F3864"/>
          <w:sz w:val="18"/>
          <w:szCs w:val="18"/>
        </w:rPr>
        <w:t xml:space="preserve">[표 5-6] 카테고리·레이어·지표 구성</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24"/>
        <w:gridCol w:w="3016"/>
        <w:gridCol w:w="3900"/>
        <w:gridCol w:w="1398"/>
      </w:tblGrid>
      <w:tr>
        <w:trPr>
          <w:cantSplit/>
          <w:tblHeader/>
        </w:trPr>
        <w:tc>
          <w:tcPr>
            <w:tcW w:type="dxa" w:w="1324"/>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카테고리</w:t>
            </w:r>
          </w:p>
        </w:tc>
        <w:tc>
          <w:tcPr>
            <w:tcW w:type="dxa" w:w="3016"/>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답하는 질문</w:t>
            </w:r>
          </w:p>
        </w:tc>
        <w:tc>
          <w:tcPr>
            <w:tcW w:type="dxa" w:w="3900"/>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데이터 레이어</w:t>
            </w:r>
          </w:p>
        </w:tc>
        <w:tc>
          <w:tcPr>
            <w:tcW w:type="dxa" w:w="1398"/>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표준 지표 (예시 수)</w:t>
            </w:r>
          </w:p>
        </w:tc>
      </w:tr>
      <w:tr>
        <w:trPr>
          <w:cantSplit/>
          <w:tblHeader w:val="false"/>
        </w:trPr>
        <w:tc>
          <w:tcPr>
            <w:tcW w:type="dxa" w:w="1324"/>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C1. 인구·가구 기반</w:t>
            </w:r>
          </w:p>
        </w:tc>
        <w:tc>
          <w:tcPr>
            <w:tcW w:type="dxa" w:w="301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실제 거주 수요가 형성·유지되는가?</w:t>
            </w:r>
          </w:p>
        </w:tc>
        <w:tc>
          <w:tcPr>
            <w:tcW w:type="dxa" w:w="39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L1 상주인구·인구구조 / L2 가구·주거수요 / L3 인구이동</w:t>
            </w:r>
          </w:p>
        </w:tc>
        <w:tc>
          <w:tcPr>
            <w:tcW w:type="dxa" w:w="139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약 60개</w:t>
            </w:r>
          </w:p>
        </w:tc>
      </w:tr>
      <w:tr>
        <w:trPr>
          <w:cantSplit/>
          <w:tblHeader w:val="false"/>
        </w:trPr>
        <w:tc>
          <w:tcPr>
            <w:tcW w:type="dxa" w:w="1324"/>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C2. 고용·소득 기반</w:t>
            </w:r>
          </w:p>
        </w:tc>
        <w:tc>
          <w:tcPr>
            <w:tcW w:type="dxa" w:w="3016"/>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배후 수요와 구매력이 뒷받침되는가?</w:t>
            </w:r>
          </w:p>
        </w:tc>
        <w:tc>
          <w:tcPr>
            <w:tcW w:type="dxa" w:w="390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L4 사업체·고용 / L5 소득·구매력</w:t>
            </w:r>
          </w:p>
        </w:tc>
        <w:tc>
          <w:tcPr>
            <w:tcW w:type="dxa" w:w="1398"/>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약 40개</w:t>
            </w:r>
          </w:p>
        </w:tc>
      </w:tr>
      <w:tr>
        <w:trPr>
          <w:cantSplit/>
          <w:tblHeader w:val="false"/>
        </w:trPr>
        <w:tc>
          <w:tcPr>
            <w:tcW w:type="dxa" w:w="1324"/>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C3. 이동·교통</w:t>
            </w:r>
          </w:p>
        </w:tc>
        <w:tc>
          <w:tcPr>
            <w:tcW w:type="dxa" w:w="301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사람의 흐름과 접근성이 경쟁력 있는가?</w:t>
            </w:r>
          </w:p>
        </w:tc>
        <w:tc>
          <w:tcPr>
            <w:tcW w:type="dxa" w:w="39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L6 유동인구 / L7 생활이동·O/D / L8 교통망·접근성</w:t>
            </w:r>
          </w:p>
        </w:tc>
        <w:tc>
          <w:tcPr>
            <w:tcW w:type="dxa" w:w="139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약 60개</w:t>
            </w:r>
          </w:p>
        </w:tc>
      </w:tr>
      <w:tr>
        <w:trPr>
          <w:cantSplit/>
          <w:tblHeader w:val="false"/>
        </w:trPr>
        <w:tc>
          <w:tcPr>
            <w:tcW w:type="dxa" w:w="1324"/>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C4. 상권·소비</w:t>
            </w:r>
          </w:p>
        </w:tc>
        <w:tc>
          <w:tcPr>
            <w:tcW w:type="dxa" w:w="3016"/>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생활권이 소비를 지탱할 만큼 성숙한가?</w:t>
            </w:r>
          </w:p>
        </w:tc>
        <w:tc>
          <w:tcPr>
            <w:tcW w:type="dxa" w:w="390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L9 상권 활동 / L10 카드소비</w:t>
            </w:r>
          </w:p>
        </w:tc>
        <w:tc>
          <w:tcPr>
            <w:tcW w:type="dxa" w:w="1398"/>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약 35개</w:t>
            </w:r>
          </w:p>
        </w:tc>
      </w:tr>
      <w:tr>
        <w:trPr>
          <w:cantSplit/>
          <w:tblHeader w:val="false"/>
        </w:trPr>
        <w:tc>
          <w:tcPr>
            <w:tcW w:type="dxa" w:w="1324"/>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C5. 주택시장</w:t>
            </w:r>
          </w:p>
        </w:tc>
        <w:tc>
          <w:tcPr>
            <w:tcW w:type="dxa" w:w="301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호가가 아닌 시장가격은 어떻게 움직이는가?</w:t>
            </w:r>
          </w:p>
        </w:tc>
        <w:tc>
          <w:tcPr>
            <w:tcW w:type="dxa" w:w="39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L11 매매·전월세 실거래 / L12 청약·미분양</w:t>
            </w:r>
          </w:p>
        </w:tc>
        <w:tc>
          <w:tcPr>
            <w:tcW w:type="dxa" w:w="139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약 45개</w:t>
            </w:r>
          </w:p>
        </w:tc>
      </w:tr>
      <w:tr>
        <w:trPr>
          <w:cantSplit/>
          <w:tblHeader w:val="false"/>
        </w:trPr>
        <w:tc>
          <w:tcPr>
            <w:tcW w:type="dxa" w:w="1324"/>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C6. 공급</w:t>
            </w:r>
          </w:p>
        </w:tc>
        <w:tc>
          <w:tcPr>
            <w:tcW w:type="dxa" w:w="3016"/>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희소성인가, 공급 부담인가?</w:t>
            </w:r>
          </w:p>
        </w:tc>
        <w:tc>
          <w:tcPr>
            <w:tcW w:type="dxa" w:w="390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L13 공급 파이프라인</w:t>
            </w:r>
          </w:p>
        </w:tc>
        <w:tc>
          <w:tcPr>
            <w:tcW w:type="dxa" w:w="1398"/>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약 25개</w:t>
            </w:r>
          </w:p>
        </w:tc>
      </w:tr>
      <w:tr>
        <w:trPr>
          <w:cantSplit/>
          <w:tblHeader w:val="false"/>
        </w:trPr>
        <w:tc>
          <w:tcPr>
            <w:tcW w:type="dxa" w:w="1324"/>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C7. 개발·도시계획</w:t>
            </w:r>
          </w:p>
        </w:tc>
        <w:tc>
          <w:tcPr>
            <w:tcW w:type="dxa" w:w="301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가치를 바꿀 계획이 실제로 진행되는가?</w:t>
            </w:r>
          </w:p>
        </w:tc>
        <w:tc>
          <w:tcPr>
            <w:tcW w:type="dxa" w:w="39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L14 개발계획·공공투자 / L15 도시계획·토지이용</w:t>
            </w:r>
          </w:p>
        </w:tc>
        <w:tc>
          <w:tcPr>
            <w:tcW w:type="dxa" w:w="139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약 40개</w:t>
            </w:r>
          </w:p>
        </w:tc>
      </w:tr>
    </w:tbl>
    <w:p>
      <w:pPr>
        <w:spacing w:after="200" w:before="0"/>
      </w:pPr>
    </w:p>
    <w:p>
      <w:pPr>
        <w:keepNext w:val="false"/>
        <w:spacing w:after="160" w:before="20" w:line="310"/>
        <w:jc w:val="left"/>
      </w:pPr>
      <w:r>
        <w:rPr>
          <w:rFonts w:ascii="맑은 고딕" w:cs="맑은 고딕" w:eastAsia="맑은 고딕" w:hAnsi="맑은 고딕"/>
          <w:b w:val="false"/>
          <w:bCs w:val="false"/>
          <w:i/>
          <w:iCs/>
          <w:color w:val="5A5A5A"/>
          <w:sz w:val="17"/>
          <w:szCs w:val="17"/>
        </w:rPr>
        <w:t xml:space="preserve">지표 수는 표준 지표 사전 기준의 근사치이며, 현장 적용 수는 커버리지 확정 후 결정됩니다.</w:t>
      </w:r>
    </w:p>
    <w:p>
      <w:pPr>
        <w:pStyle w:val="Heading3"/>
        <w:keepNext/>
        <w:spacing w:after="110" w:before="240"/>
      </w:pPr>
      <w:r>
        <w:rPr>
          <w:rFonts w:ascii="맑은 고딕" w:cs="맑은 고딕" w:eastAsia="맑은 고딕" w:hAnsi="맑은 고딕"/>
          <w:b/>
          <w:bCs/>
          <w:color w:val="5A5A5A"/>
          <w:sz w:val="20"/>
          <w:szCs w:val="20"/>
        </w:rPr>
        <w:t xml:space="preserve">5.3.2 C1. 인구·가구 기반 — 거주 수요의 검증</w:t>
      </w:r>
    </w:p>
    <w:p>
      <w:pPr>
        <w:keepNext w:val="false"/>
        <w:spacing w:after="130" w:before="60" w:line="310"/>
        <w:jc w:val="both"/>
      </w:pPr>
      <w:r>
        <w:rPr>
          <w:rFonts w:ascii="맑은 고딕" w:cs="맑은 고딕" w:eastAsia="맑은 고딕" w:hAnsi="맑은 고딕"/>
          <w:b/>
          <w:bCs/>
          <w:i w:val="false"/>
          <w:iCs w:val="false"/>
          <w:color w:val="1A1A1A"/>
          <w:sz w:val="20"/>
          <w:szCs w:val="20"/>
        </w:rPr>
        <w:t xml:space="preserve">L1 상주인구·인구구조 (Demographic Analysis)</w:t>
      </w:r>
    </w:p>
    <w:p>
      <w:pPr>
        <w:keepNext w:val="false"/>
        <w:spacing w:after="130" w:before="60" w:line="310"/>
        <w:jc w:val="both"/>
      </w:pPr>
      <w:r>
        <w:rPr>
          <w:rFonts w:ascii="맑은 고딕" w:cs="맑은 고딕" w:eastAsia="맑은 고딕" w:hAnsi="맑은 고딕"/>
          <w:b w:val="false"/>
          <w:bCs w:val="false"/>
          <w:i w:val="false"/>
          <w:iCs w:val="false"/>
          <w:color w:val="1A1A1A"/>
          <w:sz w:val="20"/>
          <w:szCs w:val="20"/>
        </w:rPr>
        <w:t xml:space="preserve">생활권 내 실제 거주 인구의 규모와 구조를 격자·집계구 단위로 분석합니다. 시·구 평균에 가려진 생활권 단위의 실제 인구 동태를 확인하는 것이 목적입니다.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blHeader/>
        </w:trPr>
        <w:tc>
          <w:tcPr>
            <w:tcW w:type="dxa" w:w="9638"/>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대표 지표</w:t>
            </w:r>
          </w:p>
        </w:tc>
      </w:tr>
      <w:tr>
        <w:trPr>
          <w:cantSplit/>
          <w:tblHeader w:val="false"/>
        </w:trPr>
        <w:tc>
          <w:tcPr>
            <w:tcW w:type="dxa" w:w="963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생활권 상주인구와 다년 증감률 / 연령대별 구성과 핵심 수요 연령(30~40대) 비중 / 생산가능인구 비율 / 고령화 속도 / 인구 피라미드의 형태 변화 / 세대당 인구</w:t>
            </w:r>
          </w:p>
        </w:tc>
      </w:tr>
    </w:tbl>
    <w:p>
      <w:pPr>
        <w:spacing w:after="200" w:before="0"/>
      </w:pPr>
    </w:p>
    <w:p>
      <w:pPr>
        <w:keepNext w:val="false"/>
        <w:spacing w:after="130" w:before="60" w:line="310"/>
        <w:jc w:val="both"/>
      </w:pPr>
      <w:r>
        <w:rPr>
          <w:rFonts w:ascii="맑은 고딕" w:cs="맑은 고딕" w:eastAsia="맑은 고딕" w:hAnsi="맑은 고딕"/>
          <w:b/>
          <w:bCs/>
          <w:i w:val="false"/>
          <w:iCs w:val="false"/>
          <w:color w:val="1A1A1A"/>
          <w:sz w:val="20"/>
          <w:szCs w:val="20"/>
        </w:rPr>
        <w:t xml:space="preserve">L2 가구·주거수요 (Household Demand)</w:t>
      </w:r>
    </w:p>
    <w:p>
      <w:pPr>
        <w:keepNext w:val="false"/>
        <w:spacing w:after="130" w:before="60" w:line="310"/>
        <w:jc w:val="both"/>
      </w:pPr>
      <w:r>
        <w:rPr>
          <w:rFonts w:ascii="맑은 고딕" w:cs="맑은 고딕" w:eastAsia="맑은 고딕" w:hAnsi="맑은 고딕"/>
          <w:b w:val="false"/>
          <w:bCs w:val="false"/>
          <w:i w:val="false"/>
          <w:iCs w:val="false"/>
          <w:color w:val="1A1A1A"/>
          <w:sz w:val="20"/>
          <w:szCs w:val="20"/>
        </w:rPr>
        <w:t xml:space="preserve">주택을 구매하는 단위는 개인이 아니라 가구입니다. 현장의 평형 구성이 생활권의 가구 구조와 정합하는지를 검증합니다.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blHeader/>
        </w:trPr>
        <w:tc>
          <w:tcPr>
            <w:tcW w:type="dxa" w:w="9638"/>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대표 지표</w:t>
            </w:r>
          </w:p>
        </w:tc>
      </w:tr>
      <w:tr>
        <w:trPr>
          <w:cantSplit/>
          <w:tblHeader w:val="false"/>
        </w:trPr>
        <w:tc>
          <w:tcPr>
            <w:tcW w:type="dxa" w:w="963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가구수 증감 / 가구 유형(1인·신혼·유자녀·고령) 구성 / 평균 가구원수 추이 / 주택 점유형태(자가·전세·월세) 분포 / 주택 유형별 거주 현황 / 가구 분화 속도</w:t>
            </w:r>
          </w:p>
        </w:tc>
      </w:tr>
    </w:tbl>
    <w:p>
      <w:pPr>
        <w:spacing w:after="200" w:before="0"/>
      </w:pPr>
    </w:p>
    <w:p>
      <w:pPr>
        <w:keepNext w:val="false"/>
        <w:spacing w:after="130" w:before="60" w:line="310"/>
        <w:jc w:val="both"/>
      </w:pPr>
      <w:r>
        <w:rPr>
          <w:rFonts w:ascii="맑은 고딕" w:cs="맑은 고딕" w:eastAsia="맑은 고딕" w:hAnsi="맑은 고딕"/>
          <w:b w:val="false"/>
          <w:bCs w:val="false"/>
          <w:i/>
          <w:iCs/>
          <w:color w:val="5A5A5A"/>
          <w:sz w:val="20"/>
          <w:szCs w:val="20"/>
        </w:rPr>
        <w:t xml:space="preserve">검증 예시:</w:t>
      </w:r>
      <w:r>
        <w:rPr>
          <w:rFonts w:ascii="맑은 고딕" w:cs="맑은 고딕" w:eastAsia="맑은 고딕" w:hAnsi="맑은 고딕"/>
          <w:b w:val="false"/>
          <w:bCs w:val="false"/>
          <w:i w:val="false"/>
          <w:iCs w:val="false"/>
          <w:color w:val="1A1A1A"/>
          <w:sz w:val="20"/>
          <w:szCs w:val="20"/>
        </w:rPr>
        <w:t xml:space="preserve"> 중대형 중심 현장의 생활권에서 1인 가구만 증가하고 있다면, 평형 구성과 수요 구조의 불일치를 조기에 확인할 수 있습니다.</w:t>
      </w:r>
    </w:p>
    <w:p>
      <w:pPr>
        <w:keepNext w:val="false"/>
        <w:spacing w:after="130" w:before="60" w:line="310"/>
        <w:jc w:val="both"/>
      </w:pPr>
      <w:r>
        <w:rPr>
          <w:rFonts w:ascii="맑은 고딕" w:cs="맑은 고딕" w:eastAsia="맑은 고딕" w:hAnsi="맑은 고딕"/>
          <w:b/>
          <w:bCs/>
          <w:i w:val="false"/>
          <w:iCs w:val="false"/>
          <w:color w:val="1A1A1A"/>
          <w:sz w:val="20"/>
          <w:szCs w:val="20"/>
        </w:rPr>
        <w:t xml:space="preserve">L3 인구이동 (Migration)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blHeader/>
        </w:trPr>
        <w:tc>
          <w:tcPr>
            <w:tcW w:type="dxa" w:w="9638"/>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대표 지표</w:t>
            </w:r>
          </w:p>
        </w:tc>
      </w:tr>
      <w:tr>
        <w:trPr>
          <w:cantSplit/>
          <w:tblHeader w:val="false"/>
        </w:trPr>
        <w:tc>
          <w:tcPr>
            <w:tcW w:type="dxa" w:w="963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전입·전출 순이동 / 연령대별 이동 방향 / 유입 상위 출발지 / 유출 상위 목적지 / 시점별 이동 추세</w:t>
            </w:r>
          </w:p>
        </w:tc>
      </w:tr>
    </w:tbl>
    <w:p>
      <w:pPr>
        <w:spacing w:after="200" w:before="0"/>
      </w:pPr>
    </w:p>
    <w:p>
      <w:pPr>
        <w:keepNext w:val="false"/>
        <w:spacing w:after="130" w:before="60" w:line="310"/>
        <w:jc w:val="both"/>
      </w:pPr>
      <w:r>
        <w:rPr>
          <w:rFonts w:ascii="맑은 고딕" w:cs="맑은 고딕" w:eastAsia="맑은 고딕" w:hAnsi="맑은 고딕"/>
          <w:b w:val="false"/>
          <w:bCs w:val="false"/>
          <w:i/>
          <w:iCs/>
          <w:color w:val="5A5A5A"/>
          <w:sz w:val="20"/>
          <w:szCs w:val="20"/>
        </w:rPr>
        <w:t xml:space="preserve">활용:</w:t>
      </w:r>
      <w:r>
        <w:rPr>
          <w:rFonts w:ascii="맑은 고딕" w:cs="맑은 고딕" w:eastAsia="맑은 고딕" w:hAnsi="맑은 고딕"/>
          <w:b w:val="false"/>
          <w:bCs w:val="false"/>
          <w:i w:val="false"/>
          <w:iCs w:val="false"/>
          <w:color w:val="1A1A1A"/>
          <w:sz w:val="20"/>
          <w:szCs w:val="20"/>
        </w:rPr>
        <w:t xml:space="preserve"> "어디에서 누가 들어오고 있는가"는 광고 타깃 지역 설계(제8장)의 직접적 입력값이 됩니다.</w:t>
      </w:r>
    </w:p>
    <w:p>
      <w:pPr>
        <w:keepNext w:val="false"/>
        <w:spacing w:after="130" w:before="60" w:line="310"/>
        <w:jc w:val="both"/>
      </w:pPr>
      <w:r>
        <w:rPr>
          <w:rFonts w:ascii="맑은 고딕" w:cs="맑은 고딕" w:eastAsia="맑은 고딕" w:hAnsi="맑은 고딕"/>
          <w:b w:val="false"/>
          <w:bCs w:val="false"/>
          <w:i/>
          <w:iCs/>
          <w:color w:val="5A5A5A"/>
          <w:sz w:val="20"/>
          <w:szCs w:val="20"/>
        </w:rPr>
        <w:t xml:space="preserve">교차검증:</w:t>
      </w:r>
      <w:r>
        <w:rPr>
          <w:rFonts w:ascii="맑은 고딕" w:cs="맑은 고딕" w:eastAsia="맑은 고딕" w:hAnsi="맑은 고딕"/>
          <w:b w:val="false"/>
          <w:bCs w:val="false"/>
          <w:i w:val="false"/>
          <w:iCs w:val="false"/>
          <w:color w:val="1A1A1A"/>
          <w:sz w:val="20"/>
          <w:szCs w:val="20"/>
        </w:rPr>
        <w:t xml:space="preserve"> 통계상 유입 출발지 구성은 </w:t>
      </w:r>
      <w:r>
        <w:rPr>
          <w:rFonts w:ascii="맑은 고딕" w:cs="맑은 고딕" w:eastAsia="맑은 고딕" w:hAnsi="맑은 고딕"/>
          <w:b/>
          <w:bCs/>
          <w:i w:val="false"/>
          <w:iCs w:val="false"/>
          <w:color w:val="1A1A1A"/>
          <w:sz w:val="20"/>
          <w:szCs w:val="20"/>
        </w:rPr>
        <w:t xml:space="preserve">현장 방문객의 실제 거주지 분포(제9장 CRM에서 축적)와 대조</w:t>
      </w:r>
      <w:r>
        <w:rPr>
          <w:rFonts w:ascii="맑은 고딕" w:cs="맑은 고딕" w:eastAsia="맑은 고딕" w:hAnsi="맑은 고딕"/>
          <w:b w:val="false"/>
          <w:bCs w:val="false"/>
          <w:i w:val="false"/>
          <w:iCs w:val="false"/>
          <w:color w:val="1A1A1A"/>
          <w:sz w:val="20"/>
          <w:szCs w:val="20"/>
        </w:rPr>
        <w:t xml:space="preserve">됩니다. 통계상 유입이 거의 없는 지역에서 방문객이 몰린다면 수요 가정이 틀렸거나 광고 타깃이 실제 수요와 어긋난 것이므로, 어느 쪽이든 재검토 대상으로 지정됩니다(5.11.3).</w:t>
      </w:r>
    </w:p>
    <w:p>
      <w:pPr>
        <w:pStyle w:val="Heading3"/>
        <w:keepNext/>
        <w:spacing w:after="110" w:before="240"/>
      </w:pPr>
      <w:r>
        <w:rPr>
          <w:rFonts w:ascii="맑은 고딕" w:cs="맑은 고딕" w:eastAsia="맑은 고딕" w:hAnsi="맑은 고딕"/>
          <w:b/>
          <w:bCs/>
          <w:color w:val="5A5A5A"/>
          <w:sz w:val="20"/>
          <w:szCs w:val="20"/>
        </w:rPr>
        <w:t xml:space="preserve">5.3.3 C2. 고용·소득 기반 — 배후 수요와 구매력의 검증</w:t>
      </w:r>
    </w:p>
    <w:p>
      <w:pPr>
        <w:keepNext w:val="false"/>
        <w:spacing w:after="130" w:before="60" w:line="310"/>
        <w:jc w:val="both"/>
      </w:pPr>
      <w:r>
        <w:rPr>
          <w:rFonts w:ascii="맑은 고딕" w:cs="맑은 고딕" w:eastAsia="맑은 고딕" w:hAnsi="맑은 고딕"/>
          <w:b/>
          <w:bCs/>
          <w:i w:val="false"/>
          <w:iCs w:val="false"/>
          <w:color w:val="1A1A1A"/>
          <w:sz w:val="20"/>
          <w:szCs w:val="20"/>
        </w:rPr>
        <w:t xml:space="preserve">L4 사업체·고용 (Employment Demand)</w:t>
      </w:r>
    </w:p>
    <w:p>
      <w:pPr>
        <w:keepNext w:val="false"/>
        <w:spacing w:after="130" w:before="60" w:line="310"/>
        <w:jc w:val="both"/>
      </w:pPr>
      <w:r>
        <w:rPr>
          <w:rFonts w:ascii="맑은 고딕" w:cs="맑은 고딕" w:eastAsia="맑은 고딕" w:hAnsi="맑은 고딕"/>
          <w:b w:val="false"/>
          <w:bCs w:val="false"/>
          <w:i w:val="false"/>
          <w:iCs w:val="false"/>
          <w:color w:val="1A1A1A"/>
          <w:sz w:val="20"/>
          <w:szCs w:val="20"/>
        </w:rPr>
        <w:t xml:space="preserve">직주근접은 분양 설득의 핵심 논리이지만, 검증 없이 사용되면 가장 쉽게 반박되는 논리이기도 합니다.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blHeader/>
        </w:trPr>
        <w:tc>
          <w:tcPr>
            <w:tcW w:type="dxa" w:w="9638"/>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대표 지표</w:t>
            </w:r>
          </w:p>
        </w:tc>
      </w:tr>
      <w:tr>
        <w:trPr>
          <w:cantSplit/>
          <w:tblHeader w:val="false"/>
        </w:trPr>
        <w:tc>
          <w:tcPr>
            <w:tcW w:type="dxa" w:w="963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시간권 내 사업체 수·종사자 수와 증감 / 산업 대분류별 고용 구성 / 주간인구 대 야간인구 비율 / 고용 밀도 / 대규모 사업장·산업단지의 고용 규모와 통근권</w:t>
            </w:r>
          </w:p>
        </w:tc>
      </w:tr>
    </w:tbl>
    <w:p>
      <w:pPr>
        <w:spacing w:after="200" w:before="0"/>
      </w:pPr>
    </w:p>
    <w:p>
      <w:pPr>
        <w:keepNext w:val="false"/>
        <w:spacing w:after="130" w:before="60" w:line="310"/>
        <w:jc w:val="both"/>
      </w:pPr>
      <w:r>
        <w:rPr>
          <w:rFonts w:ascii="맑은 고딕" w:cs="맑은 고딕" w:eastAsia="맑은 고딕" w:hAnsi="맑은 고딕"/>
          <w:b w:val="false"/>
          <w:bCs w:val="false"/>
          <w:i/>
          <w:iCs/>
          <w:color w:val="5A5A5A"/>
          <w:sz w:val="20"/>
          <w:szCs w:val="20"/>
        </w:rPr>
        <w:t xml:space="preserve">서술 원칙:</w:t>
      </w:r>
      <w:r>
        <w:rPr>
          <w:rFonts w:ascii="맑은 고딕" w:cs="맑은 고딕" w:eastAsia="맑은 고딕" w:hAnsi="맑은 고딕"/>
          <w:b w:val="false"/>
          <w:bCs w:val="false"/>
          <w:i w:val="false"/>
          <w:iCs w:val="false"/>
          <w:color w:val="1A1A1A"/>
          <w:sz w:val="20"/>
          <w:szCs w:val="20"/>
        </w:rPr>
        <w:t xml:space="preserve"> "일자리가 많다"가 아니라 </w:t>
      </w:r>
      <w:r>
        <w:rPr>
          <w:rFonts w:ascii="맑은 고딕" w:cs="맑은 고딕" w:eastAsia="맑은 고딕" w:hAnsi="맑은 고딕"/>
          <w:b/>
          <w:bCs/>
          <w:i w:val="false"/>
          <w:iCs w:val="false"/>
          <w:color w:val="1A1A1A"/>
          <w:sz w:val="20"/>
          <w:szCs w:val="20"/>
        </w:rPr>
        <w:t xml:space="preserve">"현장에서 몇 분 시간권에, 어떤 산업의, 몇 명의 고용이, 어떤 추세로 존재한다"</w:t>
      </w:r>
      <w:r>
        <w:rPr>
          <w:rFonts w:ascii="맑은 고딕" w:cs="맑은 고딕" w:eastAsia="맑은 고딕" w:hAnsi="맑은 고딕"/>
          <w:b w:val="false"/>
          <w:bCs w:val="false"/>
          <w:i w:val="false"/>
          <w:iCs w:val="false"/>
          <w:color w:val="1A1A1A"/>
          <w:sz w:val="20"/>
          <w:szCs w:val="20"/>
        </w:rPr>
        <w:t xml:space="preserve">로 답합니다.</w:t>
      </w:r>
    </w:p>
    <w:p>
      <w:pPr>
        <w:keepNext w:val="false"/>
        <w:spacing w:after="130" w:before="60" w:line="310"/>
        <w:jc w:val="both"/>
      </w:pPr>
      <w:r>
        <w:rPr>
          <w:rFonts w:ascii="맑은 고딕" w:cs="맑은 고딕" w:eastAsia="맑은 고딕" w:hAnsi="맑은 고딕"/>
          <w:b/>
          <w:bCs/>
          <w:i w:val="false"/>
          <w:iCs w:val="false"/>
          <w:color w:val="1A1A1A"/>
          <w:sz w:val="20"/>
          <w:szCs w:val="20"/>
        </w:rPr>
        <w:t xml:space="preserve">L5 소득·구매력 (Income)</w:t>
      </w:r>
    </w:p>
    <w:p>
      <w:pPr>
        <w:keepNext w:val="false"/>
        <w:spacing w:after="130" w:before="60" w:line="310"/>
        <w:jc w:val="both"/>
      </w:pPr>
      <w:r>
        <w:rPr>
          <w:rFonts w:ascii="맑은 고딕" w:cs="맑은 고딕" w:eastAsia="맑은 고딕" w:hAnsi="맑은 고딕"/>
          <w:b w:val="false"/>
          <w:bCs w:val="false"/>
          <w:i w:val="false"/>
          <w:iCs w:val="false"/>
          <w:color w:val="1A1A1A"/>
          <w:sz w:val="20"/>
          <w:szCs w:val="20"/>
        </w:rPr>
        <w:t xml:space="preserve">수요는 의사만으로 성립하지 않고 지불 능력으로 완성됩니다.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blHeader/>
        </w:trPr>
        <w:tc>
          <w:tcPr>
            <w:tcW w:type="dxa" w:w="9638"/>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대표 지표</w:t>
            </w:r>
          </w:p>
        </w:tc>
      </w:tr>
      <w:tr>
        <w:trPr>
          <w:cantSplit/>
          <w:tblHeader w:val="false"/>
        </w:trPr>
        <w:tc>
          <w:tcPr>
            <w:tcW w:type="dxa" w:w="963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생활권·통근권 가구소득 분포 / 소득 구간별 가구 비중 / 주택구매력 추정(소득 대비 총취득원가 배수) / 대출 여력과 금리 민감도 / 전세 보증금 수준</w:t>
            </w:r>
          </w:p>
        </w:tc>
      </w:tr>
    </w:tbl>
    <w:p>
      <w:pPr>
        <w:spacing w:after="200" w:before="0"/>
      </w:pPr>
    </w:p>
    <w:p>
      <w:pPr>
        <w:keepNext w:val="false"/>
        <w:spacing w:after="130" w:before="60" w:line="310"/>
        <w:jc w:val="both"/>
      </w:pPr>
      <w:r>
        <w:rPr>
          <w:rFonts w:ascii="맑은 고딕" w:cs="맑은 고딕" w:eastAsia="맑은 고딕" w:hAnsi="맑은 고딕"/>
          <w:b w:val="false"/>
          <w:bCs w:val="false"/>
          <w:i/>
          <w:iCs/>
          <w:color w:val="5A5A5A"/>
          <w:sz w:val="20"/>
          <w:szCs w:val="20"/>
        </w:rPr>
        <w:t xml:space="preserve">활용:</w:t>
      </w:r>
      <w:r>
        <w:rPr>
          <w:rFonts w:ascii="맑은 고딕" w:cs="맑은 고딕" w:eastAsia="맑은 고딕" w:hAnsi="맑은 고딕"/>
          <w:b w:val="false"/>
          <w:bCs w:val="false"/>
          <w:i w:val="false"/>
          <w:iCs w:val="false"/>
          <w:color w:val="1A1A1A"/>
          <w:sz w:val="20"/>
          <w:szCs w:val="20"/>
        </w:rPr>
        <w:t xml:space="preserve"> 분양가가 형성된 시장의 구매력 범위 안에 있는지를 판정하며, 가격 저항(제6장)의 구조적 원인을 이 레이어에서 확인합니다.</w:t>
      </w:r>
    </w:p>
    <w:p>
      <w:pPr>
        <w:keepNext w:val="false"/>
        <w:spacing w:after="130" w:before="60" w:line="310"/>
        <w:jc w:val="both"/>
      </w:pPr>
      <w:r>
        <w:rPr>
          <w:rFonts w:ascii="맑은 고딕" w:cs="맑은 고딕" w:eastAsia="맑은 고딕" w:hAnsi="맑은 고딕"/>
          <w:b w:val="false"/>
          <w:bCs w:val="false"/>
          <w:i/>
          <w:iCs/>
          <w:color w:val="5A5A5A"/>
          <w:sz w:val="20"/>
          <w:szCs w:val="20"/>
        </w:rPr>
        <w:t xml:space="preserve">가정과 실측의 분리:</w:t>
      </w:r>
      <w:r>
        <w:rPr>
          <w:rFonts w:ascii="맑은 고딕" w:cs="맑은 고딕" w:eastAsia="맑은 고딕" w:hAnsi="맑은 고딕"/>
          <w:b w:val="false"/>
          <w:bCs w:val="false"/>
          <w:i w:val="false"/>
          <w:iCs w:val="false"/>
          <w:color w:val="1A1A1A"/>
          <w:sz w:val="20"/>
          <w:szCs w:val="20"/>
        </w:rPr>
        <w:t xml:space="preserve"> 공개 통계가 제공하는 것은 평균·중위 같은 대표값이지 가구별 분포가 아닙니다. 당사는 </w:t>
      </w:r>
      <w:r>
        <w:rPr>
          <w:rFonts w:ascii="맑은 고딕" w:cs="맑은 고딕" w:eastAsia="맑은 고딕" w:hAnsi="맑은 고딕"/>
          <w:b/>
          <w:bCs/>
          <w:i w:val="false"/>
          <w:iCs w:val="false"/>
          <w:color w:val="1A1A1A"/>
          <w:sz w:val="20"/>
          <w:szCs w:val="20"/>
        </w:rPr>
        <w:t xml:space="preserve">분포의 중심값을 시군구 실측 중위소득으로 고정</w:t>
      </w:r>
      <w:r>
        <w:rPr>
          <w:rFonts w:ascii="맑은 고딕" w:cs="맑은 고딕" w:eastAsia="맑은 고딕" w:hAnsi="맑은 고딕"/>
          <w:b w:val="false"/>
          <w:bCs w:val="false"/>
          <w:i w:val="false"/>
          <w:iCs w:val="false"/>
          <w:color w:val="1A1A1A"/>
          <w:sz w:val="20"/>
          <w:szCs w:val="20"/>
        </w:rPr>
        <w:t xml:space="preserve">하고, 분포의 형태(로그정규 근사)와 산포는 가정으로 남긴 뒤 그 사실을 리포트에 병기합니다. "전부 가정"과 "형태만 가정"은 다른 상태이며, 그 차이를 발주처가 구분할 수 있어야 합니다.</w:t>
      </w:r>
    </w:p>
    <w:p>
      <w:pPr>
        <w:pStyle w:val="Heading3"/>
        <w:keepNext/>
        <w:spacing w:after="110" w:before="240"/>
      </w:pPr>
      <w:r>
        <w:rPr>
          <w:rFonts w:ascii="맑은 고딕" w:cs="맑은 고딕" w:eastAsia="맑은 고딕" w:hAnsi="맑은 고딕"/>
          <w:b/>
          <w:bCs/>
          <w:color w:val="5A5A5A"/>
          <w:sz w:val="20"/>
          <w:szCs w:val="20"/>
        </w:rPr>
        <w:t xml:space="preserve">5.3.4 C3. 이동·교통 — 흐름과 접근성의 검증</w:t>
      </w:r>
    </w:p>
    <w:p>
      <w:pPr>
        <w:keepNext w:val="false"/>
        <w:spacing w:after="130" w:before="60" w:line="310"/>
        <w:jc w:val="both"/>
      </w:pPr>
      <w:r>
        <w:rPr>
          <w:rFonts w:ascii="맑은 고딕" w:cs="맑은 고딕" w:eastAsia="맑은 고딕" w:hAnsi="맑은 고딕"/>
          <w:b/>
          <w:bCs/>
          <w:i w:val="false"/>
          <w:iCs w:val="false"/>
          <w:color w:val="1A1A1A"/>
          <w:sz w:val="20"/>
          <w:szCs w:val="20"/>
        </w:rPr>
        <w:t xml:space="preserve">L6 유동인구 (Floating Population)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blHeader/>
        </w:trPr>
        <w:tc>
          <w:tcPr>
            <w:tcW w:type="dxa" w:w="9638"/>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대표 지표</w:t>
            </w:r>
          </w:p>
        </w:tc>
      </w:tr>
      <w:tr>
        <w:trPr>
          <w:cantSplit/>
          <w:tblHeader w:val="false"/>
        </w:trPr>
        <w:tc>
          <w:tcPr>
            <w:tcW w:type="dxa" w:w="963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시간대별·요일별 유동량 / 주중·주말 패턴 / 체류형 대 통과형 비율 / 유동 발생 목적지(상업·업무·교육) 분포 / 시간당 평균 체류 인구</w:t>
            </w:r>
          </w:p>
        </w:tc>
      </w:tr>
    </w:tbl>
    <w:p>
      <w:pPr>
        <w:spacing w:after="200" w:before="0"/>
      </w:pPr>
    </w:p>
    <w:p>
      <w:pPr>
        <w:keepNext w:val="false"/>
        <w:spacing w:after="130" w:before="60" w:line="310"/>
        <w:jc w:val="both"/>
      </w:pPr>
      <w:r>
        <w:rPr>
          <w:rFonts w:ascii="맑은 고딕" w:cs="맑은 고딕" w:eastAsia="맑은 고딕" w:hAnsi="맑은 고딕"/>
          <w:b w:val="false"/>
          <w:bCs w:val="false"/>
          <w:i/>
          <w:iCs/>
          <w:color w:val="5A5A5A"/>
          <w:sz w:val="20"/>
          <w:szCs w:val="20"/>
        </w:rPr>
        <w:t xml:space="preserve">정제 원칙:</w:t>
      </w:r>
      <w:r>
        <w:rPr>
          <w:rFonts w:ascii="맑은 고딕" w:cs="맑은 고딕" w:eastAsia="맑은 고딕" w:hAnsi="맑은 고딕"/>
          <w:b w:val="false"/>
          <w:bCs w:val="false"/>
          <w:i w:val="false"/>
          <w:iCs w:val="false"/>
          <w:color w:val="1A1A1A"/>
          <w:sz w:val="20"/>
          <w:szCs w:val="20"/>
        </w:rPr>
        <w:t xml:space="preserve"> 통과 인구를 생활권 활력으로 오독하지 않도록 체류·통과를 분리하고, 표본·중복 단말 보정을 적용합니다. 민간 모바일 유동 데이터는 라이선스 확인 후 적용하며, 미확보 시 공공 대체 지표와 그 한계를 명시합니다(5.10).</w:t>
      </w:r>
    </w:p>
    <w:p>
      <w:pPr>
        <w:keepNext w:val="false"/>
        <w:spacing w:after="130" w:before="60" w:line="310"/>
        <w:jc w:val="both"/>
      </w:pPr>
      <w:r>
        <w:rPr>
          <w:rFonts w:ascii="맑은 고딕" w:cs="맑은 고딕" w:eastAsia="맑은 고딕" w:hAnsi="맑은 고딕"/>
          <w:b/>
          <w:bCs/>
          <w:i w:val="false"/>
          <w:iCs w:val="false"/>
          <w:color w:val="1A1A1A"/>
          <w:sz w:val="20"/>
          <w:szCs w:val="20"/>
        </w:rPr>
        <w:t xml:space="preserve">L7 생활이동·O/D (Mobility)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blHeader/>
        </w:trPr>
        <w:tc>
          <w:tcPr>
            <w:tcW w:type="dxa" w:w="9638"/>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대표 지표</w:t>
            </w:r>
          </w:p>
        </w:tc>
      </w:tr>
      <w:tr>
        <w:trPr>
          <w:cantSplit/>
          <w:tblHeader w:val="false"/>
        </w:trPr>
        <w:tc>
          <w:tcPr>
            <w:tcW w:type="dxa" w:w="963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출발지-도착지(O/D) 통행량 / 통근·통학 흐름의 방향과 규모 / 생활권 간 이동 의존도 / 대중교통 대 승용차 수단 분담률</w:t>
            </w:r>
          </w:p>
        </w:tc>
      </w:tr>
    </w:tbl>
    <w:p>
      <w:pPr>
        <w:spacing w:after="200" w:before="0"/>
      </w:pPr>
    </w:p>
    <w:p>
      <w:pPr>
        <w:keepNext w:val="false"/>
        <w:spacing w:after="130" w:before="60" w:line="310"/>
        <w:jc w:val="both"/>
      </w:pPr>
      <w:r>
        <w:rPr>
          <w:rFonts w:ascii="맑은 고딕" w:cs="맑은 고딕" w:eastAsia="맑은 고딕" w:hAnsi="맑은 고딕"/>
          <w:b w:val="false"/>
          <w:bCs w:val="false"/>
          <w:i/>
          <w:iCs/>
          <w:color w:val="5A5A5A"/>
          <w:sz w:val="20"/>
          <w:szCs w:val="20"/>
        </w:rPr>
        <w:t xml:space="preserve">활용:</w:t>
      </w:r>
      <w:r>
        <w:rPr>
          <w:rFonts w:ascii="맑은 고딕" w:cs="맑은 고딕" w:eastAsia="맑은 고딕" w:hAnsi="맑은 고딕"/>
          <w:b w:val="false"/>
          <w:bCs w:val="false"/>
          <w:i w:val="false"/>
          <w:iCs w:val="false"/>
          <w:color w:val="1A1A1A"/>
          <w:sz w:val="20"/>
          <w:szCs w:val="20"/>
        </w:rPr>
        <w:t xml:space="preserve"> 현장이 사람들의 실제 동선 위에 있는지, 동선 밖에 있는지를 데이터로 확인합니다.</w:t>
      </w:r>
    </w:p>
    <w:p>
      <w:pPr>
        <w:keepNext w:val="false"/>
        <w:spacing w:after="130" w:before="60" w:line="310"/>
        <w:jc w:val="both"/>
      </w:pPr>
      <w:r>
        <w:rPr>
          <w:rFonts w:ascii="맑은 고딕" w:cs="맑은 고딕" w:eastAsia="맑은 고딕" w:hAnsi="맑은 고딕"/>
          <w:b/>
          <w:bCs/>
          <w:i w:val="false"/>
          <w:iCs w:val="false"/>
          <w:color w:val="1A1A1A"/>
          <w:sz w:val="20"/>
          <w:szCs w:val="20"/>
        </w:rPr>
        <w:t xml:space="preserve">L8 교통망·접근성 (Transportation)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blHeader/>
        </w:trPr>
        <w:tc>
          <w:tcPr>
            <w:tcW w:type="dxa" w:w="9638"/>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대표 지표</w:t>
            </w:r>
          </w:p>
        </w:tc>
      </w:tr>
      <w:tr>
        <w:trPr>
          <w:cantSplit/>
          <w:tblHeader w:val="false"/>
        </w:trPr>
        <w:tc>
          <w:tcPr>
            <w:tcW w:type="dxa" w:w="963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도보·차량·대중교통별 실제 이동시간(네트워크 기준) / 주요 고용 중심지·생활 거점까지의 소요시간 / 역·정류장 접근성 / 도로 위계와 혼잡도 / 개통 예정 노선 반영 전후의 접근성 변화 시뮬레이션</w:t>
            </w:r>
          </w:p>
        </w:tc>
      </w:tr>
    </w:tbl>
    <w:p>
      <w:pPr>
        <w:spacing w:after="200" w:before="0"/>
      </w:pPr>
    </w:p>
    <w:p>
      <w:pPr>
        <w:keepNext w:val="false"/>
        <w:spacing w:after="130" w:before="60" w:line="310"/>
        <w:jc w:val="both"/>
      </w:pPr>
      <w:r>
        <w:rPr>
          <w:rFonts w:ascii="맑은 고딕" w:cs="맑은 고딕" w:eastAsia="맑은 고딕" w:hAnsi="맑은 고딕"/>
          <w:b w:val="false"/>
          <w:bCs w:val="false"/>
          <w:i/>
          <w:iCs/>
          <w:color w:val="5A5A5A"/>
          <w:sz w:val="20"/>
          <w:szCs w:val="20"/>
        </w:rPr>
        <w:t xml:space="preserve">통제 원칙:</w:t>
      </w:r>
      <w:r>
        <w:rPr>
          <w:rFonts w:ascii="맑은 고딕" w:cs="맑은 고딕" w:eastAsia="맑은 고딕" w:hAnsi="맑은 고딕"/>
          <w:b w:val="false"/>
          <w:bCs w:val="false"/>
          <w:i w:val="false"/>
          <w:iCs w:val="false"/>
          <w:color w:val="1A1A1A"/>
          <w:sz w:val="20"/>
          <w:szCs w:val="20"/>
        </w:rPr>
        <w:t xml:space="preserve"> "역세권" 표현은 이 레이어의 계산 결과가 뒷받침할 때만 사용 가능 등급(14.5)을 받습니다. 통제는 사후 검수가 아니라 </w:t>
      </w:r>
      <w:r>
        <w:rPr>
          <w:rFonts w:ascii="맑은 고딕" w:cs="맑은 고딕" w:eastAsia="맑은 고딕" w:hAnsi="맑은 고딕"/>
          <w:b/>
          <w:bCs/>
          <w:i w:val="false"/>
          <w:iCs w:val="false"/>
          <w:color w:val="1A1A1A"/>
          <w:sz w:val="20"/>
          <w:szCs w:val="20"/>
        </w:rPr>
        <w:t xml:space="preserve">문장 생성 단계</w:t>
      </w:r>
      <w:r>
        <w:rPr>
          <w:rFonts w:ascii="맑은 고딕" w:cs="맑은 고딕" w:eastAsia="맑은 고딕" w:hAnsi="맑은 고딕"/>
          <w:b w:val="false"/>
          <w:bCs w:val="false"/>
          <w:i w:val="false"/>
          <w:iCs w:val="false"/>
          <w:color w:val="1A1A1A"/>
          <w:sz w:val="20"/>
          <w:szCs w:val="20"/>
        </w:rPr>
        <w:t xml:space="preserve">에서 이루어집니다 — 최근접역이 보행 보정 기준 도보 10분 이내일 때만 "도보 n분" 문장이 만들어지고, 그 밖에는 문장 자체가 생성되지 않으며 리포트에 실측 직선거리와 함께 "역세권 표현 사용 불가"가 기재됩니다. 현장이 접근성을 주장하려면 좌표가 먼저 그것을 지지해야 합니다.</w:t>
      </w:r>
    </w:p>
    <w:p>
      <w:pPr>
        <w:pStyle w:val="Heading3"/>
        <w:keepNext/>
        <w:spacing w:after="110" w:before="240"/>
      </w:pPr>
      <w:r>
        <w:rPr>
          <w:rFonts w:ascii="맑은 고딕" w:cs="맑은 고딕" w:eastAsia="맑은 고딕" w:hAnsi="맑은 고딕"/>
          <w:b/>
          <w:bCs/>
          <w:color w:val="5A5A5A"/>
          <w:sz w:val="20"/>
          <w:szCs w:val="20"/>
        </w:rPr>
        <w:t xml:space="preserve">5.3.5 C4. 상권·소비 — 생활권 성숙도의 검증</w:t>
      </w:r>
    </w:p>
    <w:p>
      <w:pPr>
        <w:keepNext w:val="false"/>
        <w:spacing w:after="130" w:before="60" w:line="310"/>
        <w:jc w:val="both"/>
      </w:pPr>
      <w:r>
        <w:rPr>
          <w:rFonts w:ascii="맑은 고딕" w:cs="맑은 고딕" w:eastAsia="맑은 고딕" w:hAnsi="맑은 고딕"/>
          <w:b/>
          <w:bCs/>
          <w:i w:val="false"/>
          <w:iCs w:val="false"/>
          <w:color w:val="1A1A1A"/>
          <w:sz w:val="20"/>
          <w:szCs w:val="20"/>
        </w:rPr>
        <w:t xml:space="preserve">L9 상권 활동 (Commercial Activity)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blHeader/>
        </w:trPr>
        <w:tc>
          <w:tcPr>
            <w:tcW w:type="dxa" w:w="9638"/>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대표 지표</w:t>
            </w:r>
          </w:p>
        </w:tc>
      </w:tr>
      <w:tr>
        <w:trPr>
          <w:cantSplit/>
          <w:tblHeader w:val="false"/>
        </w:trPr>
        <w:tc>
          <w:tcPr>
            <w:tcW w:type="dxa" w:w="963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업종별 점포 수와 구성 / 개업·폐업률과 생존율 / 프랜차이즈 침투율 / 공실 추정 / 생활 필수 업종(식료품·의료·교육)의 충족도</w:t>
            </w:r>
          </w:p>
        </w:tc>
      </w:tr>
    </w:tbl>
    <w:p>
      <w:pPr>
        <w:spacing w:after="200" w:before="0"/>
      </w:pPr>
    </w:p>
    <w:p>
      <w:pPr>
        <w:keepNext w:val="false"/>
        <w:spacing w:after="130" w:before="60" w:line="310"/>
        <w:jc w:val="both"/>
      </w:pPr>
      <w:r>
        <w:rPr>
          <w:rFonts w:ascii="맑은 고딕" w:cs="맑은 고딕" w:eastAsia="맑은 고딕" w:hAnsi="맑은 고딕"/>
          <w:b w:val="false"/>
          <w:bCs w:val="false"/>
          <w:i/>
          <w:iCs/>
          <w:color w:val="5A5A5A"/>
          <w:sz w:val="20"/>
          <w:szCs w:val="20"/>
        </w:rPr>
        <w:t xml:space="preserve">판정 원칙:</w:t>
      </w:r>
      <w:r>
        <w:rPr>
          <w:rFonts w:ascii="맑은 고딕" w:cs="맑은 고딕" w:eastAsia="맑은 고딕" w:hAnsi="맑은 고딕"/>
          <w:b w:val="false"/>
          <w:bCs w:val="false"/>
          <w:i w:val="false"/>
          <w:iCs w:val="false"/>
          <w:color w:val="1A1A1A"/>
          <w:sz w:val="20"/>
          <w:szCs w:val="20"/>
        </w:rPr>
        <w:t xml:space="preserve"> 폐업률이 상승하는 상권과 신규 개업이 지속되는 상권은 동일한 "상권 발달"로 분류할 수 없습니다.</w:t>
      </w:r>
    </w:p>
    <w:p>
      <w:pPr>
        <w:keepNext w:val="false"/>
        <w:spacing w:after="130" w:before="60" w:line="310"/>
        <w:jc w:val="both"/>
      </w:pPr>
      <w:r>
        <w:rPr>
          <w:rFonts w:ascii="맑은 고딕" w:cs="맑은 고딕" w:eastAsia="맑은 고딕" w:hAnsi="맑은 고딕"/>
          <w:b/>
          <w:bCs/>
          <w:i w:val="false"/>
          <w:iCs w:val="false"/>
          <w:color w:val="1A1A1A"/>
          <w:sz w:val="20"/>
          <w:szCs w:val="20"/>
        </w:rPr>
        <w:t xml:space="preserve">L10 카드소비 (Card Spending)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blHeader/>
        </w:trPr>
        <w:tc>
          <w:tcPr>
            <w:tcW w:type="dxa" w:w="9638"/>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대표 지표</w:t>
            </w:r>
          </w:p>
        </w:tc>
      </w:tr>
      <w:tr>
        <w:trPr>
          <w:cantSplit/>
          <w:tblHeader w:val="false"/>
        </w:trPr>
        <w:tc>
          <w:tcPr>
            <w:tcW w:type="dxa" w:w="963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업종별 카드 매출 규모와 증감 / 소비 시간대 분포 / 거주자 소비 대 유입 소비 비율 / 객단가 추이</w:t>
            </w:r>
          </w:p>
        </w:tc>
      </w:tr>
    </w:tbl>
    <w:p>
      <w:pPr>
        <w:spacing w:after="200" w:before="0"/>
      </w:pPr>
    </w:p>
    <w:p>
      <w:pPr>
        <w:keepNext w:val="false"/>
        <w:spacing w:after="130" w:before="60" w:line="310"/>
        <w:jc w:val="both"/>
      </w:pPr>
      <w:r>
        <w:rPr>
          <w:rFonts w:ascii="맑은 고딕" w:cs="맑은 고딕" w:eastAsia="맑은 고딕" w:hAnsi="맑은 고딕"/>
          <w:b w:val="false"/>
          <w:bCs w:val="false"/>
          <w:i/>
          <w:iCs/>
          <w:color w:val="5A5A5A"/>
          <w:sz w:val="20"/>
          <w:szCs w:val="20"/>
        </w:rPr>
        <w:t xml:space="preserve">적용 조건:</w:t>
      </w:r>
      <w:r>
        <w:rPr>
          <w:rFonts w:ascii="맑은 고딕" w:cs="맑은 고딕" w:eastAsia="맑은 고딕" w:hAnsi="맑은 고딕"/>
          <w:b w:val="false"/>
          <w:bCs w:val="false"/>
          <w:i w:val="false"/>
          <w:iCs w:val="false"/>
          <w:color w:val="1A1A1A"/>
          <w:sz w:val="20"/>
          <w:szCs w:val="20"/>
        </w:rPr>
        <w:t xml:space="preserve"> 익명 카드소비 데이터는 별도 협의·라이선스 대상입니다(5.10). 확보 시 상권의 실제 자금 흐름을, 미확보 시 공공 상권 데이터 기반의 대체 분석과 그 한계를 명시합니다.</w:t>
      </w:r>
    </w:p>
    <w:p>
      <w:pPr>
        <w:pStyle w:val="Heading3"/>
        <w:keepNext/>
        <w:spacing w:after="110" w:before="240"/>
      </w:pPr>
      <w:r>
        <w:rPr>
          <w:rFonts w:ascii="맑은 고딕" w:cs="맑은 고딕" w:eastAsia="맑은 고딕" w:hAnsi="맑은 고딕"/>
          <w:b/>
          <w:bCs/>
          <w:color w:val="5A5A5A"/>
          <w:sz w:val="20"/>
          <w:szCs w:val="20"/>
        </w:rPr>
        <w:t xml:space="preserve">5.3.6 C5. 주택시장 — 시장 신호의 검증</w:t>
      </w:r>
    </w:p>
    <w:p>
      <w:pPr>
        <w:keepNext w:val="false"/>
        <w:spacing w:after="130" w:before="60" w:line="310"/>
        <w:jc w:val="both"/>
      </w:pPr>
      <w:r>
        <w:rPr>
          <w:rFonts w:ascii="맑은 고딕" w:cs="맑은 고딕" w:eastAsia="맑은 고딕" w:hAnsi="맑은 고딕"/>
          <w:b/>
          <w:bCs/>
          <w:i w:val="false"/>
          <w:iCs w:val="false"/>
          <w:color w:val="1A1A1A"/>
          <w:sz w:val="20"/>
          <w:szCs w:val="20"/>
        </w:rPr>
        <w:t xml:space="preserve">L11 매매·전월세 실거래 (Housing Transactions)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blHeader/>
        </w:trPr>
        <w:tc>
          <w:tcPr>
            <w:tcW w:type="dxa" w:w="9638"/>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대표 지표</w:t>
            </w:r>
          </w:p>
        </w:tc>
      </w:tr>
      <w:tr>
        <w:trPr>
          <w:cantSplit/>
          <w:tblHeader w:val="false"/>
        </w:trPr>
        <w:tc>
          <w:tcPr>
            <w:tcW w:type="dxa" w:w="963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정제된 실거래가와 추세(취소·중복·이상·특수관계 거래 제거 후) / 거래량과 거래 회전율 / 전세가와 전세가율 / 월세 전환 추이 / 매도 소요기간 추정 / 단지 내 가격 분산 / 시장 지수 대비 초과·미달 성과 / </w:t>
            </w:r>
            <w:r>
              <w:rPr>
                <w:rFonts w:ascii="맑은 고딕" w:cs="맑은 고딕" w:eastAsia="맑은 고딕" w:hAnsi="맑은 고딕"/>
                <w:b/>
                <w:bCs/>
                <w:color w:val="1A1A1A"/>
                <w:sz w:val="18"/>
                <w:szCs w:val="18"/>
              </w:rPr>
              <w:t xml:space="preserve">분양권·입주권 실거래와 프리미엄 추이</w:t>
            </w:r>
            <w:r>
              <w:rPr>
                <w:rFonts w:ascii="맑은 고딕" w:cs="맑은 고딕" w:eastAsia="맑은 고딕" w:hAnsi="맑은 고딕"/>
                <w:color w:val="1A1A1A"/>
                <w:sz w:val="18"/>
                <w:szCs w:val="18"/>
              </w:rPr>
              <w:t xml:space="preserve"> / </w:t>
            </w:r>
            <w:r>
              <w:rPr>
                <w:rFonts w:ascii="맑은 고딕" w:cs="맑은 고딕" w:eastAsia="맑은 고딕" w:hAnsi="맑은 고딕"/>
                <w:b/>
                <w:bCs/>
                <w:color w:val="1A1A1A"/>
                <w:sz w:val="18"/>
                <w:szCs w:val="18"/>
              </w:rPr>
              <w:t xml:space="preserve">매물량 증감과 호가-실거래 갭</w:t>
            </w:r>
          </w:p>
        </w:tc>
      </w:tr>
    </w:tbl>
    <w:p>
      <w:pPr>
        <w:spacing w:after="200" w:before="0"/>
      </w:pPr>
    </w:p>
    <w:p>
      <w:pPr>
        <w:keepNext w:val="false"/>
        <w:spacing w:after="130" w:before="60" w:line="310"/>
        <w:jc w:val="both"/>
      </w:pPr>
      <w:r>
        <w:rPr>
          <w:rFonts w:ascii="맑은 고딕" w:cs="맑은 고딕" w:eastAsia="맑은 고딕" w:hAnsi="맑은 고딕"/>
          <w:b w:val="false"/>
          <w:bCs w:val="false"/>
          <w:i/>
          <w:iCs/>
          <w:color w:val="5A5A5A"/>
          <w:sz w:val="20"/>
          <w:szCs w:val="20"/>
        </w:rPr>
        <w:t xml:space="preserve">분석 원칙:</w:t>
      </w:r>
      <w:r>
        <w:rPr>
          <w:rFonts w:ascii="맑은 고딕" w:cs="맑은 고딕" w:eastAsia="맑은 고딕" w:hAnsi="맑은 고딕"/>
          <w:b w:val="false"/>
          <w:bCs w:val="false"/>
          <w:i w:val="false"/>
          <w:iCs w:val="false"/>
          <w:color w:val="1A1A1A"/>
          <w:sz w:val="20"/>
          <w:szCs w:val="20"/>
        </w:rPr>
        <w:t xml:space="preserve"> 호가가 아니라 체결가가, 한 건이 아니라 분포가 분석 대상입니다. 두 가지를 보완적으로 사용합니다. 첫째, </w:t>
      </w:r>
      <w:r>
        <w:rPr>
          <w:rFonts w:ascii="맑은 고딕" w:cs="맑은 고딕" w:eastAsia="맑은 고딕" w:hAnsi="맑은 고딕"/>
          <w:b/>
          <w:bCs/>
          <w:i w:val="false"/>
          <w:iCs w:val="false"/>
          <w:color w:val="1A1A1A"/>
          <w:sz w:val="20"/>
          <w:szCs w:val="20"/>
        </w:rPr>
        <w:t xml:space="preserve">신축 분양 현장의 우선 비교군은 구축 아파트가 아니라 인근 분양권·입주권 실거래</w:t>
      </w:r>
      <w:r>
        <w:rPr>
          <w:rFonts w:ascii="맑은 고딕" w:cs="맑은 고딕" w:eastAsia="맑은 고딕" w:hAnsi="맑은 고딕"/>
          <w:b w:val="false"/>
          <w:bCs w:val="false"/>
          <w:i w:val="false"/>
          <w:iCs w:val="false"/>
          <w:color w:val="1A1A1A"/>
          <w:sz w:val="20"/>
          <w:szCs w:val="20"/>
        </w:rPr>
        <w:t xml:space="preserve">입니다 — 상품 연식·조건이 가장 유사한 시장 신호이기 때문입니다. 둘째, 실거래는 후행 지표이므로 </w:t>
      </w:r>
      <w:r>
        <w:rPr>
          <w:rFonts w:ascii="맑은 고딕" w:cs="맑은 고딕" w:eastAsia="맑은 고딕" w:hAnsi="맑은 고딕"/>
          <w:b/>
          <w:bCs/>
          <w:i w:val="false"/>
          <w:iCs w:val="false"/>
          <w:color w:val="1A1A1A"/>
          <w:sz w:val="20"/>
          <w:szCs w:val="20"/>
        </w:rPr>
        <w:t xml:space="preserve">매물량 증감과 호가-실거래 갭을 선행 신호</w:t>
      </w:r>
      <w:r>
        <w:rPr>
          <w:rFonts w:ascii="맑은 고딕" w:cs="맑은 고딕" w:eastAsia="맑은 고딕" w:hAnsi="맑은 고딕"/>
          <w:b w:val="false"/>
          <w:bCs w:val="false"/>
          <w:i w:val="false"/>
          <w:iCs w:val="false"/>
          <w:color w:val="1A1A1A"/>
          <w:sz w:val="20"/>
          <w:szCs w:val="20"/>
        </w:rPr>
        <w:t xml:space="preserve">로 함께 추적하여 시장 전환을 조기에 포착합니다(조기경보 체계 5.11.2와 연결).</w:t>
      </w:r>
    </w:p>
    <w:p>
      <w:pPr>
        <w:keepNext w:val="false"/>
        <w:spacing w:after="130" w:before="60" w:line="310"/>
        <w:jc w:val="both"/>
      </w:pPr>
      <w:r>
        <w:rPr>
          <w:rFonts w:ascii="맑은 고딕" w:cs="맑은 고딕" w:eastAsia="맑은 고딕" w:hAnsi="맑은 고딕"/>
          <w:b/>
          <w:bCs/>
          <w:i w:val="false"/>
          <w:iCs w:val="false"/>
          <w:color w:val="1A1A1A"/>
          <w:sz w:val="20"/>
          <w:szCs w:val="20"/>
        </w:rPr>
        <w:t xml:space="preserve">L12 청약·미분양 (Unsold Inventory)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blHeader/>
        </w:trPr>
        <w:tc>
          <w:tcPr>
            <w:tcW w:type="dxa" w:w="9638"/>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대표 지표</w:t>
            </w:r>
          </w:p>
        </w:tc>
      </w:tr>
      <w:tr>
        <w:trPr>
          <w:cantSplit/>
          <w:tblHeader w:val="false"/>
        </w:trPr>
        <w:tc>
          <w:tcPr>
            <w:tcW w:type="dxa" w:w="963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인근 청약 경쟁률과 미달 이력 / 가점 커트라인 추이 / 미분양 재고와 소진 속도 / 준공 후 미분양 비율 / 계약 해지율 / 청약 신청자의 거주지 분포</w:t>
            </w:r>
          </w:p>
        </w:tc>
      </w:tr>
    </w:tbl>
    <w:p>
      <w:pPr>
        <w:spacing w:after="200" w:before="0"/>
      </w:pPr>
    </w:p>
    <w:p>
      <w:pPr>
        <w:keepNext w:val="false"/>
        <w:spacing w:after="130" w:before="60" w:line="310"/>
        <w:jc w:val="both"/>
      </w:pPr>
      <w:r>
        <w:rPr>
          <w:rFonts w:ascii="맑은 고딕" w:cs="맑은 고딕" w:eastAsia="맑은 고딕" w:hAnsi="맑은 고딕"/>
          <w:b w:val="false"/>
          <w:bCs w:val="false"/>
          <w:i/>
          <w:iCs/>
          <w:color w:val="5A5A5A"/>
          <w:sz w:val="20"/>
          <w:szCs w:val="20"/>
        </w:rPr>
        <w:t xml:space="preserve">교차 활용:</w:t>
      </w:r>
      <w:r>
        <w:rPr>
          <w:rFonts w:ascii="맑은 고딕" w:cs="맑은 고딕" w:eastAsia="맑은 고딕" w:hAnsi="맑은 고딕"/>
          <w:b w:val="false"/>
          <w:bCs w:val="false"/>
          <w:i w:val="false"/>
          <w:iCs w:val="false"/>
          <w:color w:val="1A1A1A"/>
          <w:sz w:val="20"/>
          <w:szCs w:val="20"/>
        </w:rPr>
        <w:t xml:space="preserve"> 미분양은 공급 과잉의 후행 증거이자 수요 한계의 직접 증거이므로, C6 공급 분석과 반드시 교차검증됩니다. 최근 6개월 미분양이 20% 이상 증가하면, 확률조정 공급 부담이 낮게 산출되더라도 공급 판정(5.8 ③)을 위험 방향으로 상향합니다.</w:t>
      </w:r>
    </w:p>
    <w:p>
      <w:pPr>
        <w:pStyle w:val="Heading3"/>
        <w:keepNext/>
        <w:spacing w:after="110" w:before="240"/>
      </w:pPr>
      <w:r>
        <w:rPr>
          <w:rFonts w:ascii="맑은 고딕" w:cs="맑은 고딕" w:eastAsia="맑은 고딕" w:hAnsi="맑은 고딕"/>
          <w:b/>
          <w:bCs/>
          <w:color w:val="5A5A5A"/>
          <w:sz w:val="20"/>
          <w:szCs w:val="20"/>
        </w:rPr>
        <w:t xml:space="preserve">5.3.7 C6. 공급 — 경쟁 물량의 검증</w:t>
      </w:r>
    </w:p>
    <w:p>
      <w:pPr>
        <w:keepNext w:val="false"/>
        <w:spacing w:after="130" w:before="60" w:line="310"/>
        <w:jc w:val="both"/>
      </w:pPr>
      <w:r>
        <w:rPr>
          <w:rFonts w:ascii="맑은 고딕" w:cs="맑은 고딕" w:eastAsia="맑은 고딕" w:hAnsi="맑은 고딕"/>
          <w:b/>
          <w:bCs/>
          <w:i w:val="false"/>
          <w:iCs w:val="false"/>
          <w:color w:val="1A1A1A"/>
          <w:sz w:val="20"/>
          <w:szCs w:val="20"/>
        </w:rPr>
        <w:t xml:space="preserve">L13 공급 파이프라인 (Supply Pipeline)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blHeader/>
        </w:trPr>
        <w:tc>
          <w:tcPr>
            <w:tcW w:type="dxa" w:w="9638"/>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대표 지표</w:t>
            </w:r>
          </w:p>
        </w:tc>
      </w:tr>
      <w:tr>
        <w:trPr>
          <w:cantSplit/>
          <w:tblHeader w:val="false"/>
        </w:trPr>
        <w:tc>
          <w:tcPr>
            <w:tcW w:type="dxa" w:w="963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인허가·착공·분양·입주예정 물량의 단계별 집계 / 시기별 입주 집중도 / 경쟁 시장권 내 동일 상품 유형 물량 / 확률조정 공급 / 정비사업 진행 물량</w:t>
            </w:r>
          </w:p>
        </w:tc>
      </w:tr>
    </w:tbl>
    <w:p>
      <w:pPr>
        <w:spacing w:after="200" w:before="0"/>
      </w:pPr>
    </w:p>
    <w:p>
      <w:pPr>
        <w:keepNext w:val="false"/>
        <w:spacing w:after="130" w:before="60" w:line="310"/>
        <w:jc w:val="both"/>
      </w:pPr>
      <w:r>
        <w:rPr>
          <w:rFonts w:ascii="맑은 고딕" w:cs="맑은 고딕" w:eastAsia="맑은 고딕" w:hAnsi="맑은 고딕"/>
          <w:b w:val="false"/>
          <w:bCs w:val="false"/>
          <w:i/>
          <w:iCs/>
          <w:color w:val="5A5A5A"/>
          <w:sz w:val="20"/>
          <w:szCs w:val="20"/>
        </w:rPr>
        <w:t xml:space="preserve">산출 방식:</w:t>
      </w:r>
      <w:r>
        <w:rPr>
          <w:rFonts w:ascii="맑은 고딕" w:cs="맑은 고딕" w:eastAsia="맑은 고딕" w:hAnsi="맑은 고딕"/>
          <w:b w:val="false"/>
          <w:bCs w:val="false"/>
          <w:i w:val="false"/>
          <w:iCs w:val="false"/>
          <w:color w:val="1A1A1A"/>
          <w:sz w:val="20"/>
          <w:szCs w:val="20"/>
        </w:rPr>
        <w:t xml:space="preserve"> 발표된 모든 세대를 동일하게 합산하지 않습니다.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1F3864" w:sz="18"/>
              <w:bottom w:val="none" w:color="FFFFFF" w:sz="0"/>
              <w:right w:val="none" w:color="FFFFFF" w:sz="0"/>
            </w:tcBorders>
            <w:shd w:fill="F0F3F8" w:color="auto" w:val="clear"/>
            <w:tcMar>
              <w:top w:type="dxa" w:w="150"/>
              <w:left w:type="dxa" w:w="220"/>
              <w:bottom w:type="dxa" w:w="150"/>
              <w:right w:type="dxa" w:w="180"/>
            </w:tcMar>
          </w:tcPr>
          <w:p>
            <w:pPr>
              <w:spacing w:after="0" w:before="0" w:line="300"/>
            </w:pPr>
            <w:r>
              <w:rPr>
                <w:rFonts w:ascii="맑은 고딕" w:cs="맑은 고딕" w:eastAsia="맑은 고딕" w:hAnsi="맑은 고딕"/>
                <w:b/>
                <w:bCs/>
                <w:color w:val="1A1A1A"/>
                <w:sz w:val="19"/>
                <w:szCs w:val="19"/>
              </w:rPr>
              <w:t xml:space="preserve">확률조정 공급 = Σ (각 공급 물량 × 해당 단계에서 실제 입주 기간 내에 실현될 가능성)</w:t>
            </w:r>
          </w:p>
        </w:tc>
      </w:tr>
    </w:tbl>
    <w:p>
      <w:pPr>
        <w:spacing w:after="180" w:before="0"/>
      </w:pPr>
    </w:p>
    <w:p>
      <w:pPr>
        <w:keepNext w:val="false"/>
        <w:spacing w:after="130" w:before="60" w:line="310"/>
        <w:jc w:val="both"/>
      </w:pPr>
      <w:r>
        <w:rPr>
          <w:rFonts w:ascii="맑은 고딕" w:cs="맑은 고딕" w:eastAsia="맑은 고딕" w:hAnsi="맑은 고딕"/>
          <w:b w:val="false"/>
          <w:bCs w:val="false"/>
          <w:i w:val="false"/>
          <w:iCs w:val="false"/>
          <w:color w:val="1A1A1A"/>
          <w:sz w:val="20"/>
          <w:szCs w:val="20"/>
        </w:rPr>
        <w:t xml:space="preserve">공급은 현장의 가격·판촉 전략에 시한을 부여하는 변수이므로, 물량의 총량보다 </w:t>
      </w:r>
      <w:r>
        <w:rPr>
          <w:rFonts w:ascii="맑은 고딕" w:cs="맑은 고딕" w:eastAsia="맑은 고딕" w:hAnsi="맑은 고딕"/>
          <w:b/>
          <w:bCs/>
          <w:i w:val="false"/>
          <w:iCs w:val="false"/>
          <w:color w:val="1A1A1A"/>
          <w:sz w:val="20"/>
          <w:szCs w:val="20"/>
        </w:rPr>
        <w:t xml:space="preserve">시기 축</w:t>
      </w:r>
      <w:r>
        <w:rPr>
          <w:rFonts w:ascii="맑은 고딕" w:cs="맑은 고딕" w:eastAsia="맑은 고딕" w:hAnsi="맑은 고딕"/>
          <w:b w:val="false"/>
          <w:bCs w:val="false"/>
          <w:i w:val="false"/>
          <w:iCs w:val="false"/>
          <w:color w:val="1A1A1A"/>
          <w:sz w:val="20"/>
          <w:szCs w:val="20"/>
        </w:rPr>
        <w:t xml:space="preserve">이 중요합니다.</w:t>
      </w:r>
    </w:p>
    <w:p>
      <w:pPr>
        <w:keepNext w:val="false"/>
        <w:spacing w:after="130" w:before="60" w:line="310"/>
        <w:jc w:val="both"/>
      </w:pPr>
      <w:r>
        <w:rPr>
          <w:rFonts w:ascii="맑은 고딕" w:cs="맑은 고딕" w:eastAsia="맑은 고딕" w:hAnsi="맑은 고딕"/>
          <w:b w:val="false"/>
          <w:bCs w:val="false"/>
          <w:i/>
          <w:iCs/>
          <w:color w:val="5A5A5A"/>
          <w:sz w:val="20"/>
          <w:szCs w:val="20"/>
        </w:rPr>
        <w:t xml:space="preserve">목록의 검증:</w:t>
      </w:r>
      <w:r>
        <w:rPr>
          <w:rFonts w:ascii="맑은 고딕" w:cs="맑은 고딕" w:eastAsia="맑은 고딕" w:hAnsi="맑은 고딕"/>
          <w:b w:val="false"/>
          <w:bCs w:val="false"/>
          <w:i w:val="false"/>
          <w:iCs w:val="false"/>
          <w:color w:val="1A1A1A"/>
          <w:sz w:val="20"/>
          <w:szCs w:val="20"/>
        </w:rPr>
        <w:t xml:space="preserve"> 공급 목록이 수기 입력에만 의존하면, 공급 판정은 입력한 사람의 주장을 되돌려 주는 것에 지나지 않습니다. 당사는 주택건설실적 통계(인허가·착공·분양·준공)를 별도로 수집하여 두 가지로 사용합니다.</w:t>
      </w:r>
    </w:p>
    <w:p>
      <w:pPr>
        <w:keepNext/>
        <w:spacing w:after="90" w:before="220"/>
      </w:pPr>
      <w:r>
        <w:rPr>
          <w:rFonts w:ascii="맑은 고딕" w:cs="맑은 고딕" w:eastAsia="맑은 고딕" w:hAnsi="맑은 고딕"/>
          <w:b/>
          <w:bCs/>
          <w:color w:val="1F3864"/>
          <w:sz w:val="18"/>
          <w:szCs w:val="18"/>
        </w:rPr>
        <w:t xml:space="preserve">[표 5-6-1] 주택건설실적의 두 가지 역할</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7838"/>
      </w:tblGrid>
      <w:tr>
        <w:trPr>
          <w:cantSplit/>
          <w:tblHeader/>
        </w:trPr>
        <w:tc>
          <w:tcPr>
            <w:tcW w:type="dxa" w:w="1800"/>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역할</w:t>
            </w:r>
          </w:p>
        </w:tc>
        <w:tc>
          <w:tcPr>
            <w:tcW w:type="dxa" w:w="7838"/>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내용</w:t>
            </w:r>
          </w:p>
        </w:tc>
      </w:tr>
      <w:tr>
        <w:trPr>
          <w:cantSplit/>
          <w:tblHeader w:val="false"/>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선행 신호</w:t>
            </w:r>
          </w:p>
        </w:tc>
        <w:tc>
          <w:tcPr>
            <w:tcW w:type="dxa" w:w="783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인허가는 착공·분양의 선행 지표입니다. 전년 대비 30% 이상 급증하면, 현재 공급 부담이 낮더라도 중기 위험이 남아 있으므로 공급 판정을 '긍정'으로 닫지 않습니다</w:t>
            </w:r>
          </w:p>
        </w:tc>
      </w:tr>
      <w:tr>
        <w:trPr>
          <w:cantSplit/>
          <w:tblHeader w:val="false"/>
        </w:trPr>
        <w:tc>
          <w:tcPr>
            <w:tcW w:type="dxa" w:w="180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목록 교차검증</w:t>
            </w:r>
          </w:p>
        </w:tc>
        <w:tc>
          <w:tcPr>
            <w:tcW w:type="dxa" w:w="7838"/>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입력된 공급 목록(현장 인근)을 시군구 전체 인허가 실적과 대조합니다. 범위가 다르므로 인근 물량이 실적보다 작은 것은 정상이며, </w:t>
            </w:r>
            <w:r>
              <w:rPr>
                <w:rFonts w:ascii="맑은 고딕" w:cs="맑은 고딕" w:eastAsia="맑은 고딕" w:hAnsi="맑은 고딕"/>
                <w:b/>
                <w:bCs/>
                <w:color w:val="1A1A1A"/>
                <w:sz w:val="18"/>
                <w:szCs w:val="18"/>
              </w:rPr>
              <w:t xml:space="preserve">뒤집혀 있을 때</w:t>
            </w:r>
            <w:r>
              <w:rPr>
                <w:rFonts w:ascii="맑은 고딕" w:cs="맑은 고딕" w:eastAsia="맑은 고딕" w:hAnsi="맑은 고딕"/>
                <w:color w:val="1A1A1A"/>
                <w:sz w:val="18"/>
                <w:szCs w:val="18"/>
              </w:rPr>
              <w:t xml:space="preserve"> — 인근 목록이 시군구 전체 인허가를 넘어설 때 — 중복 집계·취소 사업 포함 여부를 경고합니다</w:t>
            </w:r>
          </w:p>
        </w:tc>
      </w:tr>
    </w:tbl>
    <w:p>
      <w:pPr>
        <w:spacing w:after="200" w:before="0"/>
      </w:pPr>
    </w:p>
    <w:p>
      <w:pPr>
        <w:pStyle w:val="Heading3"/>
        <w:keepNext/>
        <w:spacing w:after="110" w:before="240"/>
      </w:pPr>
      <w:r>
        <w:rPr>
          <w:rFonts w:ascii="맑은 고딕" w:cs="맑은 고딕" w:eastAsia="맑은 고딕" w:hAnsi="맑은 고딕"/>
          <w:b/>
          <w:bCs/>
          <w:color w:val="5A5A5A"/>
          <w:sz w:val="20"/>
          <w:szCs w:val="20"/>
        </w:rPr>
        <w:t xml:space="preserve">5.3.8 C7. 개발·도시계획 — 미래 변화의 검증</w:t>
      </w:r>
    </w:p>
    <w:p>
      <w:pPr>
        <w:keepNext w:val="false"/>
        <w:spacing w:after="130" w:before="60" w:line="310"/>
        <w:jc w:val="both"/>
      </w:pPr>
      <w:r>
        <w:rPr>
          <w:rFonts w:ascii="맑은 고딕" w:cs="맑은 고딕" w:eastAsia="맑은 고딕" w:hAnsi="맑은 고딕"/>
          <w:b/>
          <w:bCs/>
          <w:i w:val="false"/>
          <w:iCs w:val="false"/>
          <w:color w:val="1A1A1A"/>
          <w:sz w:val="20"/>
          <w:szCs w:val="20"/>
        </w:rPr>
        <w:t xml:space="preserve">L14 개발계획·공공투자 (Development Plans)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blHeader/>
        </w:trPr>
        <w:tc>
          <w:tcPr>
            <w:tcW w:type="dxa" w:w="9638"/>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대표 지표</w:t>
            </w:r>
          </w:p>
        </w:tc>
      </w:tr>
      <w:tr>
        <w:trPr>
          <w:cantSplit/>
          <w:tblHeader w:val="false"/>
        </w:trPr>
        <w:tc>
          <w:tcPr>
            <w:tcW w:type="dxa" w:w="963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교통·기반시설 사업의 성숙도 단계(5.6) / 총사업비와 확보·집행 예산 / 계약·보상·착공·공정 상태 / 유사 사업의 과거 가격 영향(이벤트 스터디) / 시장 선반영 정도 / 지연·취소 이력</w:t>
            </w:r>
          </w:p>
        </w:tc>
      </w:tr>
    </w:tbl>
    <w:p>
      <w:pPr>
        <w:spacing w:after="200" w:before="0"/>
      </w:pPr>
    </w:p>
    <w:p>
      <w:pPr>
        <w:keepNext w:val="false"/>
        <w:spacing w:after="130" w:before="60" w:line="310"/>
        <w:jc w:val="both"/>
      </w:pPr>
      <w:r>
        <w:rPr>
          <w:rFonts w:ascii="맑은 고딕" w:cs="맑은 고딕" w:eastAsia="맑은 고딕" w:hAnsi="맑은 고딕"/>
          <w:b/>
          <w:bCs/>
          <w:i w:val="false"/>
          <w:iCs w:val="false"/>
          <w:color w:val="1A1A1A"/>
          <w:sz w:val="20"/>
          <w:szCs w:val="20"/>
        </w:rPr>
        <w:t xml:space="preserve">L15 도시계획·토지이용 (Urban Planning)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blHeader/>
        </w:trPr>
        <w:tc>
          <w:tcPr>
            <w:tcW w:type="dxa" w:w="9638"/>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대표 지표</w:t>
            </w:r>
          </w:p>
        </w:tc>
      </w:tr>
      <w:tr>
        <w:trPr>
          <w:cantSplit/>
          <w:tblHeader w:val="false"/>
        </w:trPr>
        <w:tc>
          <w:tcPr>
            <w:tcW w:type="dxa" w:w="963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용도지역·지구단위계획의 법적 강도 / 개발행위 제한과 완화 / 계획 변경 이력 / 주변 가용지와 잠재 공급 가능성 / 기피시설·환경 요인</w:t>
            </w:r>
          </w:p>
        </w:tc>
      </w:tr>
    </w:tbl>
    <w:p>
      <w:pPr>
        <w:spacing w:after="200" w:before="0"/>
      </w:pPr>
    </w:p>
    <w:p>
      <w:pPr>
        <w:keepNext w:val="false"/>
        <w:spacing w:after="130" w:before="60" w:line="310"/>
        <w:jc w:val="both"/>
      </w:pPr>
      <w:r>
        <w:rPr>
          <w:rFonts w:ascii="맑은 고딕" w:cs="맑은 고딕" w:eastAsia="맑은 고딕" w:hAnsi="맑은 고딕"/>
          <w:b w:val="false"/>
          <w:bCs w:val="false"/>
          <w:i/>
          <w:iCs/>
          <w:color w:val="5A5A5A"/>
          <w:sz w:val="20"/>
          <w:szCs w:val="20"/>
        </w:rPr>
        <w:t xml:space="preserve">균형 원칙:</w:t>
      </w:r>
      <w:r>
        <w:rPr>
          <w:rFonts w:ascii="맑은 고딕" w:cs="맑은 고딕" w:eastAsia="맑은 고딕" w:hAnsi="맑은 고딕"/>
          <w:b w:val="false"/>
          <w:bCs w:val="false"/>
          <w:i w:val="false"/>
          <w:iCs w:val="false"/>
          <w:color w:val="1A1A1A"/>
          <w:sz w:val="20"/>
          <w:szCs w:val="20"/>
        </w:rPr>
        <w:t xml:space="preserve"> 호재만이 아니라 부정 요인(추가 공급 가능성, 기피시설 입지)을 같은 레이어에서 함께 검토합니다.</w:t>
      </w:r>
    </w:p>
    <w:p>
      <w:pPr>
        <w:pStyle w:val="Heading3"/>
        <w:keepNext/>
        <w:spacing w:after="110" w:before="240"/>
      </w:pPr>
      <w:r>
        <w:rPr>
          <w:rFonts w:ascii="맑은 고딕" w:cs="맑은 고딕" w:eastAsia="맑은 고딕" w:hAnsi="맑은 고딕"/>
          <w:b/>
          <w:bCs/>
          <w:color w:val="5A5A5A"/>
          <w:sz w:val="20"/>
          <w:szCs w:val="20"/>
        </w:rPr>
        <w:t xml:space="preserve">5.3.9 카테고리 간 교차 구조</w:t>
      </w:r>
    </w:p>
    <w:p>
      <w:pPr>
        <w:keepNext w:val="false"/>
        <w:spacing w:after="130" w:before="60" w:line="310"/>
        <w:jc w:val="both"/>
      </w:pPr>
      <w:r>
        <w:rPr>
          <w:rFonts w:ascii="맑은 고딕" w:cs="맑은 고딕" w:eastAsia="맑은 고딕" w:hAnsi="맑은 고딕"/>
          <w:b w:val="false"/>
          <w:bCs w:val="false"/>
          <w:i w:val="false"/>
          <w:iCs w:val="false"/>
          <w:color w:val="1A1A1A"/>
          <w:sz w:val="20"/>
          <w:szCs w:val="20"/>
        </w:rPr>
        <w:t xml:space="preserve">일곱 카테고리는 병렬 나열이 아니라 검증의 그물망입니다. "이 현장의 실수요가 충분한가"라는 질문 하나에 대해 다섯 방향의 독립 측정이 수행됩니다.</w:t>
      </w:r>
    </w:p>
    <w:p>
      <w:pPr>
        <w:keepNext/>
        <w:spacing w:after="90" w:before="220"/>
      </w:pPr>
      <w:r>
        <w:rPr>
          <w:rFonts w:ascii="맑은 고딕" w:cs="맑은 고딕" w:eastAsia="맑은 고딕" w:hAnsi="맑은 고딕"/>
          <w:b/>
          <w:bCs/>
          <w:color w:val="1F3864"/>
          <w:sz w:val="18"/>
          <w:szCs w:val="18"/>
        </w:rPr>
        <w:t xml:space="preserve">[표 5-7] 단일 질문에 대한 다중 검증 예시</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44"/>
        <w:gridCol w:w="2054"/>
        <w:gridCol w:w="4740"/>
      </w:tblGrid>
      <w:tr>
        <w:trPr>
          <w:cantSplit/>
          <w:tblHeader/>
        </w:trPr>
        <w:tc>
          <w:tcPr>
            <w:tcW w:type="dxa" w:w="2844"/>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측정 방향</w:t>
            </w:r>
          </w:p>
        </w:tc>
        <w:tc>
          <w:tcPr>
            <w:tcW w:type="dxa" w:w="2054"/>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담당 카테고리</w:t>
            </w:r>
          </w:p>
        </w:tc>
        <w:tc>
          <w:tcPr>
            <w:tcW w:type="dxa" w:w="4740"/>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확인 내용</w:t>
            </w:r>
          </w:p>
        </w:tc>
      </w:tr>
      <w:tr>
        <w:trPr>
          <w:cantSplit/>
          <w:tblHeader w:val="false"/>
        </w:trPr>
        <w:tc>
          <w:tcPr>
            <w:tcW w:type="dxa" w:w="2844"/>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수요의 존재</w:t>
            </w:r>
          </w:p>
        </w:tc>
        <w:tc>
          <w:tcPr>
            <w:tcW w:type="dxa" w:w="2054"/>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C1 인구·가구</w:t>
            </w:r>
          </w:p>
        </w:tc>
        <w:tc>
          <w:tcPr>
            <w:tcW w:type="dxa" w:w="474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가구 증가와 평형 구성의 정합성</w:t>
            </w:r>
          </w:p>
        </w:tc>
      </w:tr>
      <w:tr>
        <w:trPr>
          <w:cantSplit/>
          <w:tblHeader w:val="false"/>
        </w:trPr>
        <w:tc>
          <w:tcPr>
            <w:tcW w:type="dxa" w:w="2844"/>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지불 능력</w:t>
            </w:r>
          </w:p>
        </w:tc>
        <w:tc>
          <w:tcPr>
            <w:tcW w:type="dxa" w:w="2054"/>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C2 고용·소득</w:t>
            </w:r>
          </w:p>
        </w:tc>
        <w:tc>
          <w:tcPr>
            <w:tcW w:type="dxa" w:w="474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소득 분포와 구매력의 뒷받침</w:t>
            </w:r>
          </w:p>
        </w:tc>
      </w:tr>
      <w:tr>
        <w:trPr>
          <w:cantSplit/>
          <w:tblHeader w:val="false"/>
        </w:trPr>
        <w:tc>
          <w:tcPr>
            <w:tcW w:type="dxa" w:w="2844"/>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물리적 도달 가능성</w:t>
            </w:r>
          </w:p>
        </w:tc>
        <w:tc>
          <w:tcPr>
            <w:tcW w:type="dxa" w:w="2054"/>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C3 이동·교통</w:t>
            </w:r>
          </w:p>
        </w:tc>
        <w:tc>
          <w:tcPr>
            <w:tcW w:type="dxa" w:w="474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동선·접근성 위의 입지 여부</w:t>
            </w:r>
          </w:p>
        </w:tc>
      </w:tr>
      <w:tr>
        <w:trPr>
          <w:cantSplit/>
          <w:tblHeader w:val="false"/>
        </w:trPr>
        <w:tc>
          <w:tcPr>
            <w:tcW w:type="dxa" w:w="2844"/>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시장 표출</w:t>
            </w:r>
          </w:p>
        </w:tc>
        <w:tc>
          <w:tcPr>
            <w:tcW w:type="dxa" w:w="2054"/>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C5 주택시장</w:t>
            </w:r>
          </w:p>
        </w:tc>
        <w:tc>
          <w:tcPr>
            <w:tcW w:type="dxa" w:w="474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청약·전세 수요의 실제 발현</w:t>
            </w:r>
          </w:p>
        </w:tc>
      </w:tr>
      <w:tr>
        <w:trPr>
          <w:cantSplit/>
          <w:tblHeader w:val="false"/>
        </w:trPr>
        <w:tc>
          <w:tcPr>
            <w:tcW w:type="dxa" w:w="2844"/>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경쟁 분산</w:t>
            </w:r>
          </w:p>
        </w:tc>
        <w:tc>
          <w:tcPr>
            <w:tcW w:type="dxa" w:w="2054"/>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C6 공급</w:t>
            </w:r>
          </w:p>
        </w:tc>
        <w:tc>
          <w:tcPr>
            <w:tcW w:type="dxa" w:w="474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수요를 나눠 가질 경쟁 물량</w:t>
            </w:r>
          </w:p>
        </w:tc>
      </w:tr>
    </w:tbl>
    <w:p>
      <w:pPr>
        <w:spacing w:after="200" w:before="0"/>
      </w:pPr>
    </w:p>
    <w:p>
      <w:pPr>
        <w:keepNext w:val="false"/>
        <w:spacing w:after="130" w:before="60" w:line="310"/>
        <w:jc w:val="both"/>
      </w:pPr>
      <w:r>
        <w:rPr>
          <w:rFonts w:ascii="맑은 고딕" w:cs="맑은 고딕" w:eastAsia="맑은 고딕" w:hAnsi="맑은 고딕"/>
          <w:b w:val="false"/>
          <w:bCs w:val="false"/>
          <w:i w:val="false"/>
          <w:iCs w:val="false"/>
          <w:color w:val="1A1A1A"/>
          <w:sz w:val="20"/>
          <w:szCs w:val="20"/>
        </w:rPr>
        <w:t xml:space="preserve">다섯 측정이 수렴하면 강한 근거로 채택됩니다. 어긋나는 경우 — 예를 들어 가구는 증가하는데 청약이 미달인 경우 — </w:t>
      </w:r>
      <w:r>
        <w:rPr>
          <w:rFonts w:ascii="맑은 고딕" w:cs="맑은 고딕" w:eastAsia="맑은 고딕" w:hAnsi="맑은 고딕"/>
          <w:b/>
          <w:bCs/>
          <w:i w:val="false"/>
          <w:iCs w:val="false"/>
          <w:color w:val="1A1A1A"/>
          <w:sz w:val="20"/>
          <w:szCs w:val="20"/>
        </w:rPr>
        <w:t xml:space="preserve">그 어긋남 자체가 원인 규명의 대상</w:t>
      </w:r>
      <w:r>
        <w:rPr>
          <w:rFonts w:ascii="맑은 고딕" w:cs="맑은 고딕" w:eastAsia="맑은 고딕" w:hAnsi="맑은 고딕"/>
          <w:b w:val="false"/>
          <w:bCs w:val="false"/>
          <w:i w:val="false"/>
          <w:iCs w:val="false"/>
          <w:color w:val="1A1A1A"/>
          <w:sz w:val="20"/>
          <w:szCs w:val="20"/>
        </w:rPr>
        <w:t xml:space="preserve">이 됩니다. 어긋남을 덮지 않고 원인을 규명하는 것이 이 프레임워크와 시세 비교의 차이입니다.</w:t>
      </w:r>
    </w:p>
    <w:p>
      <w:pPr>
        <w:pStyle w:val="Heading2"/>
        <w:keepNext/>
        <w:spacing w:after="140" w:before="300"/>
      </w:pPr>
      <w:r>
        <w:rPr>
          <w:rFonts w:ascii="맑은 고딕" w:cs="맑은 고딕" w:eastAsia="맑은 고딕" w:hAnsi="맑은 고딕"/>
          <w:b/>
          <w:bCs/>
          <w:color w:val="1A1A1A"/>
          <w:sz w:val="23"/>
          <w:szCs w:val="23"/>
        </w:rPr>
        <w:t xml:space="preserve">5.4 방법론 엔진 — 여섯 가지 분석 기법</w:t>
      </w:r>
    </w:p>
    <w:p>
      <w:pPr>
        <w:keepNext w:val="false"/>
        <w:spacing w:after="130" w:before="60" w:line="310"/>
        <w:jc w:val="both"/>
      </w:pPr>
      <w:r>
        <w:rPr>
          <w:rFonts w:ascii="맑은 고딕" w:cs="맑은 고딕" w:eastAsia="맑은 고딕" w:hAnsi="맑은 고딕"/>
          <w:b w:val="false"/>
          <w:bCs w:val="false"/>
          <w:i w:val="false"/>
          <w:iCs w:val="false"/>
          <w:color w:val="1A1A1A"/>
          <w:sz w:val="20"/>
          <w:szCs w:val="20"/>
        </w:rPr>
        <w:t xml:space="preserve">15개 레이어의 원천 데이터는 여섯 가지 방법론을 통과하며 결론으로 가공됩니다. </w:t>
      </w:r>
      <w:r>
        <w:rPr>
          <w:rFonts w:ascii="맑은 고딕" w:cs="맑은 고딕" w:eastAsia="맑은 고딕" w:hAnsi="맑은 고딕"/>
          <w:b/>
          <w:bCs/>
          <w:i w:val="false"/>
          <w:iCs w:val="false"/>
          <w:color w:val="1A1A1A"/>
          <w:sz w:val="20"/>
          <w:szCs w:val="20"/>
        </w:rPr>
        <w:t xml:space="preserve">데이터 목록은 모방할 수 있으나 방법론의 규율은 모방하기 어렵다</w:t>
      </w:r>
      <w:r>
        <w:rPr>
          <w:rFonts w:ascii="맑은 고딕" w:cs="맑은 고딕" w:eastAsia="맑은 고딕" w:hAnsi="맑은 고딕"/>
          <w:b w:val="false"/>
          <w:bCs w:val="false"/>
          <w:i w:val="false"/>
          <w:iCs w:val="false"/>
          <w:color w:val="1A1A1A"/>
          <w:sz w:val="20"/>
          <w:szCs w:val="20"/>
        </w:rPr>
        <w:t xml:space="preserve">는 점에서, 본 절이 제5장의 중심입니다.</w:t>
      </w:r>
    </w:p>
    <w:p>
      <w:pPr>
        <w:pStyle w:val="Heading3"/>
        <w:keepNext/>
        <w:spacing w:after="110" w:before="240"/>
      </w:pPr>
      <w:r>
        <w:rPr>
          <w:rFonts w:ascii="맑은 고딕" w:cs="맑은 고딕" w:eastAsia="맑은 고딕" w:hAnsi="맑은 고딕"/>
          <w:b/>
          <w:bCs/>
          <w:color w:val="5A5A5A"/>
          <w:sz w:val="20"/>
          <w:szCs w:val="20"/>
        </w:rPr>
        <w:t xml:space="preserve">5.4.1 GIS 공간분석 — 행정구역이 아닌 현장 중심 생활권</w:t>
      </w:r>
    </w:p>
    <w:p>
      <w:pPr>
        <w:keepNext w:val="false"/>
        <w:spacing w:after="130" w:before="60" w:line="310"/>
        <w:jc w:val="both"/>
      </w:pPr>
      <w:r>
        <w:rPr>
          <w:rFonts w:ascii="맑은 고딕" w:cs="맑은 고딕" w:eastAsia="맑은 고딕" w:hAnsi="맑은 고딕"/>
          <w:b w:val="false"/>
          <w:bCs w:val="false"/>
          <w:i w:val="false"/>
          <w:iCs w:val="false"/>
          <w:color w:val="1A1A1A"/>
          <w:sz w:val="20"/>
          <w:szCs w:val="20"/>
        </w:rPr>
        <w:t xml:space="preserve">시·구 단위 통계를 현장 통계처럼 사용하는 것은 분양 분석의 가장 흔한 오류입니다.</w:t>
      </w:r>
    </w:p>
    <w:p>
      <w:pPr>
        <w:keepNext w:val="false"/>
        <w:spacing w:after="130" w:before="60" w:line="310"/>
        <w:jc w:val="both"/>
      </w:pPr>
      <w:r>
        <w:rPr>
          <w:rFonts w:ascii="맑은 고딕" w:cs="맑은 고딕" w:eastAsia="맑은 고딕" w:hAnsi="맑은 고딕"/>
          <w:b w:val="false"/>
          <w:bCs w:val="false"/>
          <w:i w:val="false"/>
          <w:iCs w:val="false"/>
          <w:color w:val="1A1A1A"/>
          <w:sz w:val="20"/>
          <w:szCs w:val="20"/>
        </w:rPr>
        <w:t xml:space="preserve">당사는 현장 좌표를 확정한 후 직선거리권(500m·1km·3km), 도로 네트워크 거리권, 도보·차량·대중교통 시간권을 생성하고, 행정 경계 통계는 격자·집계구 중첩 가중으로 생활권에 재배분합니다.</w:t>
      </w:r>
    </w:p>
    <w:p>
      <w:pPr>
        <w:keepNext/>
        <w:spacing w:after="90" w:before="220"/>
      </w:pPr>
      <w:r>
        <w:rPr>
          <w:rFonts w:ascii="맑은 고딕" w:cs="맑은 고딕" w:eastAsia="맑은 고딕" w:hAnsi="맑은 고딕"/>
          <w:b/>
          <w:bCs/>
          <w:color w:val="1F3864"/>
          <w:sz w:val="18"/>
          <w:szCs w:val="18"/>
        </w:rPr>
        <w:t xml:space="preserve">[표 5-8] 지표 성격별 공간단위 적용</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65"/>
        <w:gridCol w:w="4751"/>
        <w:gridCol w:w="3122"/>
      </w:tblGrid>
      <w:tr>
        <w:trPr>
          <w:cantSplit/>
          <w:tblHeader/>
        </w:trPr>
        <w:tc>
          <w:tcPr>
            <w:tcW w:type="dxa" w:w="1765"/>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지표</w:t>
            </w:r>
          </w:p>
        </w:tc>
        <w:tc>
          <w:tcPr>
            <w:tcW w:type="dxa" w:w="4751"/>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우선 공간단위</w:t>
            </w:r>
          </w:p>
        </w:tc>
        <w:tc>
          <w:tcPr>
            <w:tcW w:type="dxa" w:w="3122"/>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적용 근거</w:t>
            </w:r>
          </w:p>
        </w:tc>
      </w:tr>
      <w:tr>
        <w:trPr>
          <w:cantSplit/>
          <w:tblHeader w:val="false"/>
        </w:trPr>
        <w:tc>
          <w:tcPr>
            <w:tcW w:type="dxa" w:w="1765"/>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상주인구·가구</w:t>
            </w:r>
          </w:p>
        </w:tc>
        <w:tc>
          <w:tcPr>
            <w:tcW w:type="dxa" w:w="475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격자·집계구·생활권</w:t>
            </w:r>
          </w:p>
        </w:tc>
        <w:tc>
          <w:tcPr>
            <w:tcW w:type="dxa" w:w="3122"/>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거주는 경계 기반 현상</w:t>
            </w:r>
          </w:p>
        </w:tc>
      </w:tr>
      <w:tr>
        <w:trPr>
          <w:cantSplit/>
          <w:tblHeader w:val="false"/>
        </w:trPr>
        <w:tc>
          <w:tcPr>
            <w:tcW w:type="dxa" w:w="1765"/>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고용·배후수요</w:t>
            </w:r>
          </w:p>
        </w:tc>
        <w:tc>
          <w:tcPr>
            <w:tcW w:type="dxa" w:w="4751"/>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차량·대중교통 시간권</w:t>
            </w:r>
          </w:p>
        </w:tc>
        <w:tc>
          <w:tcPr>
            <w:tcW w:type="dxa" w:w="3122"/>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통근은 시간 기반 현상</w:t>
            </w:r>
          </w:p>
        </w:tc>
      </w:tr>
      <w:tr>
        <w:trPr>
          <w:cantSplit/>
          <w:tblHeader w:val="false"/>
        </w:trPr>
        <w:tc>
          <w:tcPr>
            <w:tcW w:type="dxa" w:w="1765"/>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유동·상권</w:t>
            </w:r>
          </w:p>
        </w:tc>
        <w:tc>
          <w:tcPr>
            <w:tcW w:type="dxa" w:w="475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보행·도로 네트워크권</w:t>
            </w:r>
          </w:p>
        </w:tc>
        <w:tc>
          <w:tcPr>
            <w:tcW w:type="dxa" w:w="3122"/>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방문은 동선 기반 현상</w:t>
            </w:r>
          </w:p>
        </w:tc>
      </w:tr>
      <w:tr>
        <w:trPr>
          <w:cantSplit/>
          <w:tblHeader w:val="false"/>
        </w:trPr>
        <w:tc>
          <w:tcPr>
            <w:tcW w:type="dxa" w:w="1765"/>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학교·생활편의</w:t>
            </w:r>
          </w:p>
        </w:tc>
        <w:tc>
          <w:tcPr>
            <w:tcW w:type="dxa" w:w="4751"/>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도보·차량 시간권 (실제 출입구 기준)</w:t>
            </w:r>
          </w:p>
        </w:tc>
        <w:tc>
          <w:tcPr>
            <w:tcW w:type="dxa" w:w="3122"/>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이용은 접근 기반 현상</w:t>
            </w:r>
          </w:p>
        </w:tc>
      </w:tr>
      <w:tr>
        <w:trPr>
          <w:cantSplit/>
          <w:tblHeader w:val="false"/>
        </w:trPr>
        <w:tc>
          <w:tcPr>
            <w:tcW w:type="dxa" w:w="1765"/>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비교단지</w:t>
            </w:r>
          </w:p>
        </w:tc>
        <w:tc>
          <w:tcPr>
            <w:tcW w:type="dxa" w:w="475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시장권 + 상품 유사성</w:t>
            </w:r>
          </w:p>
        </w:tc>
        <w:tc>
          <w:tcPr>
            <w:tcW w:type="dxa" w:w="3122"/>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비교는 대체 가능성 기반</w:t>
            </w:r>
          </w:p>
        </w:tc>
      </w:tr>
      <w:tr>
        <w:trPr>
          <w:cantSplit/>
          <w:tblHeader w:val="false"/>
        </w:trPr>
        <w:tc>
          <w:tcPr>
            <w:tcW w:type="dxa" w:w="1765"/>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개발계획</w:t>
            </w:r>
          </w:p>
        </w:tc>
        <w:tc>
          <w:tcPr>
            <w:tcW w:type="dxa" w:w="4751"/>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노선·구역·시설 영향권</w:t>
            </w:r>
          </w:p>
        </w:tc>
        <w:tc>
          <w:tcPr>
            <w:tcW w:type="dxa" w:w="3122"/>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영향은 사업 형상 기반</w:t>
            </w:r>
          </w:p>
        </w:tc>
      </w:tr>
    </w:tbl>
    <w:p>
      <w:pPr>
        <w:spacing w:after="200" w:before="0"/>
      </w:pPr>
    </w:p>
    <w:p>
      <w:pPr>
        <w:keepNext w:val="false"/>
        <w:spacing w:after="130" w:before="60" w:line="310"/>
        <w:jc w:val="both"/>
      </w:pPr>
      <w:r>
        <w:rPr>
          <w:rFonts w:ascii="맑은 고딕" w:cs="맑은 고딕" w:eastAsia="맑은 고딕" w:hAnsi="맑은 고딕"/>
          <w:b w:val="false"/>
          <w:bCs w:val="false"/>
          <w:i w:val="false"/>
          <w:iCs w:val="false"/>
          <w:color w:val="1A1A1A"/>
          <w:sz w:val="20"/>
          <w:szCs w:val="20"/>
        </w:rPr>
        <w:t xml:space="preserve">같은 "반경 1km"라도 하천·간선도로로 단절된 생활권과 연결된 생활권은 서로 다른 시장입니다. 공간 정밀성은 학술적 장식이 아니라, </w:t>
      </w:r>
      <w:r>
        <w:rPr>
          <w:rFonts w:ascii="맑은 고딕" w:cs="맑은 고딕" w:eastAsia="맑은 고딕" w:hAnsi="맑은 고딕"/>
          <w:b/>
          <w:bCs/>
          <w:i w:val="false"/>
          <w:iCs w:val="false"/>
          <w:color w:val="1A1A1A"/>
          <w:sz w:val="20"/>
          <w:szCs w:val="20"/>
        </w:rPr>
        <w:t xml:space="preserve">"입지가 좋다"는 주장을 고객이 반박할 수 없는 형태로 만드는 실무 장치</w:t>
      </w:r>
      <w:r>
        <w:rPr>
          <w:rFonts w:ascii="맑은 고딕" w:cs="맑은 고딕" w:eastAsia="맑은 고딕" w:hAnsi="맑은 고딕"/>
          <w:b w:val="false"/>
          <w:bCs w:val="false"/>
          <w:i w:val="false"/>
          <w:iCs w:val="false"/>
          <w:color w:val="1A1A1A"/>
          <w:sz w:val="20"/>
          <w:szCs w:val="20"/>
        </w:rPr>
        <w:t xml:space="preserve">입니다.</w:t>
      </w:r>
    </w:p>
    <w:p>
      <w:pPr>
        <w:pStyle w:val="Heading3"/>
        <w:keepNext/>
        <w:spacing w:after="110" w:before="240"/>
      </w:pPr>
      <w:r>
        <w:rPr>
          <w:rFonts w:ascii="맑은 고딕" w:cs="맑은 고딕" w:eastAsia="맑은 고딕" w:hAnsi="맑은 고딕"/>
          <w:b/>
          <w:bCs/>
          <w:color w:val="5A5A5A"/>
          <w:sz w:val="20"/>
          <w:szCs w:val="20"/>
        </w:rPr>
        <w:t xml:space="preserve">5.4.2 시계열 분석 — 스냅숏이 아닌 추세</w:t>
      </w:r>
    </w:p>
    <w:p>
      <w:pPr>
        <w:keepNext w:val="false"/>
        <w:spacing w:after="130" w:before="60" w:line="310"/>
        <w:jc w:val="both"/>
      </w:pPr>
      <w:r>
        <w:rPr>
          <w:rFonts w:ascii="맑은 고딕" w:cs="맑은 고딕" w:eastAsia="맑은 고딕" w:hAnsi="맑은 고딕"/>
          <w:b w:val="false"/>
          <w:bCs w:val="false"/>
          <w:i w:val="false"/>
          <w:iCs w:val="false"/>
          <w:color w:val="1A1A1A"/>
          <w:sz w:val="20"/>
          <w:szCs w:val="20"/>
        </w:rPr>
        <w:t xml:space="preserve">현재 값 하나로는 방향을 알 수 없습니다. 인구·고용·거래·소비·공급의 다년 시계열로 다음을 구분합니다.</w:t>
      </w:r>
    </w:p>
    <w:p>
      <w:pPr>
        <w:keepNext/>
        <w:spacing w:after="90" w:before="220"/>
      </w:pPr>
      <w:r>
        <w:rPr>
          <w:rFonts w:ascii="맑은 고딕" w:cs="맑은 고딕" w:eastAsia="맑은 고딕" w:hAnsi="맑은 고딕"/>
          <w:b/>
          <w:bCs/>
          <w:color w:val="1F3864"/>
          <w:sz w:val="18"/>
          <w:szCs w:val="18"/>
        </w:rPr>
        <w:t xml:space="preserve">[표 5-9] 시계열 분석의 네 가지 목적</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10"/>
        <w:gridCol w:w="7228"/>
      </w:tblGrid>
      <w:tr>
        <w:trPr>
          <w:cantSplit/>
          <w:tblHeader/>
        </w:trPr>
        <w:tc>
          <w:tcPr>
            <w:tcW w:type="dxa" w:w="2410"/>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목적</w:t>
            </w:r>
          </w:p>
        </w:tc>
        <w:tc>
          <w:tcPr>
            <w:tcW w:type="dxa" w:w="7228"/>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내용</w:t>
            </w:r>
          </w:p>
        </w:tc>
      </w:tr>
      <w:tr>
        <w:trPr>
          <w:cantSplit/>
          <w:tblHeader w:val="false"/>
        </w:trPr>
        <w:tc>
          <w:tcPr>
            <w:tcW w:type="dxa" w:w="241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구조적 변화와 일시 효과의 분리</w:t>
            </w:r>
          </w:p>
        </w:tc>
        <w:tc>
          <w:tcPr>
            <w:tcW w:type="dxa" w:w="722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수년간 지속된 유입 추세와 단발 이벤트(대규모 입주, 일시 개발 특수)를 구분</w:t>
            </w:r>
          </w:p>
        </w:tc>
      </w:tr>
      <w:tr>
        <w:trPr>
          <w:cantSplit/>
          <w:tblHeader w:val="false"/>
        </w:trPr>
        <w:tc>
          <w:tcPr>
            <w:tcW w:type="dxa" w:w="241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선행·후행 관계 반영</w:t>
            </w:r>
          </w:p>
        </w:tc>
        <w:tc>
          <w:tcPr>
            <w:tcW w:type="dxa" w:w="7228"/>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전세가·거래량은 매매가에 선행하는 경향, 미분양은 공급 과잉에 후행하는 경향을 해석에 반영</w:t>
            </w:r>
          </w:p>
        </w:tc>
      </w:tr>
      <w:tr>
        <w:trPr>
          <w:cantSplit/>
          <w:tblHeader w:val="false"/>
        </w:trPr>
        <w:tc>
          <w:tcPr>
            <w:tcW w:type="dxa" w:w="241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이벤트 스터디</w:t>
            </w:r>
          </w:p>
        </w:tc>
        <w:tc>
          <w:tcPr>
            <w:tcW w:type="dxa" w:w="722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개발 사업의 발표·고시·착공·개통 전후를 처리지역과 비교지역으로 나눠 실제 가격 영향과 선반영 정도를 검증</w:t>
            </w:r>
          </w:p>
        </w:tc>
      </w:tr>
      <w:tr>
        <w:trPr>
          <w:cantSplit/>
          <w:tblHeader w:val="false"/>
        </w:trPr>
        <w:tc>
          <w:tcPr>
            <w:tcW w:type="dxa" w:w="241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미래 정보 누출 방지</w:t>
            </w:r>
          </w:p>
        </w:tc>
        <w:tc>
          <w:tcPr>
            <w:tcW w:type="dxa" w:w="7228"/>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과거 시점의 분석·검증에는 그 시점에 존재했던 정보만 사용. 백테스트(5.7)의 전제 조건</w:t>
            </w:r>
          </w:p>
        </w:tc>
      </w:tr>
    </w:tbl>
    <w:p>
      <w:pPr>
        <w:spacing w:after="200" w:before="0"/>
      </w:pPr>
    </w:p>
    <w:p>
      <w:pPr>
        <w:keepNext w:val="false"/>
        <w:spacing w:after="130" w:before="60" w:line="310"/>
        <w:jc w:val="both"/>
      </w:pPr>
      <w:r>
        <w:rPr>
          <w:rFonts w:ascii="맑은 고딕" w:cs="맑은 고딕" w:eastAsia="맑은 고딕" w:hAnsi="맑은 고딕"/>
          <w:b/>
          <w:bCs/>
          <w:i w:val="false"/>
          <w:iCs w:val="false"/>
          <w:color w:val="1A1A1A"/>
          <w:sz w:val="20"/>
          <w:szCs w:val="20"/>
        </w:rPr>
        <w:t xml:space="preserve">최근 월은 아직 다 들어오지 않았습니다.</w:t>
      </w:r>
      <w:r>
        <w:rPr>
          <w:rFonts w:ascii="맑은 고딕" w:cs="맑은 고딕" w:eastAsia="맑은 고딕" w:hAnsi="맑은 고딕"/>
          <w:b w:val="false"/>
          <w:bCs w:val="false"/>
          <w:i w:val="false"/>
          <w:iCs w:val="false"/>
          <w:color w:val="1A1A1A"/>
          <w:sz w:val="20"/>
          <w:szCs w:val="20"/>
        </w:rPr>
        <w:t xml:space="preserve"> 부동산 거래신고는 계약일로부터 30일 이내에 하면 되고, 신고분이 공개 자료에 반영되기까지 며칠이 더 걸립니다. 따라서 </w:t>
      </w:r>
      <w:r>
        <w:rPr>
          <w:rFonts w:ascii="맑은 고딕" w:cs="맑은 고딕" w:eastAsia="맑은 고딕" w:hAnsi="맑은 고딕"/>
          <w:b/>
          <w:bCs/>
          <w:i w:val="false"/>
          <w:iCs w:val="false"/>
          <w:color w:val="1A1A1A"/>
          <w:sz w:val="20"/>
          <w:szCs w:val="20"/>
        </w:rPr>
        <w:t xml:space="preserve">수집 시점의 최근 1~2개월 거래는 항상 과소집계 상태</w:t>
      </w:r>
      <w:r>
        <w:rPr>
          <w:rFonts w:ascii="맑은 고딕" w:cs="맑은 고딕" w:eastAsia="맑은 고딕" w:hAnsi="맑은 고딕"/>
          <w:b w:val="false"/>
          <w:bCs w:val="false"/>
          <w:i w:val="false"/>
          <w:iCs w:val="false"/>
          <w:color w:val="1A1A1A"/>
          <w:sz w:val="20"/>
          <w:szCs w:val="20"/>
        </w:rPr>
        <w:t xml:space="preserve">입니다. 이를 무시하면 두 가지가 조용히 어긋납니다. 첫째, 월별 집계의 마지막 점은 표본이 얇아 흔들리는데 추세 회귀에서 끝점의 영향력이 가장 크므로, 미완결 월 하나가 추세의 방향을 바꿀 수 있습니다. 둘째, 거래 회전율은 분자(거래건수)만 덜 차고 분모(기간)는 그대로여서 체계적으로 낮게 산출되며, 임계값 근처에서 '환금성 취약' 오판정을 만듭니다.</w:t>
      </w:r>
    </w:p>
    <w:p>
      <w:pPr>
        <w:keepNext w:val="false"/>
        <w:spacing w:after="130" w:before="60" w:line="310"/>
        <w:jc w:val="both"/>
      </w:pPr>
      <w:r>
        <w:rPr>
          <w:rFonts w:ascii="맑은 고딕" w:cs="맑은 고딕" w:eastAsia="맑은 고딕" w:hAnsi="맑은 고딕"/>
          <w:b w:val="false"/>
          <w:bCs w:val="false"/>
          <w:i w:val="false"/>
          <w:iCs w:val="false"/>
          <w:color w:val="1A1A1A"/>
          <w:sz w:val="20"/>
          <w:szCs w:val="20"/>
        </w:rPr>
        <w:t xml:space="preserve">리포트는 법정 신고기한이라는 </w:t>
      </w:r>
      <w:r>
        <w:rPr>
          <w:rFonts w:ascii="맑은 고딕" w:cs="맑은 고딕" w:eastAsia="맑은 고딕" w:hAnsi="맑은 고딕"/>
          <w:b/>
          <w:bCs/>
          <w:i w:val="false"/>
          <w:iCs w:val="false"/>
          <w:color w:val="1A1A1A"/>
          <w:sz w:val="20"/>
          <w:szCs w:val="20"/>
        </w:rPr>
        <w:t xml:space="preserve">결정적 규칙</w:t>
      </w:r>
      <w:r>
        <w:rPr>
          <w:rFonts w:ascii="맑은 고딕" w:cs="맑은 고딕" w:eastAsia="맑은 고딕" w:hAnsi="맑은 고딕"/>
          <w:b w:val="false"/>
          <w:bCs w:val="false"/>
          <w:i w:val="false"/>
          <w:iCs w:val="false"/>
          <w:color w:val="1A1A1A"/>
          <w:sz w:val="20"/>
          <w:szCs w:val="20"/>
        </w:rPr>
        <w:t xml:space="preserve">으로 월별 완결 여부를 판정하고, 미완결 월을 추세·회전율 산출에서 제외한 뒤 </w:t>
      </w:r>
      <w:r>
        <w:rPr>
          <w:rFonts w:ascii="맑은 고딕" w:cs="맑은 고딕" w:eastAsia="맑은 고딕" w:hAnsi="맑은 고딕"/>
          <w:b/>
          <w:bCs/>
          <w:i w:val="false"/>
          <w:iCs w:val="false"/>
          <w:color w:val="1A1A1A"/>
          <w:sz w:val="20"/>
          <w:szCs w:val="20"/>
        </w:rPr>
        <w:t xml:space="preserve">제외한 월과 건수를 리포트 3-2절에 그대로 표기</w:t>
      </w:r>
      <w:r>
        <w:rPr>
          <w:rFonts w:ascii="맑은 고딕" w:cs="맑은 고딕" w:eastAsia="맑은 고딕" w:hAnsi="맑은 고딕"/>
          <w:b w:val="false"/>
          <w:bCs w:val="false"/>
          <w:i w:val="false"/>
          <w:iCs w:val="false"/>
          <w:color w:val="1A1A1A"/>
          <w:sz w:val="20"/>
          <w:szCs w:val="20"/>
        </w:rPr>
        <w:t xml:space="preserve">합니다. 거래량이 적다는 관찰만으로 월을 빼지는 않습니다 — 그렇게 하면 실제 시장 냉각을 데이터 결함으로 오인해 하락 신호를 지워 버리기 때문입니다. 거래량 급감은 무작위 변동 범위(포아송)를 넘을 때에 한해 별도 표시로만 남깁니다.</w:t>
      </w:r>
    </w:p>
    <w:p>
      <w:pPr>
        <w:keepNext w:val="false"/>
        <w:spacing w:after="130" w:before="60" w:line="310"/>
        <w:jc w:val="both"/>
      </w:pPr>
      <w:r>
        <w:rPr>
          <w:rFonts w:ascii="맑은 고딕" w:cs="맑은 고딕" w:eastAsia="맑은 고딕" w:hAnsi="맑은 고딕"/>
          <w:b w:val="false"/>
          <w:bCs w:val="false"/>
          <w:i w:val="false"/>
          <w:iCs w:val="false"/>
          <w:color w:val="1A1A1A"/>
          <w:sz w:val="20"/>
          <w:szCs w:val="20"/>
        </w:rPr>
        <w:t xml:space="preserve">같은 규율이 백테스트에도 적용됩니다. 과거 시점을 재현할 때 "그때 있었던 정보"라며 쓰는 데이터에는 실제로는 아직 신고되지 않았을 거래가 섞여 있습니다 — 지금 돌아보면 다 들어와 있기 때문입니다. 이를 그대로 두면 검증 성적이 실시간 운영보다 좋게 나오므로, 백테스트도 동일한 지연을 적용해 잘라 냅니다. </w:t>
      </w:r>
      <w:r>
        <w:rPr>
          <w:rFonts w:ascii="맑은 고딕" w:cs="맑은 고딕" w:eastAsia="맑은 고딕" w:hAnsi="맑은 고딕"/>
          <w:b/>
          <w:bCs/>
          <w:i w:val="false"/>
          <w:iCs w:val="false"/>
          <w:color w:val="1A1A1A"/>
          <w:sz w:val="20"/>
          <w:szCs w:val="20"/>
        </w:rPr>
        <w:t xml:space="preserve">검증이 운영보다 유리한 조건에서 이뤄지면 검증의 의미가 없습니다.</w:t>
      </w:r>
    </w:p>
    <w:p>
      <w:pPr>
        <w:pStyle w:val="Heading3"/>
        <w:keepNext/>
        <w:spacing w:after="110" w:before="240"/>
      </w:pPr>
      <w:r>
        <w:rPr>
          <w:rFonts w:ascii="맑은 고딕" w:cs="맑은 고딕" w:eastAsia="맑은 고딕" w:hAnsi="맑은 고딕"/>
          <w:b/>
          <w:bCs/>
          <w:color w:val="5A5A5A"/>
          <w:sz w:val="20"/>
          <w:szCs w:val="20"/>
        </w:rPr>
        <w:t xml:space="preserve">5.4.3 교차검증 — 세 방향의 대조</w:t>
      </w:r>
    </w:p>
    <w:p>
      <w:pPr>
        <w:keepNext/>
        <w:spacing w:after="90" w:before="220"/>
      </w:pPr>
      <w:r>
        <w:rPr>
          <w:rFonts w:ascii="맑은 고딕" w:cs="맑은 고딕" w:eastAsia="맑은 고딕" w:hAnsi="맑은 고딕"/>
          <w:b/>
          <w:bCs/>
          <w:color w:val="1F3864"/>
          <w:sz w:val="18"/>
          <w:szCs w:val="18"/>
        </w:rPr>
        <w:t xml:space="preserve">[표 5-10] 교차검증의 세 층위</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0"/>
        <w:gridCol w:w="2436"/>
        <w:gridCol w:w="6052"/>
      </w:tblGrid>
      <w:tr>
        <w:trPr>
          <w:cantSplit/>
          <w:tblHeader/>
        </w:trPr>
        <w:tc>
          <w:tcPr>
            <w:tcW w:type="dxa" w:w="1150"/>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층위</w:t>
            </w:r>
          </w:p>
        </w:tc>
        <w:tc>
          <w:tcPr>
            <w:tcW w:type="dxa" w:w="2436"/>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방법</w:t>
            </w:r>
          </w:p>
        </w:tc>
        <w:tc>
          <w:tcPr>
            <w:tcW w:type="dxa" w:w="6052"/>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검증 예시</w:t>
            </w:r>
          </w:p>
        </w:tc>
      </w:tr>
      <w:tr>
        <w:trPr>
          <w:cantSplit/>
          <w:tblHeader w:val="false"/>
        </w:trPr>
        <w:tc>
          <w:tcPr>
            <w:tcW w:type="dxa" w:w="115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지표 간 교차</w:t>
            </w:r>
          </w:p>
        </w:tc>
        <w:tc>
          <w:tcPr>
            <w:tcW w:type="dxa" w:w="243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같은 현상을 다른 지표로 확인</w:t>
            </w:r>
          </w:p>
        </w:tc>
        <w:tc>
          <w:tcPr>
            <w:tcW w:type="dxa" w:w="6052"/>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가격 상승 주장을 거래량·취소거래율과 대조하여 "거래 없는 호가 상승"을 배제</w:t>
            </w:r>
          </w:p>
        </w:tc>
      </w:tr>
      <w:tr>
        <w:trPr>
          <w:cantSplit/>
          <w:tblHeader w:val="false"/>
        </w:trPr>
        <w:tc>
          <w:tcPr>
            <w:tcW w:type="dxa" w:w="115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레이어 간 교차</w:t>
            </w:r>
          </w:p>
        </w:tc>
        <w:tc>
          <w:tcPr>
            <w:tcW w:type="dxa" w:w="2436"/>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한 레이어의 결론을 독립 레이어로 확인</w:t>
            </w:r>
          </w:p>
        </w:tc>
        <w:tc>
          <w:tcPr>
            <w:tcW w:type="dxa" w:w="6052"/>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"직주근접 수요"(L4)를 실제 통근 O/D(L7)와 청약 신청 지역 분포(L12)로 검증</w:t>
            </w:r>
          </w:p>
        </w:tc>
      </w:tr>
      <w:tr>
        <w:trPr>
          <w:cantSplit/>
          <w:tblHeader w:val="false"/>
        </w:trPr>
        <w:tc>
          <w:tcPr>
            <w:tcW w:type="dxa" w:w="115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유사지역 비교</w:t>
            </w:r>
          </w:p>
        </w:tc>
        <w:tc>
          <w:tcPr>
            <w:tcW w:type="dxa" w:w="243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조건이 유사한 지역과 대조</w:t>
            </w:r>
          </w:p>
        </w:tc>
        <w:tc>
          <w:tcPr>
            <w:tcW w:type="dxa" w:w="6052"/>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교통·세대수·준공연차·공급환경이 유사한 지역과 비교하여 현장 고유 효과와 시장 전반 효과를 분리</w:t>
            </w:r>
          </w:p>
        </w:tc>
      </w:tr>
    </w:tbl>
    <w:p>
      <w:pPr>
        <w:spacing w:after="200" w:before="0"/>
      </w:pPr>
    </w:p>
    <w:p>
      <w:pPr>
        <w:keepNext w:val="false"/>
        <w:spacing w:after="130" w:before="60" w:line="310"/>
        <w:jc w:val="both"/>
      </w:pPr>
      <w:r>
        <w:rPr>
          <w:rFonts w:ascii="맑은 고딕" w:cs="맑은 고딕" w:eastAsia="맑은 고딕" w:hAnsi="맑은 고딕"/>
          <w:b w:val="false"/>
          <w:bCs w:val="false"/>
          <w:i w:val="false"/>
          <w:iCs w:val="false"/>
          <w:color w:val="1A1A1A"/>
          <w:sz w:val="20"/>
          <w:szCs w:val="20"/>
        </w:rPr>
        <w:t xml:space="preserve">비교단지·비교지역의 선정 기준은 재현 가능하도록 문서화되며, 포함·제외 사유가 근거원장(5.9)에 기록됩니다.</w:t>
      </w:r>
    </w:p>
    <w:p>
      <w:pPr>
        <w:pStyle w:val="Heading3"/>
        <w:keepNext/>
        <w:spacing w:after="110" w:before="240"/>
      </w:pPr>
      <w:r>
        <w:rPr>
          <w:rFonts w:ascii="맑은 고딕" w:cs="맑은 고딕" w:eastAsia="맑은 고딕" w:hAnsi="맑은 고딕"/>
          <w:b/>
          <w:bCs/>
          <w:color w:val="5A5A5A"/>
          <w:sz w:val="20"/>
          <w:szCs w:val="20"/>
        </w:rPr>
        <w:t xml:space="preserve">5.4.4 반대근거 분석 — 반증을 먼저 탐색한다</w:t>
      </w:r>
    </w:p>
    <w:p>
      <w:pPr>
        <w:keepNext w:val="false"/>
        <w:spacing w:after="130" w:before="60" w:line="310"/>
        <w:jc w:val="both"/>
      </w:pPr>
      <w:r>
        <w:rPr>
          <w:rFonts w:ascii="맑은 고딕" w:cs="맑은 고딕" w:eastAsia="맑은 고딕" w:hAnsi="맑은 고딕"/>
          <w:b w:val="false"/>
          <w:bCs w:val="false"/>
          <w:i w:val="false"/>
          <w:iCs w:val="false"/>
          <w:color w:val="1A1A1A"/>
          <w:sz w:val="20"/>
          <w:szCs w:val="20"/>
        </w:rPr>
        <w:t xml:space="preserve">모든 핵심 결론에 대해 </w:t>
      </w:r>
      <w:r>
        <w:rPr>
          <w:rFonts w:ascii="맑은 고딕" w:cs="맑은 고딕" w:eastAsia="맑은 고딕" w:hAnsi="맑은 고딕"/>
          <w:b/>
          <w:bCs/>
          <w:i w:val="false"/>
          <w:iCs w:val="false"/>
          <w:color w:val="1A1A1A"/>
          <w:sz w:val="20"/>
          <w:szCs w:val="20"/>
        </w:rPr>
        <w:t xml:space="preserve">"이 결론을 무너뜨릴 수 있는 데이터는 무엇인가"</w:t>
      </w:r>
      <w:r>
        <w:rPr>
          <w:rFonts w:ascii="맑은 고딕" w:cs="맑은 고딕" w:eastAsia="맑은 고딕" w:hAnsi="맑은 고딕"/>
          <w:b w:val="false"/>
          <w:bCs w:val="false"/>
          <w:i w:val="false"/>
          <w:iCs w:val="false"/>
          <w:color w:val="1A1A1A"/>
          <w:sz w:val="20"/>
          <w:szCs w:val="20"/>
        </w:rPr>
        <w:t xml:space="preserve">를 명시적으로 탐색합니다.</w:t>
      </w:r>
    </w:p>
    <w:p>
      <w:pPr>
        <w:keepNext/>
        <w:spacing w:after="90" w:before="220"/>
      </w:pPr>
      <w:r>
        <w:rPr>
          <w:rFonts w:ascii="맑은 고딕" w:cs="맑은 고딕" w:eastAsia="맑은 고딕" w:hAnsi="맑은 고딕"/>
          <w:b/>
          <w:bCs/>
          <w:color w:val="1F3864"/>
          <w:sz w:val="18"/>
          <w:szCs w:val="18"/>
        </w:rPr>
        <w:t xml:space="preserve">[표 5-11] 반대근거 탐색 항목</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7838"/>
      </w:tblGrid>
      <w:tr>
        <w:trPr>
          <w:cantSplit/>
          <w:tblHeader/>
        </w:trPr>
        <w:tc>
          <w:tcPr>
            <w:tcW w:type="dxa" w:w="1800"/>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결론 유형</w:t>
            </w:r>
          </w:p>
        </w:tc>
        <w:tc>
          <w:tcPr>
            <w:tcW w:type="dxa" w:w="7838"/>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탐색하는 반대근거</w:t>
            </w:r>
          </w:p>
        </w:tc>
      </w:tr>
      <w:tr>
        <w:trPr>
          <w:cantSplit/>
          <w:tblHeader w:val="false"/>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상승 사례</w:t>
            </w:r>
          </w:p>
        </w:tc>
        <w:tc>
          <w:tcPr>
            <w:tcW w:type="dxa" w:w="783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같은 조건에서 가격이 움직이지 않은 반대사례와 그 원인</w:t>
            </w:r>
          </w:p>
        </w:tc>
      </w:tr>
      <w:tr>
        <w:trPr>
          <w:cantSplit/>
          <w:tblHeader w:val="false"/>
        </w:trPr>
        <w:tc>
          <w:tcPr>
            <w:tcW w:type="dxa" w:w="180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개발호재</w:t>
            </w:r>
          </w:p>
        </w:tc>
        <w:tc>
          <w:tcPr>
            <w:tcW w:type="dxa" w:w="7838"/>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소음·혼잡·추가 공급·지연·민원·환경 위험 등 부정효과</w:t>
            </w:r>
          </w:p>
        </w:tc>
      </w:tr>
      <w:tr>
        <w:trPr>
          <w:cantSplit/>
          <w:tblHeader w:val="false"/>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수요 논리</w:t>
            </w:r>
          </w:p>
        </w:tc>
        <w:tc>
          <w:tcPr>
            <w:tcW w:type="dxa" w:w="783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이 수요가 경쟁 현장으로 이동할 조건</w:t>
            </w:r>
          </w:p>
        </w:tc>
      </w:tr>
      <w:tr>
        <w:trPr>
          <w:cantSplit/>
          <w:tblHeader w:val="false"/>
        </w:trPr>
        <w:tc>
          <w:tcPr>
            <w:tcW w:type="dxa" w:w="180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공급 희소성</w:t>
            </w:r>
          </w:p>
        </w:tc>
        <w:tc>
          <w:tcPr>
            <w:tcW w:type="dxa" w:w="7838"/>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미반영된 잠재 공급(정비사업, 가용지, 인접 시장권)</w:t>
            </w:r>
          </w:p>
        </w:tc>
      </w:tr>
    </w:tbl>
    <w:p>
      <w:pPr>
        <w:spacing w:after="200" w:before="0"/>
      </w:pPr>
    </w:p>
    <w:p>
      <w:pPr>
        <w:keepNext w:val="false"/>
        <w:spacing w:after="130" w:before="60" w:line="310"/>
        <w:jc w:val="both"/>
      </w:pPr>
      <w:r>
        <w:rPr>
          <w:rFonts w:ascii="맑은 고딕" w:cs="맑은 고딕" w:eastAsia="맑은 고딕" w:hAnsi="맑은 고딕"/>
          <w:b w:val="false"/>
          <w:bCs w:val="false"/>
          <w:i w:val="false"/>
          <w:iCs w:val="false"/>
          <w:color w:val="1A1A1A"/>
          <w:sz w:val="20"/>
          <w:szCs w:val="20"/>
        </w:rPr>
        <w:t xml:space="preserve">탐색된 반대근거는 폐기되지 않고 근거카드의 "반대" 항목에 기록되어(5.9), </w:t>
      </w:r>
      <w:r>
        <w:rPr>
          <w:rFonts w:ascii="맑은 고딕" w:cs="맑은 고딕" w:eastAsia="맑은 고딕" w:hAnsi="맑은 고딕"/>
          <w:b/>
          <w:bCs/>
          <w:i w:val="false"/>
          <w:iCs w:val="false"/>
          <w:color w:val="1A1A1A"/>
          <w:sz w:val="20"/>
          <w:szCs w:val="20"/>
        </w:rPr>
        <w:t xml:space="preserve">상담 단계의 거절 대응 논리(제6장)로 재사용</w:t>
      </w:r>
      <w:r>
        <w:rPr>
          <w:rFonts w:ascii="맑은 고딕" w:cs="맑은 고딕" w:eastAsia="맑은 고딕" w:hAnsi="맑은 고딕"/>
          <w:b w:val="false"/>
          <w:bCs w:val="false"/>
          <w:i w:val="false"/>
          <w:iCs w:val="false"/>
          <w:color w:val="1A1A1A"/>
          <w:sz w:val="20"/>
          <w:szCs w:val="20"/>
        </w:rPr>
        <w:t xml:space="preserve">됩니다. 고객이 제기할 반론을 분석 단계에서 먼저 통과시키는 구조입니다.</w:t>
      </w:r>
    </w:p>
    <w:p>
      <w:pPr>
        <w:pStyle w:val="Heading3"/>
        <w:keepNext/>
        <w:spacing w:after="110" w:before="240"/>
      </w:pPr>
      <w:r>
        <w:rPr>
          <w:rFonts w:ascii="맑은 고딕" w:cs="맑은 고딕" w:eastAsia="맑은 고딕" w:hAnsi="맑은 고딕"/>
          <w:b/>
          <w:bCs/>
          <w:color w:val="5A5A5A"/>
          <w:sz w:val="20"/>
          <w:szCs w:val="20"/>
        </w:rPr>
        <w:t xml:space="preserve">5.4.5 신뢰도 평가 — 모든 판단에 확신 수준을 표시한다</w:t>
      </w:r>
    </w:p>
    <w:p>
      <w:pPr>
        <w:keepNext w:val="false"/>
        <w:spacing w:after="130" w:before="60" w:line="310"/>
        <w:jc w:val="both"/>
      </w:pPr>
      <w:r>
        <w:rPr>
          <w:rFonts w:ascii="맑은 고딕" w:cs="맑은 고딕" w:eastAsia="맑은 고딕" w:hAnsi="맑은 고딕"/>
          <w:b/>
          <w:bCs/>
          <w:i w:val="false"/>
          <w:iCs w:val="false"/>
          <w:color w:val="1A1A1A"/>
          <w:sz w:val="20"/>
          <w:szCs w:val="20"/>
        </w:rPr>
        <w:t xml:space="preserve">데이터 수준.</w:t>
      </w:r>
      <w:r>
        <w:rPr>
          <w:rFonts w:ascii="맑은 고딕" w:cs="맑은 고딕" w:eastAsia="맑은 고딕" w:hAnsi="맑은 고딕"/>
          <w:b w:val="false"/>
          <w:bCs w:val="false"/>
          <w:i w:val="false"/>
          <w:iCs w:val="false"/>
          <w:color w:val="1A1A1A"/>
          <w:sz w:val="20"/>
          <w:szCs w:val="20"/>
        </w:rPr>
        <w:t xml:space="preserve"> 모든 레이어·지표는 다섯 축으로 평가되어 A~D 등급을 받습니다(상세는 부록 A).</w:t>
      </w:r>
    </w:p>
    <w:p>
      <w:pPr>
        <w:keepNext/>
        <w:spacing w:after="90" w:before="220"/>
      </w:pPr>
      <w:r>
        <w:rPr>
          <w:rFonts w:ascii="맑은 고딕" w:cs="맑은 고딕" w:eastAsia="맑은 고딕" w:hAnsi="맑은 고딕"/>
          <w:b/>
          <w:bCs/>
          <w:color w:val="1F3864"/>
          <w:sz w:val="18"/>
          <w:szCs w:val="18"/>
        </w:rPr>
        <w:t xml:space="preserve">[표 5-12] 데이터 적합성 평가 5축</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59"/>
        <w:gridCol w:w="1150"/>
        <w:gridCol w:w="6929"/>
      </w:tblGrid>
      <w:tr>
        <w:trPr>
          <w:cantSplit/>
          <w:tblHeader/>
        </w:trPr>
        <w:tc>
          <w:tcPr>
            <w:tcW w:type="dxa" w:w="1559"/>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평가축</w:t>
            </w:r>
          </w:p>
        </w:tc>
        <w:tc>
          <w:tcPr>
            <w:tcW w:type="dxa" w:w="1150"/>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배점</w:t>
            </w:r>
          </w:p>
        </w:tc>
        <w:tc>
          <w:tcPr>
            <w:tcW w:type="dxa" w:w="6929"/>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확인 내용</w:t>
            </w:r>
          </w:p>
        </w:tc>
      </w:tr>
      <w:tr>
        <w:trPr>
          <w:cantSplit/>
          <w:tblHeader w:val="false"/>
        </w:trPr>
        <w:tc>
          <w:tcPr>
            <w:tcW w:type="dxa" w:w="1559"/>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공간 적합성</w:t>
            </w:r>
          </w:p>
        </w:tc>
        <w:tc>
          <w:tcPr>
            <w:tcW w:type="dxa" w:w="115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25</w:t>
            </w:r>
          </w:p>
        </w:tc>
        <w:tc>
          <w:tcPr>
            <w:tcW w:type="dxa" w:w="6929"/>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현장·생활권·격자·시간권 수준으로 집계 가능한가</w:t>
            </w:r>
          </w:p>
        </w:tc>
      </w:tr>
      <w:tr>
        <w:trPr>
          <w:cantSplit/>
          <w:tblHeader w:val="false"/>
        </w:trPr>
        <w:tc>
          <w:tcPr>
            <w:tcW w:type="dxa" w:w="1559"/>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시간 적합성</w:t>
            </w:r>
          </w:p>
        </w:tc>
        <w:tc>
          <w:tcPr>
            <w:tcW w:type="dxa" w:w="115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25</w:t>
            </w:r>
          </w:p>
        </w:tc>
        <w:tc>
          <w:tcPr>
            <w:tcW w:type="dxa" w:w="6929"/>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분석 기준일과 시계열 빈도·지연이 적합한가</w:t>
            </w:r>
          </w:p>
        </w:tc>
      </w:tr>
      <w:tr>
        <w:trPr>
          <w:cantSplit/>
          <w:tblHeader w:val="false"/>
        </w:trPr>
        <w:tc>
          <w:tcPr>
            <w:tcW w:type="dxa" w:w="1559"/>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정의·품질</w:t>
            </w:r>
          </w:p>
        </w:tc>
        <w:tc>
          <w:tcPr>
            <w:tcW w:type="dxa" w:w="115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20</w:t>
            </w:r>
          </w:p>
        </w:tc>
        <w:tc>
          <w:tcPr>
            <w:tcW w:type="dxa" w:w="6929"/>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측정 대상·표본·정제·결측·통계 개편이 명확한가</w:t>
            </w:r>
          </w:p>
        </w:tc>
      </w:tr>
      <w:tr>
        <w:trPr>
          <w:cantSplit/>
          <w:tblHeader w:val="false"/>
        </w:trPr>
        <w:tc>
          <w:tcPr>
            <w:tcW w:type="dxa" w:w="1559"/>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재현성·추적성</w:t>
            </w:r>
          </w:p>
        </w:tc>
        <w:tc>
          <w:tcPr>
            <w:tcW w:type="dxa" w:w="115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15</w:t>
            </w:r>
          </w:p>
        </w:tc>
        <w:tc>
          <w:tcPr>
            <w:tcW w:type="dxa" w:w="6929"/>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원문·버전·추출·계산을 다시 확인할 수 있는가</w:t>
            </w:r>
          </w:p>
        </w:tc>
      </w:tr>
      <w:tr>
        <w:trPr>
          <w:cantSplit/>
          <w:tblHeader w:val="false"/>
        </w:trPr>
        <w:tc>
          <w:tcPr>
            <w:tcW w:type="dxa" w:w="1559"/>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권한·지속성</w:t>
            </w:r>
          </w:p>
        </w:tc>
        <w:tc>
          <w:tcPr>
            <w:tcW w:type="dxa" w:w="115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15</w:t>
            </w:r>
          </w:p>
        </w:tc>
        <w:tc>
          <w:tcPr>
            <w:tcW w:type="dxa" w:w="6929"/>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수집·가공·저장·공개·재배포가 허용되고 지속 가능한가</w:t>
            </w:r>
          </w:p>
        </w:tc>
      </w:tr>
    </w:tbl>
    <w:p>
      <w:pPr>
        <w:spacing w:after="200" w:before="0"/>
      </w:pPr>
    </w:p>
    <w:p>
      <w:pPr>
        <w:keepNext w:val="false"/>
        <w:spacing w:after="130" w:before="60" w:line="310"/>
        <w:jc w:val="both"/>
      </w:pPr>
      <w:r>
        <w:rPr>
          <w:rFonts w:ascii="맑은 고딕" w:cs="맑은 고딕" w:eastAsia="맑은 고딕" w:hAnsi="맑은 고딕"/>
          <w:b w:val="false"/>
          <w:bCs w:val="false"/>
          <w:i w:val="false"/>
          <w:iCs w:val="false"/>
          <w:color w:val="1A1A1A"/>
          <w:sz w:val="20"/>
          <w:szCs w:val="20"/>
        </w:rPr>
        <w:t xml:space="preserve">C등급 데이터는 탐색·가설 생성용으로만 사용하며, D등급은 분석·광고 사용을 금지합니다.</w:t>
      </w:r>
    </w:p>
    <w:p>
      <w:pPr>
        <w:keepNext w:val="false"/>
        <w:spacing w:after="130" w:before="60" w:line="310"/>
        <w:jc w:val="both"/>
      </w:pPr>
      <w:r>
        <w:rPr>
          <w:rFonts w:ascii="맑은 고딕" w:cs="맑은 고딕" w:eastAsia="맑은 고딕" w:hAnsi="맑은 고딕"/>
          <w:b/>
          <w:bCs/>
          <w:i w:val="false"/>
          <w:iCs w:val="false"/>
          <w:color w:val="1A1A1A"/>
          <w:sz w:val="20"/>
          <w:szCs w:val="20"/>
        </w:rPr>
        <w:t xml:space="preserve">판단 수준.</w:t>
      </w:r>
      <w:r>
        <w:rPr>
          <w:rFonts w:ascii="맑은 고딕" w:cs="맑은 고딕" w:eastAsia="맑은 고딕" w:hAnsi="맑은 고딕"/>
          <w:b w:val="false"/>
          <w:bCs w:val="false"/>
          <w:i w:val="false"/>
          <w:iCs w:val="false"/>
          <w:color w:val="1A1A1A"/>
          <w:sz w:val="20"/>
          <w:szCs w:val="20"/>
        </w:rPr>
        <w:t xml:space="preserve"> 카테고리별 결론에는 네 가지 속성이 함께 표시됩니다.</w:t>
      </w:r>
    </w:p>
    <w:p>
      <w:pPr>
        <w:keepNext/>
        <w:spacing w:after="90" w:before="220"/>
      </w:pPr>
      <w:r>
        <w:rPr>
          <w:rFonts w:ascii="맑은 고딕" w:cs="맑은 고딕" w:eastAsia="맑은 고딕" w:hAnsi="맑은 고딕"/>
          <w:b/>
          <w:bCs/>
          <w:color w:val="1F3864"/>
          <w:sz w:val="18"/>
          <w:szCs w:val="18"/>
        </w:rPr>
        <w:t xml:space="preserve">[표 5-13] 판단의 4속성</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7838"/>
      </w:tblGrid>
      <w:tr>
        <w:trPr>
          <w:cantSplit/>
          <w:tblHeader/>
        </w:trPr>
        <w:tc>
          <w:tcPr>
            <w:tcW w:type="dxa" w:w="1800"/>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속성</w:t>
            </w:r>
          </w:p>
        </w:tc>
        <w:tc>
          <w:tcPr>
            <w:tcW w:type="dxa" w:w="7838"/>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내용</w:t>
            </w:r>
          </w:p>
        </w:tc>
      </w:tr>
      <w:tr>
        <w:trPr>
          <w:cantSplit/>
          <w:tblHeader w:val="false"/>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방향</w:t>
            </w:r>
          </w:p>
        </w:tc>
        <w:tc>
          <w:tcPr>
            <w:tcW w:type="dxa" w:w="783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현장가치에 긍정적인가, 부정적인가, 중립인가</w:t>
            </w:r>
          </w:p>
        </w:tc>
      </w:tr>
      <w:tr>
        <w:trPr>
          <w:cantSplit/>
          <w:tblHeader w:val="false"/>
        </w:trPr>
        <w:tc>
          <w:tcPr>
            <w:tcW w:type="dxa" w:w="180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강도</w:t>
            </w:r>
          </w:p>
        </w:tc>
        <w:tc>
          <w:tcPr>
            <w:tcW w:type="dxa" w:w="7838"/>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효과의 크기는 어느 정도로 추정되는가</w:t>
            </w:r>
          </w:p>
        </w:tc>
      </w:tr>
      <w:tr>
        <w:trPr>
          <w:cantSplit/>
          <w:tblHeader w:val="false"/>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신뢰도</w:t>
            </w:r>
          </w:p>
        </w:tc>
        <w:tc>
          <w:tcPr>
            <w:tcW w:type="dxa" w:w="783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근거 데이터의 등급과 레이어 간 수렴 정도는 어떠한가</w:t>
            </w:r>
          </w:p>
        </w:tc>
      </w:tr>
      <w:tr>
        <w:trPr>
          <w:cantSplit/>
          <w:tblHeader w:val="false"/>
        </w:trPr>
        <w:tc>
          <w:tcPr>
            <w:tcW w:type="dxa" w:w="180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변화</w:t>
            </w:r>
          </w:p>
        </w:tc>
        <w:tc>
          <w:tcPr>
            <w:tcW w:type="dxa" w:w="7838"/>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직전 분석 대비 판단이 바뀌었는가, 바뀌었다면 무엇 때문인가</w:t>
            </w:r>
          </w:p>
        </w:tc>
      </w:tr>
    </w:tbl>
    <w:p>
      <w:pPr>
        <w:spacing w:after="200" w:before="0"/>
      </w:pPr>
    </w:p>
    <w:p>
      <w:pPr>
        <w:keepNext w:val="false"/>
        <w:spacing w:after="130" w:before="60" w:line="310"/>
        <w:jc w:val="both"/>
      </w:pPr>
      <w:r>
        <w:rPr>
          <w:rFonts w:ascii="맑은 고딕" w:cs="맑은 고딕" w:eastAsia="맑은 고딕" w:hAnsi="맑은 고딕"/>
          <w:b w:val="false"/>
          <w:bCs w:val="false"/>
          <w:i w:val="false"/>
          <w:iCs w:val="false"/>
          <w:color w:val="1A1A1A"/>
          <w:sz w:val="20"/>
          <w:szCs w:val="20"/>
        </w:rPr>
        <w:t xml:space="preserve">신뢰도가 기준에 미달하면 수치 제시를 포기하고 정성 등급으로 전환하거나 판단을 유보합니다. </w:t>
      </w:r>
      <w:r>
        <w:rPr>
          <w:rFonts w:ascii="맑은 고딕" w:cs="맑은 고딕" w:eastAsia="맑은 고딕" w:hAnsi="맑은 고딕"/>
          <w:b/>
          <w:bCs/>
          <w:i w:val="false"/>
          <w:iCs w:val="false"/>
          <w:color w:val="1A1A1A"/>
          <w:sz w:val="20"/>
          <w:szCs w:val="20"/>
        </w:rPr>
        <w:t xml:space="preserve">낮은 확신을 높은 확신처럼 표현하지 않는 것</w:t>
      </w:r>
      <w:r>
        <w:rPr>
          <w:rFonts w:ascii="맑은 고딕" w:cs="맑은 고딕" w:eastAsia="맑은 고딕" w:hAnsi="맑은 고딕"/>
          <w:b w:val="false"/>
          <w:bCs w:val="false"/>
          <w:i w:val="false"/>
          <w:iCs w:val="false"/>
          <w:color w:val="1A1A1A"/>
          <w:sz w:val="20"/>
          <w:szCs w:val="20"/>
        </w:rPr>
        <w:t xml:space="preserve">이 본 방법론의 최종 규율입니다.</w:t>
      </w:r>
    </w:p>
    <w:p>
      <w:pPr>
        <w:keepNext w:val="false"/>
        <w:spacing w:after="130" w:before="60" w:line="310"/>
        <w:jc w:val="both"/>
      </w:pPr>
      <w:r>
        <w:rPr>
          <w:rFonts w:ascii="맑은 고딕" w:cs="맑은 고딕" w:eastAsia="맑은 고딕" w:hAnsi="맑은 고딕"/>
          <w:b/>
          <w:bCs/>
          <w:i w:val="false"/>
          <w:iCs w:val="false"/>
          <w:color w:val="1A1A1A"/>
          <w:sz w:val="20"/>
          <w:szCs w:val="20"/>
        </w:rPr>
        <w:t xml:space="preserve">모르는 것은 0이 아닙니다.</w:t>
      </w:r>
      <w:r>
        <w:rPr>
          <w:rFonts w:ascii="맑은 고딕" w:cs="맑은 고딕" w:eastAsia="맑은 고딕" w:hAnsi="맑은 고딕"/>
          <w:b w:val="false"/>
          <w:bCs w:val="false"/>
          <w:i w:val="false"/>
          <w:iCs w:val="false"/>
          <w:color w:val="1A1A1A"/>
          <w:sz w:val="20"/>
          <w:szCs w:val="20"/>
        </w:rPr>
        <w:t xml:space="preserve"> 표본이 기준에 미달하면 해당 지표를 '미산출'로 표기하며, 0이나 공란으로 대체하지 않습니다. 예를 들어 소득 표본이 부족해 구매 가능 가구 비율을 낼 수 없을 때 "0%"로 적으면 "수요가 전혀 없다"는 전혀 다른 주장이 되고, 그 값이 수요 판정의 점수로 들어가면 판정 자체가 오염됩니다. 미산출 지표는 판정 계산에서 제외되고 그 사유가 함께 기록됩니다.</w:t>
      </w:r>
    </w:p>
    <w:p>
      <w:pPr>
        <w:pStyle w:val="Heading3"/>
        <w:keepNext/>
        <w:spacing w:after="110" w:before="240"/>
      </w:pPr>
      <w:r>
        <w:rPr>
          <w:rFonts w:ascii="맑은 고딕" w:cs="맑은 고딕" w:eastAsia="맑은 고딕" w:hAnsi="맑은 고딕"/>
          <w:b/>
          <w:bCs/>
          <w:color w:val="5A5A5A"/>
          <w:sz w:val="20"/>
          <w:szCs w:val="20"/>
        </w:rPr>
        <w:t xml:space="preserve">5.4.6 조정계수의 교정 — 계수도 검증 대상이다</w:t>
      </w:r>
    </w:p>
    <w:p>
      <w:pPr>
        <w:keepNext w:val="false"/>
        <w:spacing w:after="130" w:before="60" w:line="310"/>
        <w:jc w:val="both"/>
      </w:pPr>
      <w:r>
        <w:rPr>
          <w:rFonts w:ascii="맑은 고딕" w:cs="맑은 고딕" w:eastAsia="맑은 고딕" w:hAnsi="맑은 고딕"/>
          <w:b w:val="false"/>
          <w:bCs w:val="false"/>
          <w:i w:val="false"/>
          <w:iCs w:val="false"/>
          <w:color w:val="1A1A1A"/>
          <w:sz w:val="20"/>
          <w:szCs w:val="20"/>
        </w:rPr>
        <w:t xml:space="preserve">품질조정 가격 밴드(5.5)는 비교 거래를 연식·층·거래시점 차이만큼 보정해 표준화합니다. 그 보정률이 문헌·경험 기반의 초기값에 머물면, </w:t>
      </w:r>
      <w:r>
        <w:rPr>
          <w:rFonts w:ascii="맑은 고딕" w:cs="맑은 고딕" w:eastAsia="맑은 고딕" w:hAnsi="맑은 고딕"/>
          <w:b/>
          <w:bCs/>
          <w:i w:val="false"/>
          <w:iCs w:val="false"/>
          <w:color w:val="1A1A1A"/>
          <w:sz w:val="20"/>
          <w:szCs w:val="20"/>
        </w:rPr>
        <w:t xml:space="preserve">밴드 전체가 검증되지 않은 계수 위에 서 있는 셈</w:t>
      </w:r>
      <w:r>
        <w:rPr>
          <w:rFonts w:ascii="맑은 고딕" w:cs="맑은 고딕" w:eastAsia="맑은 고딕" w:hAnsi="맑은 고딕"/>
          <w:b w:val="false"/>
          <w:bCs w:val="false"/>
          <w:i w:val="false"/>
          <w:iCs w:val="false"/>
          <w:color w:val="1A1A1A"/>
          <w:sz w:val="20"/>
          <w:szCs w:val="20"/>
        </w:rPr>
        <w:t xml:space="preserve">입니다. 다른 모든 수치를 검증하면서 계수만 예외로 두는 것은 일관성이 없습니다.</w:t>
      </w:r>
    </w:p>
    <w:p>
      <w:pPr>
        <w:keepNext w:val="false"/>
        <w:spacing w:after="130" w:before="60" w:line="310"/>
        <w:jc w:val="both"/>
      </w:pPr>
      <w:r>
        <w:rPr>
          <w:rFonts w:ascii="맑은 고딕" w:cs="맑은 고딕" w:eastAsia="맑은 고딕" w:hAnsi="맑은 고딕"/>
          <w:b w:val="false"/>
          <w:bCs w:val="false"/>
          <w:i w:val="false"/>
          <w:iCs w:val="false"/>
          <w:color w:val="1A1A1A"/>
          <w:sz w:val="20"/>
          <w:szCs w:val="20"/>
        </w:rPr>
        <w:t xml:space="preserve">당사는 계수를 실거래로 추정하고, 추정치가 검증을 통과할 때만 교체합니다.</w:t>
      </w:r>
    </w:p>
    <w:p>
      <w:pPr>
        <w:keepNext/>
        <w:spacing w:after="90" w:before="220"/>
      </w:pPr>
      <w:r>
        <w:rPr>
          <w:rFonts w:ascii="맑은 고딕" w:cs="맑은 고딕" w:eastAsia="맑은 고딕" w:hAnsi="맑은 고딕"/>
          <w:b/>
          <w:bCs/>
          <w:color w:val="1F3864"/>
          <w:sz w:val="18"/>
          <w:szCs w:val="18"/>
        </w:rPr>
        <w:t xml:space="preserve">[표 5-13-1] 조정계수 교정 절차</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7838"/>
      </w:tblGrid>
      <w:tr>
        <w:trPr>
          <w:cantSplit/>
          <w:tblHeader/>
        </w:trPr>
        <w:tc>
          <w:tcPr>
            <w:tcW w:type="dxa" w:w="1800"/>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단계</w:t>
            </w:r>
          </w:p>
        </w:tc>
        <w:tc>
          <w:tcPr>
            <w:tcW w:type="dxa" w:w="7838"/>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내용</w:t>
            </w:r>
          </w:p>
        </w:tc>
      </w:tr>
      <w:tr>
        <w:trPr>
          <w:cantSplit/>
          <w:tblHeader w:val="false"/>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① 추정</w:t>
            </w:r>
          </w:p>
        </w:tc>
        <w:tc>
          <w:tcPr>
            <w:tcW w:type="dxa" w:w="783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㎡당 가격의 로그값을 연식·층 구간·면적·거리·브랜드·분양권 여부·시간에 회귀합니다. 연식과 시간 추세를 동시에 넣어 '구축 할인'과 '시장 등락'을 분리합니다</w:t>
            </w:r>
          </w:p>
        </w:tc>
      </w:tr>
      <w:tr>
        <w:trPr>
          <w:cantSplit/>
          <w:tblHeader w:val="false"/>
        </w:trPr>
        <w:tc>
          <w:tcPr>
            <w:tcW w:type="dxa" w:w="180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② 게이트</w:t>
            </w:r>
          </w:p>
        </w:tc>
        <w:tc>
          <w:tcPr>
            <w:tcW w:type="dxa" w:w="7838"/>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계수마다 표본 수·통계적 유의성·부호·크기 상한을 검사합니다. 하나라도 통과하지 못하면 그 계수는 </w:t>
            </w:r>
            <w:r>
              <w:rPr>
                <w:rFonts w:ascii="맑은 고딕" w:cs="맑은 고딕" w:eastAsia="맑은 고딕" w:hAnsi="맑은 고딕"/>
                <w:b/>
                <w:bCs/>
                <w:color w:val="1A1A1A"/>
                <w:sz w:val="18"/>
                <w:szCs w:val="18"/>
              </w:rPr>
              <w:t xml:space="preserve">기존 값을 유지</w:t>
            </w:r>
            <w:r>
              <w:rPr>
                <w:rFonts w:ascii="맑은 고딕" w:cs="맑은 고딕" w:eastAsia="맑은 고딕" w:hAnsi="맑은 고딕"/>
                <w:color w:val="1A1A1A"/>
                <w:sz w:val="18"/>
                <w:szCs w:val="18"/>
              </w:rPr>
              <w:t xml:space="preserve">하고 사유를 기록합니다</w:t>
            </w:r>
          </w:p>
        </w:tc>
      </w:tr>
      <w:tr>
        <w:trPr>
          <w:cantSplit/>
          <w:tblHeader w:val="false"/>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③ 홀드아웃 검증</w:t>
            </w:r>
          </w:p>
        </w:tc>
        <w:tc>
          <w:tcPr>
            <w:tcW w:type="dxa" w:w="783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앞 70% 기간으로만 계수를 재추정해 뒤 30% 기간에 적용하고, 조정 후 잔차 분산이 실제로 줄어드는지 확인합니다. 줄지 않으면 기각합니다</w:t>
            </w:r>
          </w:p>
        </w:tc>
      </w:tr>
      <w:tr>
        <w:trPr>
          <w:cantSplit/>
          <w:tblHeader w:val="false"/>
        </w:trPr>
        <w:tc>
          <w:tcPr>
            <w:tcW w:type="dxa" w:w="180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④ 표기</w:t>
            </w:r>
          </w:p>
        </w:tc>
        <w:tc>
          <w:tcPr>
            <w:tcW w:type="dxa" w:w="7838"/>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교체 여부와 무관하게, 리포트의 모델 카드에 현재 계수의 출처가 '초기값(미교정)'인지 '실데이터 교정값'인지 명시됩니다</w:t>
            </w:r>
          </w:p>
        </w:tc>
      </w:tr>
    </w:tbl>
    <w:p>
      <w:pPr>
        <w:spacing w:after="200" w:before="0"/>
      </w:pPr>
    </w:p>
    <w:p>
      <w:pPr>
        <w:keepNext w:val="false"/>
        <w:spacing w:after="130" w:before="60" w:line="310"/>
        <w:jc w:val="both"/>
      </w:pPr>
      <w:r>
        <w:rPr>
          <w:rFonts w:ascii="맑은 고딕" w:cs="맑은 고딕" w:eastAsia="맑은 고딕" w:hAnsi="맑은 고딕"/>
          <w:b/>
          <w:bCs/>
          <w:i w:val="false"/>
          <w:iCs w:val="false"/>
          <w:color w:val="1A1A1A"/>
          <w:sz w:val="20"/>
          <w:szCs w:val="20"/>
        </w:rPr>
        <w:t xml:space="preserve">적중률을 채택 기준으로 쓰지 않는 이유.</w:t>
      </w:r>
      <w:r>
        <w:rPr>
          <w:rFonts w:ascii="맑은 고딕" w:cs="맑은 고딕" w:eastAsia="맑은 고딕" w:hAnsi="맑은 고딕"/>
          <w:b w:val="false"/>
          <w:bCs w:val="false"/>
          <w:i w:val="false"/>
          <w:iCs w:val="false"/>
          <w:color w:val="1A1A1A"/>
          <w:sz w:val="20"/>
          <w:szCs w:val="20"/>
        </w:rPr>
        <w:t xml:space="preserve"> 적중률(부록 E.2)은 구간의 '폭'이 제대로 보정됐는지를 재는 지표입니다. 계수를 바꾸면 밴드와 실현값이 같은 방향으로 함께 움직이므로 적중률은 거의 변하지 않습니다 — 계수 정확도에 둔감한 지표입니다. 따라서 채택은 잔차 분산으로 판단하고, 적중률은 크게 나빠지지 않았는지 확인하는 안전장치로만 사용합니다.</w:t>
      </w:r>
    </w:p>
    <w:p>
      <w:pPr>
        <w:keepNext w:val="false"/>
        <w:spacing w:after="130" w:before="60" w:line="310"/>
        <w:jc w:val="both"/>
      </w:pPr>
      <w:r>
        <w:rPr>
          <w:rFonts w:ascii="맑은 고딕" w:cs="맑은 고딕" w:eastAsia="맑은 고딕" w:hAnsi="맑은 고딕"/>
          <w:b w:val="false"/>
          <w:bCs w:val="false"/>
          <w:i w:val="false"/>
          <w:iCs w:val="false"/>
          <w:color w:val="1A1A1A"/>
          <w:sz w:val="20"/>
          <w:szCs w:val="20"/>
        </w:rPr>
        <w:t xml:space="preserve">계수는 자동으로 좋아지지 않습니다. </w:t>
      </w:r>
      <w:r>
        <w:rPr>
          <w:rFonts w:ascii="맑은 고딕" w:cs="맑은 고딕" w:eastAsia="맑은 고딕" w:hAnsi="맑은 고딕"/>
          <w:b/>
          <w:bCs/>
          <w:i w:val="false"/>
          <w:iCs w:val="false"/>
          <w:color w:val="1A1A1A"/>
          <w:sz w:val="20"/>
          <w:szCs w:val="20"/>
        </w:rPr>
        <w:t xml:space="preserve">교정이 기각되면 기존 예시값이 유지되고, 그 사실이 리포트에 남습니다.</w:t>
      </w:r>
      <w:r>
        <w:rPr>
          <w:rFonts w:ascii="맑은 고딕" w:cs="맑은 고딕" w:eastAsia="맑은 고딕" w:hAnsi="맑은 고딕"/>
          <w:b w:val="false"/>
          <w:bCs w:val="false"/>
          <w:i w:val="false"/>
          <w:iCs w:val="false"/>
          <w:color w:val="1A1A1A"/>
          <w:sz w:val="20"/>
          <w:szCs w:val="20"/>
        </w:rPr>
        <w:t xml:space="preserve"> 이 절차의 목적은 계수를 바꾸는 것이 아니라, 계수가 어떤 상태인지 발주처가 알 수 있게 하는 것입니다.</w:t>
      </w:r>
    </w:p>
    <w:p>
      <w:pPr>
        <w:pStyle w:val="Heading2"/>
        <w:keepNext/>
        <w:spacing w:after="140" w:before="300"/>
      </w:pPr>
      <w:r>
        <w:rPr>
          <w:rFonts w:ascii="맑은 고딕" w:cs="맑은 고딕" w:eastAsia="맑은 고딕" w:hAnsi="맑은 고딕"/>
          <w:b/>
          <w:bCs/>
          <w:color w:val="1A1A1A"/>
          <w:sz w:val="23"/>
          <w:szCs w:val="23"/>
        </w:rPr>
        <w:t xml:space="preserve">5.5 가격·시장 검증 모듈</w:t>
      </w:r>
    </w:p>
    <w:p>
      <w:pPr>
        <w:keepNext w:val="false"/>
        <w:spacing w:after="130" w:before="60" w:line="310"/>
        <w:jc w:val="both"/>
      </w:pPr>
      <w:r>
        <w:rPr>
          <w:rFonts w:ascii="맑은 고딕" w:cs="맑은 고딕" w:eastAsia="맑은 고딕" w:hAnsi="맑은 고딕"/>
          <w:b w:val="false"/>
          <w:bCs w:val="false"/>
          <w:i w:val="false"/>
          <w:iCs w:val="false"/>
          <w:color w:val="1A1A1A"/>
          <w:sz w:val="20"/>
          <w:szCs w:val="20"/>
        </w:rPr>
        <w:t xml:space="preserve">프레임워크의 15개 레이어가 수요·공급·흐름을 검증한 위에서, 가격 질문에 답하는 전용 모듈이 작동합니다.</w:t>
      </w:r>
    </w:p>
    <w:p>
      <w:pPr>
        <w:keepNext/>
        <w:spacing w:after="90" w:before="220"/>
      </w:pPr>
      <w:r>
        <w:rPr>
          <w:rFonts w:ascii="맑은 고딕" w:cs="맑은 고딕" w:eastAsia="맑은 고딕" w:hAnsi="맑은 고딕"/>
          <w:b/>
          <w:bCs/>
          <w:color w:val="1F3864"/>
          <w:sz w:val="18"/>
          <w:szCs w:val="18"/>
        </w:rPr>
        <w:t xml:space="preserve">[표 5-14] 가격 검증 4요소</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0"/>
        <w:gridCol w:w="3486"/>
        <w:gridCol w:w="5002"/>
      </w:tblGrid>
      <w:tr>
        <w:trPr>
          <w:cantSplit/>
          <w:tblHeader/>
        </w:trPr>
        <w:tc>
          <w:tcPr>
            <w:tcW w:type="dxa" w:w="1150"/>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요소</w:t>
            </w:r>
          </w:p>
        </w:tc>
        <w:tc>
          <w:tcPr>
            <w:tcW w:type="dxa" w:w="3486"/>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산출 내용</w:t>
            </w:r>
          </w:p>
        </w:tc>
        <w:tc>
          <w:tcPr>
            <w:tcW w:type="dxa" w:w="5002"/>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활용</w:t>
            </w:r>
          </w:p>
        </w:tc>
      </w:tr>
      <w:tr>
        <w:trPr>
          <w:cantSplit/>
          <w:tblHeader w:val="false"/>
        </w:trPr>
        <w:tc>
          <w:tcPr>
            <w:tcW w:type="dxa" w:w="115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총취득원가</w:t>
            </w:r>
          </w:p>
        </w:tc>
        <w:tc>
          <w:tcPr>
            <w:tcW w:type="dxa" w:w="348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분양가 + 옵션 + 발코니 확장 + 세금 + 금융·필수 비용</w:t>
            </w:r>
          </w:p>
        </w:tc>
        <w:tc>
          <w:tcPr>
            <w:tcW w:type="dxa" w:w="5002"/>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고객이 실제로 계산하는 금액. 이 기준으로 비교하지 않는 가격 우위 주장은 상담 단계에서 성립하지 않음</w:t>
            </w:r>
          </w:p>
        </w:tc>
      </w:tr>
      <w:tr>
        <w:trPr>
          <w:cantSplit/>
          <w:tblHeader w:val="false"/>
        </w:trPr>
        <w:tc>
          <w:tcPr>
            <w:tcW w:type="dxa" w:w="115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품질조정 현재가격</w:t>
            </w:r>
          </w:p>
        </w:tc>
        <w:tc>
          <w:tcPr>
            <w:tcW w:type="dxa" w:w="3486"/>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비교단지와의 연식·입지·규모·브랜드·평형·층·거래시점 차이를 조정</w:t>
            </w:r>
          </w:p>
        </w:tc>
        <w:tc>
          <w:tcPr>
            <w:tcW w:type="dxa" w:w="5002"/>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"같은 가격"이 아니라 </w:t>
            </w:r>
            <w:r>
              <w:rPr>
                <w:rFonts w:ascii="맑은 고딕" w:cs="맑은 고딕" w:eastAsia="맑은 고딕" w:hAnsi="맑은 고딕"/>
                <w:b/>
                <w:bCs/>
                <w:color w:val="1A1A1A"/>
                <w:sz w:val="18"/>
                <w:szCs w:val="18"/>
              </w:rPr>
              <w:t xml:space="preserve">"같은 조건"</w:t>
            </w:r>
            <w:r>
              <w:rPr>
                <w:rFonts w:ascii="맑은 고딕" w:cs="맑은 고딕" w:eastAsia="맑은 고딕" w:hAnsi="맑은 고딕"/>
                <w:color w:val="1A1A1A"/>
                <w:sz w:val="18"/>
                <w:szCs w:val="18"/>
              </w:rPr>
              <w:t xml:space="preserve">으로 비교</w:t>
            </w:r>
          </w:p>
        </w:tc>
      </w:tr>
      <w:tr>
        <w:trPr>
          <w:cantSplit/>
          <w:tblHeader w:val="false"/>
        </w:trPr>
        <w:tc>
          <w:tcPr>
            <w:tcW w:type="dxa" w:w="115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시장 대비 위치</w:t>
            </w:r>
          </w:p>
        </w:tc>
        <w:tc>
          <w:tcPr>
            <w:tcW w:type="dxa" w:w="348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시장 지수 대비 해당 생활권·단지의 초과·미달 성과</w:t>
            </w:r>
          </w:p>
        </w:tc>
        <w:tc>
          <w:tcPr>
            <w:tcW w:type="dxa" w:w="5002"/>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현장 가격이 시장 흐름 안에서 어느 구간에 있는지 판정</w:t>
            </w:r>
          </w:p>
        </w:tc>
      </w:tr>
      <w:tr>
        <w:trPr>
          <w:cantSplit/>
          <w:tblHeader w:val="false"/>
        </w:trPr>
        <w:tc>
          <w:tcPr>
            <w:tcW w:type="dxa" w:w="115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환금성</w:t>
            </w:r>
          </w:p>
        </w:tc>
        <w:tc>
          <w:tcPr>
            <w:tcW w:type="dxa" w:w="3486"/>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거래량·회전율·매도 소요기간·전세 유동성·가격 분산</w:t>
            </w:r>
          </w:p>
        </w:tc>
        <w:tc>
          <w:tcPr>
            <w:tcW w:type="dxa" w:w="5002"/>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투자 수요의 핵심 질문에 대한 답. 유리하지 않은 결과도 기록</w:t>
            </w:r>
          </w:p>
        </w:tc>
      </w:tr>
    </w:tbl>
    <w:p>
      <w:pPr>
        <w:spacing w:after="200" w:before="0"/>
      </w:pPr>
    </w:p>
    <w:p>
      <w:pPr>
        <w:keepNext w:val="false"/>
        <w:spacing w:after="130" w:before="60" w:line="310"/>
        <w:jc w:val="both"/>
      </w:pPr>
      <w:r>
        <w:rPr>
          <w:rFonts w:ascii="맑은 고딕" w:cs="맑은 고딕" w:eastAsia="맑은 고딕" w:hAnsi="맑은 고딕"/>
          <w:b/>
          <w:bCs/>
          <w:i w:val="false"/>
          <w:iCs w:val="false"/>
          <w:color w:val="1A1A1A"/>
          <w:sz w:val="20"/>
          <w:szCs w:val="20"/>
        </w:rPr>
        <w:t xml:space="preserve">산출 정밀도.</w:t>
      </w:r>
      <w:r>
        <w:rPr>
          <w:rFonts w:ascii="맑은 고딕" w:cs="맑은 고딕" w:eastAsia="맑은 고딕" w:hAnsi="맑은 고딕"/>
          <w:b w:val="false"/>
          <w:bCs w:val="false"/>
          <w:i w:val="false"/>
          <w:iCs w:val="false"/>
          <w:color w:val="1A1A1A"/>
          <w:sz w:val="20"/>
          <w:szCs w:val="20"/>
        </w:rPr>
        <w:t xml:space="preserve"> 가격 검증은 현장 총평 수준에서 끝나지 않습니다. 품질조정 모델은 평형(타입)·층·향·동 위치의 차이를 조정 변수로 반영하므로, 산출물은 </w:t>
      </w:r>
      <w:r>
        <w:rPr>
          <w:rFonts w:ascii="맑은 고딕" w:cs="맑은 고딕" w:eastAsia="맑은 고딕" w:hAnsi="맑은 고딕"/>
          <w:b/>
          <w:bCs/>
          <w:i w:val="false"/>
          <w:iCs w:val="false"/>
          <w:color w:val="1A1A1A"/>
          <w:sz w:val="20"/>
          <w:szCs w:val="20"/>
        </w:rPr>
        <w:t xml:space="preserve">타입·층 구간 단위의 가격 밴드</w:t>
      </w:r>
      <w:r>
        <w:rPr>
          <w:rFonts w:ascii="맑은 고딕" w:cs="맑은 고딕" w:eastAsia="맑은 고딕" w:hAnsi="맑은 고딕"/>
          <w:b w:val="false"/>
          <w:bCs w:val="false"/>
          <w:i w:val="false"/>
          <w:iCs w:val="false"/>
          <w:color w:val="1A1A1A"/>
          <w:sz w:val="20"/>
          <w:szCs w:val="20"/>
        </w:rPr>
        <w:t xml:space="preserve">로 제시됩니다. 이 정밀도는 두 가지 실무 요구에 대응합니다 — 첫째, 잔여 세대의 타입·층별 판촉 우선순위 판단. 둘째, 상담 현장에서 "이 동·이 층은 왜 이 가격인가"라는 세대 단위 질문에 대한 근거 있는 답변.</w:t>
      </w:r>
    </w:p>
    <w:p>
      <w:pPr>
        <w:keepNext w:val="false"/>
        <w:spacing w:after="130" w:before="60" w:line="310"/>
        <w:jc w:val="both"/>
      </w:pPr>
      <w:r>
        <w:rPr>
          <w:rFonts w:ascii="맑은 고딕" w:cs="맑은 고딕" w:eastAsia="맑은 고딕" w:hAnsi="맑은 고딕"/>
          <w:b/>
          <w:bCs/>
          <w:i w:val="false"/>
          <w:iCs w:val="false"/>
          <w:color w:val="1A1A1A"/>
          <w:sz w:val="20"/>
          <w:szCs w:val="20"/>
        </w:rPr>
        <w:t xml:space="preserve">전세 기반 하방 점검.</w:t>
      </w:r>
      <w:r>
        <w:rPr>
          <w:rFonts w:ascii="맑은 고딕" w:cs="맑은 고딕" w:eastAsia="맑은 고딕" w:hAnsi="맑은 고딕"/>
          <w:b w:val="false"/>
          <w:bCs w:val="false"/>
          <w:i w:val="false"/>
          <w:iCs w:val="false"/>
          <w:color w:val="1A1A1A"/>
          <w:sz w:val="20"/>
          <w:szCs w:val="20"/>
        </w:rPr>
        <w:t xml:space="preserve"> 매매 실거래만으로는 "이 가격이 비싼가"에는 답할 수 있어도 </w:t>
      </w:r>
      <w:r>
        <w:rPr>
          <w:rFonts w:ascii="맑은 고딕" w:cs="맑은 고딕" w:eastAsia="맑은 고딕" w:hAnsi="맑은 고딕"/>
          <w:b/>
          <w:bCs/>
          <w:i w:val="false"/>
          <w:iCs w:val="false"/>
          <w:color w:val="1A1A1A"/>
          <w:sz w:val="20"/>
          <w:szCs w:val="20"/>
        </w:rPr>
        <w:t xml:space="preserve">"얼마나 밀릴 수 있는가"</w:t>
      </w:r>
      <w:r>
        <w:rPr>
          <w:rFonts w:ascii="맑은 고딕" w:cs="맑은 고딕" w:eastAsia="맑은 고딕" w:hAnsi="맑은 고딕"/>
          <w:b w:val="false"/>
          <w:bCs w:val="false"/>
          <w:i w:val="false"/>
          <w:iCs w:val="false"/>
          <w:color w:val="1A1A1A"/>
          <w:sz w:val="20"/>
          <w:szCs w:val="20"/>
        </w:rPr>
        <w:t xml:space="preserve">에는 답할 수 없습니다. 매매가에는 미래 기대가 섞여 있기 때문입니다. 전세가는 실거주 수요가 지금 지불하는 금액이라 기대가 섞이지 않으므로, 전세가율을 가격 하락 시의 </w:t>
      </w:r>
      <w:r>
        <w:rPr>
          <w:rFonts w:ascii="맑은 고딕" w:cs="맑은 고딕" w:eastAsia="맑은 고딕" w:hAnsi="맑은 고딕"/>
          <w:b/>
          <w:bCs/>
          <w:i w:val="false"/>
          <w:iCs w:val="false"/>
          <w:color w:val="1A1A1A"/>
          <w:sz w:val="20"/>
          <w:szCs w:val="20"/>
        </w:rPr>
        <w:t xml:space="preserve">완충 두께</w:t>
      </w:r>
      <w:r>
        <w:rPr>
          <w:rFonts w:ascii="맑은 고딕" w:cs="맑은 고딕" w:eastAsia="맑은 고딕" w:hAnsi="맑은 고딕"/>
          <w:b w:val="false"/>
          <w:bCs w:val="false"/>
          <w:i w:val="false"/>
          <w:iCs w:val="false"/>
          <w:color w:val="1A1A1A"/>
          <w:sz w:val="20"/>
          <w:szCs w:val="20"/>
        </w:rPr>
        <w:t xml:space="preserve">로 읽습니다.</w:t>
      </w:r>
    </w:p>
    <w:p>
      <w:pPr>
        <w:keepNext/>
        <w:spacing w:after="90" w:before="220"/>
      </w:pPr>
      <w:r>
        <w:rPr>
          <w:rFonts w:ascii="맑은 고딕" w:cs="맑은 고딕" w:eastAsia="맑은 고딕" w:hAnsi="맑은 고딕"/>
          <w:b/>
          <w:bCs/>
          <w:color w:val="1F3864"/>
          <w:sz w:val="18"/>
          <w:szCs w:val="18"/>
        </w:rPr>
        <w:t xml:space="preserve">[표 5-14-1] 전세 기반 하방 점검</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7838"/>
      </w:tblGrid>
      <w:tr>
        <w:trPr>
          <w:cantSplit/>
          <w:tblHeader/>
        </w:trPr>
        <w:tc>
          <w:tcPr>
            <w:tcW w:type="dxa" w:w="1800"/>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산출</w:t>
            </w:r>
          </w:p>
        </w:tc>
        <w:tc>
          <w:tcPr>
            <w:tcW w:type="dxa" w:w="7838"/>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내용</w:t>
            </w:r>
          </w:p>
        </w:tc>
      </w:tr>
      <w:tr>
        <w:trPr>
          <w:cantSplit/>
          <w:tblHeader w:val="false"/>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전세가율</w:t>
            </w:r>
          </w:p>
        </w:tc>
        <w:tc>
          <w:tcPr>
            <w:tcW w:type="dxa" w:w="783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전세 ㎡단가 ÷ 매매 ㎡단가. 70% 이상 하방 지지 두터움 / 55% 미만 완충 얇음</w:t>
            </w:r>
          </w:p>
        </w:tc>
      </w:tr>
      <w:tr>
        <w:trPr>
          <w:cantSplit/>
          <w:tblHeader w:val="false"/>
        </w:trPr>
        <w:tc>
          <w:tcPr>
            <w:tcW w:type="dxa" w:w="180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전세가율 추세</w:t>
            </w:r>
          </w:p>
        </w:tc>
        <w:tc>
          <w:tcPr>
            <w:tcW w:type="dxa" w:w="7838"/>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직전 동일 기간 대비 증감. 상승은 실거주 수요 강화, 하락은 약화 신호</w:t>
            </w:r>
          </w:p>
        </w:tc>
      </w:tr>
      <w:tr>
        <w:trPr>
          <w:cantSplit/>
          <w:tblHeader w:val="false"/>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전월세전환율</w:t>
            </w:r>
          </w:p>
        </w:tc>
        <w:tc>
          <w:tcPr>
            <w:tcW w:type="dxa" w:w="783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월세 시장이 요구하는 수익률. 전세 대비 월세 부담의 상대 수준</w:t>
            </w:r>
          </w:p>
        </w:tc>
      </w:tr>
      <w:tr>
        <w:trPr>
          <w:cantSplit/>
          <w:tblHeader w:val="false"/>
        </w:trPr>
        <w:tc>
          <w:tcPr>
            <w:tcW w:type="dxa" w:w="180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분양가 전세 충당율</w:t>
            </w:r>
          </w:p>
        </w:tc>
        <w:tc>
          <w:tcPr>
            <w:tcW w:type="dxa" w:w="7838"/>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총취득원가 중 전세보증금으로 회수 가능한 비율. 투자 수요의 실제 자금 부담을 근거 있는 수치로 설명</w:t>
            </w:r>
          </w:p>
        </w:tc>
      </w:tr>
    </w:tbl>
    <w:p>
      <w:pPr>
        <w:spacing w:after="200" w:before="0"/>
      </w:pPr>
    </w:p>
    <w:p>
      <w:pPr>
        <w:keepNext w:val="false"/>
        <w:spacing w:after="130" w:before="60" w:line="310"/>
        <w:jc w:val="both"/>
      </w:pPr>
      <w:r>
        <w:rPr>
          <w:rFonts w:ascii="맑은 고딕" w:cs="맑은 고딕" w:eastAsia="맑은 고딕" w:hAnsi="맑은 고딕"/>
          <w:b w:val="false"/>
          <w:bCs w:val="false"/>
          <w:i w:val="false"/>
          <w:iCs w:val="false"/>
          <w:color w:val="1A1A1A"/>
          <w:sz w:val="20"/>
          <w:szCs w:val="20"/>
        </w:rPr>
        <w:t xml:space="preserve">가격 판정(5.8 ①)에는 다음과 같이 반영됩니다 — 총취득원가가 밴드 상단인데 전세 완충까지 얇으면 두 신호가 같은 방향을 가리키므로 하방 위험의 </w:t>
      </w:r>
      <w:r>
        <w:rPr>
          <w:rFonts w:ascii="맑은 고딕" w:cs="맑은 고딕" w:eastAsia="맑은 고딕" w:hAnsi="맑은 고딕"/>
          <w:b/>
          <w:bCs/>
          <w:i w:val="false"/>
          <w:iCs w:val="false"/>
          <w:color w:val="1A1A1A"/>
          <w:sz w:val="20"/>
          <w:szCs w:val="20"/>
        </w:rPr>
        <w:t xml:space="preserve">강도를 상향</w:t>
      </w:r>
      <w:r>
        <w:rPr>
          <w:rFonts w:ascii="맑은 고딕" w:cs="맑은 고딕" w:eastAsia="맑은 고딕" w:hAnsi="맑은 고딕"/>
          <w:b w:val="false"/>
          <w:bCs w:val="false"/>
          <w:i w:val="false"/>
          <w:iCs w:val="false"/>
          <w:color w:val="1A1A1A"/>
          <w:sz w:val="20"/>
          <w:szCs w:val="20"/>
        </w:rPr>
        <w:t xml:space="preserve">하고, 완충이 두터우면 </w:t>
      </w:r>
      <w:r>
        <w:rPr>
          <w:rFonts w:ascii="맑은 고딕" w:cs="맑은 고딕" w:eastAsia="맑은 고딕" w:hAnsi="맑은 고딕"/>
          <w:b/>
          <w:bCs/>
          <w:i w:val="false"/>
          <w:iCs w:val="false"/>
          <w:color w:val="1A1A1A"/>
          <w:sz w:val="20"/>
          <w:szCs w:val="20"/>
        </w:rPr>
        <w:t xml:space="preserve">강도를 하향</w:t>
      </w:r>
      <w:r>
        <w:rPr>
          <w:rFonts w:ascii="맑은 고딕" w:cs="맑은 고딕" w:eastAsia="맑은 고딕" w:hAnsi="맑은 고딕"/>
          <w:b w:val="false"/>
          <w:bCs w:val="false"/>
          <w:i w:val="false"/>
          <w:iCs w:val="false"/>
          <w:color w:val="1A1A1A"/>
          <w:sz w:val="20"/>
          <w:szCs w:val="20"/>
        </w:rPr>
        <w:t xml:space="preserve">합니다.</w:t>
      </w:r>
    </w:p>
    <w:p>
      <w:pPr>
        <w:keepNext w:val="false"/>
        <w:spacing w:after="130" w:before="60" w:line="310"/>
        <w:jc w:val="both"/>
      </w:pPr>
      <w:r>
        <w:rPr>
          <w:rFonts w:ascii="맑은 고딕" w:cs="맑은 고딕" w:eastAsia="맑은 고딕" w:hAnsi="맑은 고딕"/>
          <w:b w:val="false"/>
          <w:bCs w:val="false"/>
          <w:i/>
          <w:iCs/>
          <w:color w:val="5A5A5A"/>
          <w:sz w:val="20"/>
          <w:szCs w:val="20"/>
        </w:rPr>
        <w:t xml:space="preserve">분석 규칙 두 가지.</w:t>
      </w:r>
      <w:r>
        <w:rPr>
          <w:rFonts w:ascii="맑은 고딕" w:cs="맑은 고딕" w:eastAsia="맑은 고딕" w:hAnsi="맑은 고딕"/>
          <w:b w:val="false"/>
          <w:bCs w:val="false"/>
          <w:i w:val="false"/>
          <w:iCs w:val="false"/>
          <w:color w:val="1A1A1A"/>
          <w:sz w:val="20"/>
          <w:szCs w:val="20"/>
        </w:rPr>
        <w:t xml:space="preserve"> 첫째, </w:t>
      </w:r>
      <w:r>
        <w:rPr>
          <w:rFonts w:ascii="맑은 고딕" w:cs="맑은 고딕" w:eastAsia="맑은 고딕" w:hAnsi="맑은 고딕"/>
          <w:b/>
          <w:bCs/>
          <w:i w:val="false"/>
          <w:iCs w:val="false"/>
          <w:color w:val="1A1A1A"/>
          <w:sz w:val="20"/>
          <w:szCs w:val="20"/>
        </w:rPr>
        <w:t xml:space="preserve">갱신 계약은 제외</w:t>
      </w:r>
      <w:r>
        <w:rPr>
          <w:rFonts w:ascii="맑은 고딕" w:cs="맑은 고딕" w:eastAsia="맑은 고딕" w:hAnsi="맑은 고딕"/>
          <w:b w:val="false"/>
          <w:bCs w:val="false"/>
          <w:i w:val="false"/>
          <w:iCs w:val="false"/>
          <w:color w:val="1A1A1A"/>
          <w:sz w:val="20"/>
          <w:szCs w:val="20"/>
        </w:rPr>
        <w:t xml:space="preserve">합니다 — 갱신요구권·상한제의 영향으로 신규 체결가와 가격 형성 논리가 다르기 때문이며, 제외 건수는 리포트에 표기됩니다. 둘째, 전세 표본이 최소 기준에 미달하면 전세가율을 산출하지 않고 그 사실을 기재합니다.</w:t>
      </w:r>
    </w:p>
    <w:p>
      <w:pPr>
        <w:keepNext w:val="false"/>
        <w:spacing w:after="130" w:before="60" w:line="310"/>
        <w:jc w:val="both"/>
      </w:pPr>
      <w:r>
        <w:rPr>
          <w:rFonts w:ascii="맑은 고딕" w:cs="맑은 고딕" w:eastAsia="맑은 고딕" w:hAnsi="맑은 고딕"/>
          <w:b/>
          <w:bCs/>
          <w:i w:val="false"/>
          <w:iCs w:val="false"/>
          <w:color w:val="1A1A1A"/>
          <w:sz w:val="20"/>
          <w:szCs w:val="20"/>
        </w:rPr>
        <w:t xml:space="preserve">청약 수요 전망 (예상 청약경쟁률).</w:t>
      </w:r>
      <w:r>
        <w:rPr>
          <w:rFonts w:ascii="맑은 고딕" w:cs="맑은 고딕" w:eastAsia="맑은 고딕" w:hAnsi="맑은 고딕"/>
          <w:b w:val="false"/>
          <w:bCs w:val="false"/>
          <w:i w:val="false"/>
          <w:iCs w:val="false"/>
          <w:color w:val="1A1A1A"/>
          <w:sz w:val="20"/>
          <w:szCs w:val="20"/>
        </w:rPr>
        <w:t xml:space="preserve"> 청약 방식으로 공급되는 현장에 대해서는 예상 청약경쟁률을 </w:t>
      </w:r>
      <w:r>
        <w:rPr>
          <w:rFonts w:ascii="맑은 고딕" w:cs="맑은 고딕" w:eastAsia="맑은 고딕" w:hAnsi="맑은 고딕"/>
          <w:b/>
          <w:bCs/>
          <w:i w:val="false"/>
          <w:iCs w:val="false"/>
          <w:color w:val="1A1A1A"/>
          <w:sz w:val="20"/>
          <w:szCs w:val="20"/>
        </w:rPr>
        <w:t xml:space="preserve">구간(범위)과 미달 위험</w:t>
      </w:r>
      <w:r>
        <w:rPr>
          <w:rFonts w:ascii="맑은 고딕" w:cs="맑은 고딕" w:eastAsia="맑은 고딕" w:hAnsi="맑은 고딕"/>
          <w:b w:val="false"/>
          <w:bCs w:val="false"/>
          <w:i w:val="false"/>
          <w:iCs w:val="false"/>
          <w:color w:val="1A1A1A"/>
          <w:sz w:val="20"/>
          <w:szCs w:val="20"/>
        </w:rPr>
        <w:t xml:space="preserve">으로 제시합니다.</w:t>
      </w:r>
    </w:p>
    <w:p>
      <w:pPr>
        <w:keepNext/>
        <w:spacing w:after="90" w:before="220"/>
      </w:pPr>
      <w:r>
        <w:rPr>
          <w:rFonts w:ascii="맑은 고딕" w:cs="맑은 고딕" w:eastAsia="맑은 고딕" w:hAnsi="맑은 고딕"/>
          <w:b/>
          <w:bCs/>
          <w:color w:val="1F3864"/>
          <w:sz w:val="18"/>
          <w:szCs w:val="18"/>
        </w:rPr>
        <w:t xml:space="preserve">[표 5-14-2] 청약 수요 전망 모듈</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7838"/>
      </w:tblGrid>
      <w:tr>
        <w:trPr>
          <w:cantSplit/>
          <w:tblHeader/>
        </w:trPr>
        <w:tc>
          <w:tcPr>
            <w:tcW w:type="dxa" w:w="1800"/>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구성</w:t>
            </w:r>
          </w:p>
        </w:tc>
        <w:tc>
          <w:tcPr>
            <w:tcW w:type="dxa" w:w="7838"/>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내용</w:t>
            </w:r>
          </w:p>
        </w:tc>
      </w:tr>
      <w:tr>
        <w:trPr>
          <w:cantSplit/>
          <w:tblHeader w:val="false"/>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입력 변수</w:t>
            </w:r>
          </w:p>
        </w:tc>
        <w:tc>
          <w:tcPr>
            <w:tcW w:type="dxa" w:w="783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분양가와 주변 시세의 격차(품질조정 기준), 시장권 청약 이력(경쟁률·미달·가점 커트라인), 공급 파이프라인과 동시 분양 물량, 수요 기반(C1·C2), 미분양 재고, 청약 제도·전매 조건</w:t>
            </w:r>
          </w:p>
        </w:tc>
      </w:tr>
      <w:tr>
        <w:trPr>
          <w:cantSplit/>
          <w:tblHeader w:val="false"/>
        </w:trPr>
        <w:tc>
          <w:tcPr>
            <w:tcW w:type="dxa" w:w="180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산출</w:t>
            </w:r>
          </w:p>
        </w:tc>
        <w:tc>
          <w:tcPr>
            <w:tcW w:type="dxa" w:w="7838"/>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전체 및 타입별 예상 경쟁률 구간, 순위 내 마감·미달 위험 등급, 결과를 좌우하는 상위 민감 변수</w:t>
            </w:r>
          </w:p>
        </w:tc>
      </w:tr>
      <w:tr>
        <w:trPr>
          <w:cantSplit/>
          <w:tblHeader w:val="false"/>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검증</w:t>
            </w:r>
          </w:p>
        </w:tc>
        <w:tc>
          <w:tcPr>
            <w:tcW w:type="dxa" w:w="783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과거 시장권 청약 실적 대비 백테스트. 예측 구간의 실적 적중률을 산출하여 리포트에 병기</w:t>
            </w:r>
          </w:p>
        </w:tc>
      </w:tr>
      <w:tr>
        <w:trPr>
          <w:cantSplit/>
          <w:tblHeader w:val="false"/>
        </w:trPr>
        <w:tc>
          <w:tcPr>
            <w:tcW w:type="dxa" w:w="180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표현 통제</w:t>
            </w:r>
          </w:p>
        </w:tc>
        <w:tc>
          <w:tcPr>
            <w:tcW w:type="dxa" w:w="7838"/>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전망은 FORECAST 등급(5.9.1)으로 분류. 조건·범위 없이 단일 수치로 광고에 사용 금지</w:t>
            </w:r>
          </w:p>
        </w:tc>
      </w:tr>
    </w:tbl>
    <w:p>
      <w:pPr>
        <w:spacing w:after="200" w:before="0"/>
      </w:pPr>
    </w:p>
    <w:p>
      <w:pPr>
        <w:keepNext w:val="false"/>
        <w:spacing w:after="130" w:before="60" w:line="310"/>
        <w:jc w:val="both"/>
      </w:pPr>
      <w:r>
        <w:rPr>
          <w:rFonts w:ascii="맑은 고딕" w:cs="맑은 고딕" w:eastAsia="맑은 고딕" w:hAnsi="맑은 고딕"/>
          <w:b w:val="false"/>
          <w:bCs w:val="false"/>
          <w:i w:val="false"/>
          <w:iCs w:val="false"/>
          <w:color w:val="1A1A1A"/>
          <w:sz w:val="20"/>
          <w:szCs w:val="20"/>
        </w:rPr>
        <w:t xml:space="preserve">청약 전망의 실무 가치는 숫자 자체가 아니라 </w:t>
      </w:r>
      <w:r>
        <w:rPr>
          <w:rFonts w:ascii="맑은 고딕" w:cs="맑은 고딕" w:eastAsia="맑은 고딕" w:hAnsi="맑은 고딕"/>
          <w:b/>
          <w:bCs/>
          <w:i w:val="false"/>
          <w:iCs w:val="false"/>
          <w:color w:val="1A1A1A"/>
          <w:sz w:val="20"/>
          <w:szCs w:val="20"/>
        </w:rPr>
        <w:t xml:space="preserve">의사결정 시점의 이동</w:t>
      </w:r>
      <w:r>
        <w:rPr>
          <w:rFonts w:ascii="맑은 고딕" w:cs="맑은 고딕" w:eastAsia="맑은 고딕" w:hAnsi="맑은 고딕"/>
          <w:b w:val="false"/>
          <w:bCs w:val="false"/>
          <w:i w:val="false"/>
          <w:iCs w:val="false"/>
          <w:color w:val="1A1A1A"/>
          <w:sz w:val="20"/>
          <w:szCs w:val="20"/>
        </w:rPr>
        <w:t xml:space="preserve">에 있습니다. 미달 위험이 사전에 식별되면 분양가·타입 구성·판촉 조건의 조정을 청약 전에 검토할 수 있고, 높은 경쟁이 전망되면 청약 후 미계약분 관리와 정당계약 전환 준비에 자원을 배분할 수 있습니다. 모듈의 기술 명세와 검증 절차는 부록 E에 정의합니다.</w:t>
      </w:r>
    </w:p>
    <w:p>
      <w:pPr>
        <w:keepNext w:val="false"/>
        <w:spacing w:after="130" w:before="60" w:line="310"/>
        <w:jc w:val="both"/>
      </w:pPr>
      <w:r>
        <w:rPr>
          <w:rFonts w:ascii="맑은 고딕" w:cs="맑은 고딕" w:eastAsia="맑은 고딕" w:hAnsi="맑은 고딕"/>
          <w:b/>
          <w:bCs/>
          <w:i w:val="false"/>
          <w:iCs w:val="false"/>
          <w:color w:val="1A1A1A"/>
          <w:sz w:val="20"/>
          <w:szCs w:val="20"/>
        </w:rPr>
        <w:t xml:space="preserve">실부담 시뮬레이션.</w:t>
      </w:r>
      <w:r>
        <w:rPr>
          <w:rFonts w:ascii="맑은 고딕" w:cs="맑은 고딕" w:eastAsia="맑은 고딕" w:hAnsi="맑은 고딕"/>
          <w:b w:val="false"/>
          <w:bCs w:val="false"/>
          <w:i w:val="false"/>
          <w:iCs w:val="false"/>
          <w:color w:val="1A1A1A"/>
          <w:sz w:val="20"/>
          <w:szCs w:val="20"/>
        </w:rPr>
        <w:t xml:space="preserve"> 총취득원가는 구매 시점의 비용입니다. 고객의 실제 질문은 한 단계 더 나아갑니다 — "자기자본이 얼마 필요하고, 매월 얼마를 부담하게 되는가." 이 질문에 답하기 위해 총취득원가 모듈을 실부담 시뮬레이션으로 확장합니다.</w:t>
      </w:r>
    </w:p>
    <w:p>
      <w:pPr>
        <w:keepNext/>
        <w:spacing w:after="90" w:before="220"/>
      </w:pPr>
      <w:r>
        <w:rPr>
          <w:rFonts w:ascii="맑은 고딕" w:cs="맑은 고딕" w:eastAsia="맑은 고딕" w:hAnsi="맑은 고딕"/>
          <w:b/>
          <w:bCs/>
          <w:color w:val="1F3864"/>
          <w:sz w:val="18"/>
          <w:szCs w:val="18"/>
        </w:rPr>
        <w:t xml:space="preserve">[표 5-14-3] 실부담 시뮬레이션 구성</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7838"/>
      </w:tblGrid>
      <w:tr>
        <w:trPr>
          <w:cantSplit/>
          <w:tblHeader/>
        </w:trPr>
        <w:tc>
          <w:tcPr>
            <w:tcW w:type="dxa" w:w="1800"/>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산출</w:t>
            </w:r>
          </w:p>
        </w:tc>
        <w:tc>
          <w:tcPr>
            <w:tcW w:type="dxa" w:w="7838"/>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내용</w:t>
            </w:r>
          </w:p>
        </w:tc>
      </w:tr>
      <w:tr>
        <w:trPr>
          <w:cantSplit/>
          <w:tblHeader w:val="false"/>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자기자본 요구액</w:t>
            </w:r>
          </w:p>
        </w:tc>
        <w:tc>
          <w:tcPr>
            <w:tcW w:type="dxa" w:w="783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계약금·중도금 구조, 중도금 대출 조건(무이자·유이자), 잔금 대출 한도를 반영한 시점별 필요 자기자본</w:t>
            </w:r>
          </w:p>
        </w:tc>
      </w:tr>
      <w:tr>
        <w:trPr>
          <w:cantSplit/>
          <w:tblHeader w:val="false"/>
        </w:trPr>
        <w:tc>
          <w:tcPr>
            <w:tcW w:type="dxa" w:w="180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월 부담 구간</w:t>
            </w:r>
          </w:p>
        </w:tc>
        <w:tc>
          <w:tcPr>
            <w:tcW w:type="dxa" w:w="7838"/>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대출 규제(LTV·DSR) 적용 한도와 금리 시나리오별 월 상환 부담 범위</w:t>
            </w:r>
          </w:p>
        </w:tc>
      </w:tr>
      <w:tr>
        <w:trPr>
          <w:cantSplit/>
          <w:tblHeader w:val="false"/>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민감도</w:t>
            </w:r>
          </w:p>
        </w:tc>
        <w:tc>
          <w:tcPr>
            <w:tcW w:type="dxa" w:w="783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금리·대출 규제 변화에 따른 부담 변화 폭</w:t>
            </w:r>
          </w:p>
        </w:tc>
      </w:tr>
      <w:tr>
        <w:trPr>
          <w:cantSplit/>
          <w:tblHeader w:val="false"/>
        </w:trPr>
        <w:tc>
          <w:tcPr>
            <w:tcW w:type="dxa" w:w="180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구매 가능 가구 규모</w:t>
            </w:r>
          </w:p>
        </w:tc>
        <w:tc>
          <w:tcPr>
            <w:tcW w:type="dxa" w:w="7838"/>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L5(소득·구매력)와 결합하여 생활권·통근권 내 "이 실부담을 감당 가능한 가구 수"를 추정 — 수요 판정(5.8 ②)의 입력으로 사용</w:t>
            </w:r>
          </w:p>
        </w:tc>
      </w:tr>
    </w:tbl>
    <w:p>
      <w:pPr>
        <w:spacing w:after="200" w:before="0"/>
      </w:pPr>
    </w:p>
    <w:p>
      <w:pPr>
        <w:keepNext w:val="false"/>
        <w:spacing w:after="130" w:before="60" w:line="310"/>
        <w:jc w:val="both"/>
      </w:pPr>
      <w:r>
        <w:rPr>
          <w:rFonts w:ascii="맑은 고딕" w:cs="맑은 고딕" w:eastAsia="맑은 고딕" w:hAnsi="맑은 고딕"/>
          <w:b w:val="false"/>
          <w:bCs w:val="false"/>
          <w:i w:val="false"/>
          <w:iCs w:val="false"/>
          <w:color w:val="1A1A1A"/>
          <w:sz w:val="20"/>
          <w:szCs w:val="20"/>
        </w:rPr>
        <w:t xml:space="preserve">이 시뮬레이션은 상담 자료(제6장)의 자금 계획 안내와 동일한 산식을 사용하므로, 광고·상담·리포트의 부담액 설명이 일치합니다.</w:t>
      </w:r>
    </w:p>
    <w:p>
      <w:pPr>
        <w:keepNext w:val="false"/>
        <w:spacing w:after="130" w:before="60" w:line="310"/>
        <w:jc w:val="both"/>
      </w:pPr>
      <w:r>
        <w:rPr>
          <w:rFonts w:ascii="맑은 고딕" w:cs="맑은 고딕" w:eastAsia="맑은 고딕" w:hAnsi="맑은 고딕"/>
          <w:b/>
          <w:bCs/>
          <w:i w:val="false"/>
          <w:iCs w:val="false"/>
          <w:color w:val="1A1A1A"/>
          <w:sz w:val="20"/>
          <w:szCs w:val="20"/>
        </w:rPr>
        <w:t xml:space="preserve">분양가 결정 시뮬레이션.</w:t>
      </w:r>
      <w:r>
        <w:rPr>
          <w:rFonts w:ascii="맑은 고딕" w:cs="맑은 고딕" w:eastAsia="맑은 고딕" w:hAnsi="맑은 고딕"/>
          <w:b w:val="false"/>
          <w:bCs w:val="false"/>
          <w:i w:val="false"/>
          <w:iCs w:val="false"/>
          <w:color w:val="1A1A1A"/>
          <w:sz w:val="20"/>
          <w:szCs w:val="20"/>
        </w:rPr>
        <w:t xml:space="preserve"> 위 모듈들은 "지금 가격이 어디쯤인가"에 답합니다. 그러나 시행사가 실제로 결정해야 하는 것은 </w:t>
      </w:r>
      <w:r>
        <w:rPr>
          <w:rFonts w:ascii="맑은 고딕" w:cs="맑은 고딕" w:eastAsia="맑은 고딕" w:hAnsi="맑은 고딕"/>
          <w:b/>
          <w:bCs/>
          <w:i w:val="false"/>
          <w:iCs w:val="false"/>
          <w:color w:val="1A1A1A"/>
          <w:sz w:val="20"/>
          <w:szCs w:val="20"/>
        </w:rPr>
        <w:t xml:space="preserve">"분양가를 얼마로 잡을 것인가"</w:t>
      </w:r>
      <w:r>
        <w:rPr>
          <w:rFonts w:ascii="맑은 고딕" w:cs="맑은 고딕" w:eastAsia="맑은 고딕" w:hAnsi="맑은 고딕"/>
          <w:b w:val="false"/>
          <w:bCs w:val="false"/>
          <w:i w:val="false"/>
          <w:iCs w:val="false"/>
          <w:color w:val="1A1A1A"/>
          <w:sz w:val="20"/>
          <w:szCs w:val="20"/>
        </w:rPr>
        <w:t xml:space="preserve">입니다. 진단과 결정 사이의 이 간극을 메우기 위해, 후보 가격대를 훑으며 각 가격에서 무엇이 달라지는지를 같은 근거로 계산합니다.</w:t>
      </w:r>
    </w:p>
    <w:p>
      <w:pPr>
        <w:keepNext/>
        <w:spacing w:after="90" w:before="220"/>
      </w:pPr>
      <w:r>
        <w:rPr>
          <w:rFonts w:ascii="맑은 고딕" w:cs="맑은 고딕" w:eastAsia="맑은 고딕" w:hAnsi="맑은 고딕"/>
          <w:b/>
          <w:bCs/>
          <w:color w:val="1F3864"/>
          <w:sz w:val="18"/>
          <w:szCs w:val="18"/>
        </w:rPr>
        <w:t xml:space="preserve">[표 5-14-4] 분양가 결정 시뮬레이션</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7838"/>
      </w:tblGrid>
      <w:tr>
        <w:trPr>
          <w:cantSplit/>
          <w:tblHeader/>
        </w:trPr>
        <w:tc>
          <w:tcPr>
            <w:tcW w:type="dxa" w:w="1800"/>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축</w:t>
            </w:r>
          </w:p>
        </w:tc>
        <w:tc>
          <w:tcPr>
            <w:tcW w:type="dxa" w:w="7838"/>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각 후보 가격에서 산출되는 값</w:t>
            </w:r>
          </w:p>
        </w:tc>
      </w:tr>
      <w:tr>
        <w:trPr>
          <w:cantSplit/>
          <w:tblHeader w:val="false"/>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가격 위치</w:t>
            </w:r>
          </w:p>
        </w:tc>
        <w:tc>
          <w:tcPr>
            <w:tcW w:type="dxa" w:w="783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품질조정 비교 밴드 대비 하단 / 내 / 상단</w:t>
            </w:r>
          </w:p>
        </w:tc>
      </w:tr>
      <w:tr>
        <w:trPr>
          <w:cantSplit/>
          <w:tblHeader w:val="false"/>
        </w:trPr>
        <w:tc>
          <w:tcPr>
            <w:tcW w:type="dxa" w:w="180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수요</w:t>
            </w:r>
          </w:p>
        </w:tc>
        <w:tc>
          <w:tcPr>
            <w:tcW w:type="dxa" w:w="7838"/>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실부담 기준 구매 가능 가구 비율</w:t>
            </w:r>
          </w:p>
        </w:tc>
      </w:tr>
      <w:tr>
        <w:trPr>
          <w:cantSplit/>
          <w:tblHeader w:val="false"/>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청약</w:t>
            </w:r>
          </w:p>
        </w:tc>
        <w:tc>
          <w:tcPr>
            <w:tcW w:type="dxa" w:w="783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예상 경쟁률 구간 — 가격이 바뀌면 시세 갭이 바뀌고, 그러면 유사 사례 매칭 자체가 바뀝니다. 그 연쇄를 그대로 반영합니다</w:t>
            </w:r>
          </w:p>
        </w:tc>
      </w:tr>
      <w:tr>
        <w:trPr>
          <w:cantSplit/>
          <w:tblHeader w:val="false"/>
        </w:trPr>
        <w:tc>
          <w:tcPr>
            <w:tcW w:type="dxa" w:w="180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위험</w:t>
            </w:r>
          </w:p>
        </w:tc>
        <w:tc>
          <w:tcPr>
            <w:tcW w:type="dxa" w:w="7838"/>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순위 내 미달 위험</w:t>
            </w:r>
          </w:p>
        </w:tc>
      </w:tr>
      <w:tr>
        <w:trPr>
          <w:cantSplit/>
          <w:tblHeader w:val="false"/>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수입</w:t>
            </w:r>
          </w:p>
        </w:tc>
        <w:tc>
          <w:tcPr>
            <w:tcW w:type="dxa" w:w="783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총 분양수입 — 의사결정의 반대편 축</w:t>
            </w:r>
          </w:p>
        </w:tc>
      </w:tr>
    </w:tbl>
    <w:p>
      <w:pPr>
        <w:spacing w:after="200" w:before="0"/>
      </w:pPr>
    </w:p>
    <w:p>
      <w:pPr>
        <w:keepNext w:val="false"/>
        <w:spacing w:after="130" w:before="60" w:line="310"/>
        <w:jc w:val="both"/>
      </w:pPr>
      <w:r>
        <w:rPr>
          <w:rFonts w:ascii="맑은 고딕" w:cs="맑은 고딕" w:eastAsia="맑은 고딕" w:hAnsi="맑은 고딕"/>
          <w:b/>
          <w:bCs/>
          <w:i w:val="false"/>
          <w:iCs w:val="false"/>
          <w:color w:val="1A1A1A"/>
          <w:sz w:val="20"/>
          <w:szCs w:val="20"/>
        </w:rPr>
        <w:t xml:space="preserve">권고는 예언이 아니라 규칙입니다.</w:t>
      </w:r>
      <w:r>
        <w:rPr>
          <w:rFonts w:ascii="맑은 고딕" w:cs="맑은 고딕" w:eastAsia="맑은 고딕" w:hAnsi="맑은 고딕"/>
          <w:b w:val="false"/>
          <w:bCs w:val="false"/>
          <w:i w:val="false"/>
          <w:iCs w:val="false"/>
          <w:color w:val="1A1A1A"/>
          <w:sz w:val="20"/>
          <w:szCs w:val="20"/>
        </w:rPr>
        <w:t xml:space="preserve"> 두 조건 — ① 미달 위험이 임계 이하 ② 총취득원가가 비교 밴드 상단을 넘지 않음 — 을 동시에 만족하는 후보 중 </w:t>
      </w:r>
      <w:r>
        <w:rPr>
          <w:rFonts w:ascii="맑은 고딕" w:cs="맑은 고딕" w:eastAsia="맑은 고딕" w:hAnsi="맑은 고딕"/>
          <w:b/>
          <w:bCs/>
          <w:i w:val="false"/>
          <w:iCs w:val="false"/>
          <w:color w:val="1A1A1A"/>
          <w:sz w:val="20"/>
          <w:szCs w:val="20"/>
        </w:rPr>
        <w:t xml:space="preserve">가장 높은 가격</w:t>
      </w:r>
      <w:r>
        <w:rPr>
          <w:rFonts w:ascii="맑은 고딕" w:cs="맑은 고딕" w:eastAsia="맑은 고딕" w:hAnsi="맑은 고딕"/>
          <w:b w:val="false"/>
          <w:bCs w:val="false"/>
          <w:i w:val="false"/>
          <w:iCs w:val="false"/>
          <w:color w:val="1A1A1A"/>
          <w:sz w:val="20"/>
          <w:szCs w:val="20"/>
        </w:rPr>
        <w:t xml:space="preserve">을 권고하며, </w:t>
      </w:r>
      <w:r>
        <w:rPr>
          <w:rFonts w:ascii="맑은 고딕" w:cs="맑은 고딕" w:eastAsia="맑은 고딕" w:hAnsi="맑은 고딕"/>
          <w:b/>
          <w:bCs/>
          <w:i w:val="false"/>
          <w:iCs w:val="false"/>
          <w:color w:val="1A1A1A"/>
          <w:sz w:val="20"/>
          <w:szCs w:val="20"/>
        </w:rPr>
        <w:t xml:space="preserve">그 판단 기준을 문장으로 함께 제시</w:t>
      </w:r>
      <w:r>
        <w:rPr>
          <w:rFonts w:ascii="맑은 고딕" w:cs="맑은 고딕" w:eastAsia="맑은 고딕" w:hAnsi="맑은 고딕"/>
          <w:b w:val="false"/>
          <w:bCs w:val="false"/>
          <w:i w:val="false"/>
          <w:iCs w:val="false"/>
          <w:color w:val="1A1A1A"/>
          <w:sz w:val="20"/>
          <w:szCs w:val="20"/>
        </w:rPr>
        <w:t xml:space="preserve">합니다. 조건을 바꾸면 답도 바뀐다는 사실이 발주처에게 보여야 하기 때문입니다.</w:t>
      </w:r>
    </w:p>
    <w:p>
      <w:pPr>
        <w:keepNext w:val="false"/>
        <w:spacing w:after="130" w:before="60" w:line="310"/>
        <w:jc w:val="both"/>
      </w:pPr>
      <w:r>
        <w:rPr>
          <w:rFonts w:ascii="맑은 고딕" w:cs="맑은 고딕" w:eastAsia="맑은 고딕" w:hAnsi="맑은 고딕"/>
          <w:b w:val="false"/>
          <w:bCs w:val="false"/>
          <w:i w:val="false"/>
          <w:iCs w:val="false"/>
          <w:color w:val="1A1A1A"/>
          <w:sz w:val="20"/>
          <w:szCs w:val="20"/>
        </w:rPr>
        <w:t xml:space="preserve">권고하지 않는 경우도 사유를 구분해 말합니다. 비교 밴드 표본이 부족해 가격 위치를 판단할 수 없는 경우, 유사 청약 사례가 부족해 미달 위험을 산출할 수 없는 경우, 산출은 됐으나 두 조건을 만족하는 후보가 없는 경우 — 세 경우의 대응이 서로 다르므로 뭉뚱그리지 않습니다. 특히 세 번째는 마케팅이 아니라 </w:t>
      </w:r>
      <w:r>
        <w:rPr>
          <w:rFonts w:ascii="맑은 고딕" w:cs="맑은 고딕" w:eastAsia="맑은 고딕" w:hAnsi="맑은 고딕"/>
          <w:b/>
          <w:bCs/>
          <w:i w:val="false"/>
          <w:iCs w:val="false"/>
          <w:color w:val="1A1A1A"/>
          <w:sz w:val="20"/>
          <w:szCs w:val="20"/>
        </w:rPr>
        <w:t xml:space="preserve">원가·상품 구성의 재검토를 발주처 안건으로 제기해야 하는 신호</w:t>
      </w:r>
      <w:r>
        <w:rPr>
          <w:rFonts w:ascii="맑은 고딕" w:cs="맑은 고딕" w:eastAsia="맑은 고딕" w:hAnsi="맑은 고딕"/>
          <w:b w:val="false"/>
          <w:bCs w:val="false"/>
          <w:i w:val="false"/>
          <w:iCs w:val="false"/>
          <w:color w:val="1A1A1A"/>
          <w:sz w:val="20"/>
          <w:szCs w:val="20"/>
        </w:rPr>
        <w:t xml:space="preserve">입니다(5.8 판정 조합 참조).</w:t>
      </w:r>
    </w:p>
    <w:p>
      <w:pPr>
        <w:keepNext w:val="false"/>
        <w:spacing w:after="130" w:before="60" w:line="310"/>
        <w:jc w:val="both"/>
      </w:pPr>
      <w:r>
        <w:rPr>
          <w:rFonts w:ascii="맑은 고딕" w:cs="맑은 고딕" w:eastAsia="맑은 고딕" w:hAnsi="맑은 고딕"/>
          <w:b/>
          <w:bCs/>
          <w:i w:val="false"/>
          <w:iCs w:val="false"/>
          <w:color w:val="1A1A1A"/>
          <w:sz w:val="20"/>
          <w:szCs w:val="20"/>
        </w:rPr>
        <w:t xml:space="preserve">세분화와 표본의 균형 (롤업 규칙).</w:t>
      </w:r>
      <w:r>
        <w:rPr>
          <w:rFonts w:ascii="맑은 고딕" w:cs="맑은 고딕" w:eastAsia="맑은 고딕" w:hAnsi="맑은 고딕"/>
          <w:b w:val="false"/>
          <w:bCs w:val="false"/>
          <w:i w:val="false"/>
          <w:iCs w:val="false"/>
          <w:color w:val="1A1A1A"/>
          <w:sz w:val="20"/>
          <w:szCs w:val="20"/>
        </w:rPr>
        <w:t xml:space="preserve"> 타입·층 구간으로 세분화할수록 비교 표본은 감소합니다. 당사는 구간별 최소 표본 기준을 정의하고, 기준 미달 시 해당 구간의 수치를 상위 집계(타입 구간 → 타입 전체 → 현장)로 자동 롤업하며, </w:t>
      </w:r>
      <w:r>
        <w:rPr>
          <w:rFonts w:ascii="맑은 고딕" w:cs="맑은 고딕" w:eastAsia="맑은 고딕" w:hAnsi="맑은 고딕"/>
          <w:b/>
          <w:bCs/>
          <w:i w:val="false"/>
          <w:iCs w:val="false"/>
          <w:color w:val="1A1A1A"/>
          <w:sz w:val="20"/>
          <w:szCs w:val="20"/>
        </w:rPr>
        <w:t xml:space="preserve">롤업 사실을 리포트에 명시</w:t>
      </w:r>
      <w:r>
        <w:rPr>
          <w:rFonts w:ascii="맑은 고딕" w:cs="맑은 고딕" w:eastAsia="맑은 고딕" w:hAnsi="맑은 고딕"/>
          <w:b w:val="false"/>
          <w:bCs w:val="false"/>
          <w:i w:val="false"/>
          <w:iCs w:val="false"/>
          <w:color w:val="1A1A1A"/>
          <w:sz w:val="20"/>
          <w:szCs w:val="20"/>
        </w:rPr>
        <w:t xml:space="preserve">합니다. 표본이 지지하지 않는 세분화 수치를 제시하지 않는 것 — 이것이 세대 단위 정밀도 주장과 검증 가능성을 양립시키는 방법입니다.</w:t>
      </w:r>
    </w:p>
    <w:p>
      <w:pPr>
        <w:keepNext w:val="false"/>
        <w:spacing w:after="130" w:before="60" w:line="310"/>
        <w:jc w:val="both"/>
      </w:pPr>
      <w:r>
        <w:rPr>
          <w:rFonts w:ascii="맑은 고딕" w:cs="맑은 고딕" w:eastAsia="맑은 고딕" w:hAnsi="맑은 고딕"/>
          <w:b w:val="false"/>
          <w:bCs w:val="false"/>
          <w:i w:val="false"/>
          <w:iCs w:val="false"/>
          <w:color w:val="1A1A1A"/>
          <w:sz w:val="20"/>
          <w:szCs w:val="20"/>
        </w:rPr>
        <w:t xml:space="preserve">가격 결론은 C1~C7의 검증 결과와 정합할 때만 채택됩니다. </w:t>
      </w:r>
      <w:r>
        <w:rPr>
          <w:rFonts w:ascii="맑은 고딕" w:cs="맑은 고딕" w:eastAsia="맑은 고딕" w:hAnsi="맑은 고딕"/>
          <w:b/>
          <w:bCs/>
          <w:i w:val="false"/>
          <w:iCs w:val="false"/>
          <w:color w:val="1A1A1A"/>
          <w:sz w:val="20"/>
          <w:szCs w:val="20"/>
        </w:rPr>
        <w:t xml:space="preserve">수요·공급·소득이 지지하지 않는 가격 우위 판정은, 시세 비교가 어떤 숫자를 보여주든 채택하지 않습니다.</w:t>
      </w:r>
    </w:p>
    <w:p>
      <w:pPr>
        <w:pStyle w:val="Heading2"/>
        <w:keepNext/>
        <w:spacing w:after="140" w:before="300"/>
      </w:pPr>
      <w:r>
        <w:rPr>
          <w:rFonts w:ascii="맑은 고딕" w:cs="맑은 고딕" w:eastAsia="맑은 고딕" w:hAnsi="맑은 고딕"/>
          <w:b/>
          <w:bCs/>
          <w:color w:val="1A1A1A"/>
          <w:sz w:val="23"/>
          <w:szCs w:val="23"/>
        </w:rPr>
        <w:t xml:space="preserve">5.6 개발호재 검증 — 성숙도 엔진</w:t>
      </w:r>
    </w:p>
    <w:p>
      <w:pPr>
        <w:keepNext w:val="false"/>
        <w:spacing w:after="130" w:before="60" w:line="310"/>
        <w:jc w:val="both"/>
      </w:pPr>
      <w:r>
        <w:rPr>
          <w:rFonts w:ascii="맑은 고딕" w:cs="맑은 고딕" w:eastAsia="맑은 고딕" w:hAnsi="맑은 고딕"/>
          <w:b w:val="false"/>
          <w:bCs w:val="false"/>
          <w:i w:val="false"/>
          <w:iCs w:val="false"/>
          <w:color w:val="1A1A1A"/>
          <w:sz w:val="20"/>
          <w:szCs w:val="20"/>
        </w:rPr>
        <w:t xml:space="preserve">교통·도시계획·공공투자는 고객 관심이 가장 높은 동시에 과장 위험이 가장 큰 영역입니다. 당사는 두 가지를 분리하여 검증합니다.</w:t>
      </w:r>
    </w:p>
    <w:p>
      <w:pPr>
        <w:pStyle w:val="Heading3"/>
        <w:keepNext/>
        <w:spacing w:after="110" w:before="240"/>
      </w:pPr>
      <w:r>
        <w:rPr>
          <w:rFonts w:ascii="맑은 고딕" w:cs="맑은 고딕" w:eastAsia="맑은 고딕" w:hAnsi="맑은 고딕"/>
          <w:b/>
          <w:bCs/>
          <w:color w:val="5A5A5A"/>
          <w:sz w:val="20"/>
          <w:szCs w:val="20"/>
        </w:rPr>
        <w:t xml:space="preserve">5.6.1 실현 가능성 — 성숙도 단계 판정</w:t>
      </w:r>
    </w:p>
    <w:p>
      <w:pPr>
        <w:keepNext w:val="false"/>
        <w:spacing w:after="130" w:before="60" w:line="310"/>
        <w:jc w:val="both"/>
      </w:pPr>
      <w:r>
        <w:rPr>
          <w:rFonts w:ascii="맑은 고딕" w:cs="맑은 고딕" w:eastAsia="맑은 고딕" w:hAnsi="맑은 고딕"/>
          <w:b w:val="false"/>
          <w:bCs w:val="false"/>
          <w:i w:val="false"/>
          <w:iCs w:val="false"/>
          <w:color w:val="1A1A1A"/>
          <w:sz w:val="20"/>
          <w:szCs w:val="20"/>
        </w:rPr>
        <w:t xml:space="preserve">철도·도로·도시계획을 동일한 "예정"으로 묶지 않고, 단계별로 구분하여 각 단계의 공식 원문(고시문, 예산서, 입찰·계약, 보상, 공정 자료)을 근거로 저장합니다.</w:t>
      </w:r>
    </w:p>
    <w:p>
      <w:pPr>
        <w:keepNext/>
        <w:spacing w:after="90" w:before="220"/>
      </w:pPr>
      <w:r>
        <w:rPr>
          <w:rFonts w:ascii="맑은 고딕" w:cs="맑은 고딕" w:eastAsia="맑은 고딕" w:hAnsi="맑은 고딕"/>
          <w:b/>
          <w:bCs/>
          <w:color w:val="1F3864"/>
          <w:sz w:val="18"/>
          <w:szCs w:val="18"/>
        </w:rPr>
        <w:t xml:space="preserve">[표 5-15] 성숙도 단계와 표현 통제</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51"/>
        <w:gridCol w:w="3434"/>
        <w:gridCol w:w="4653"/>
      </w:tblGrid>
      <w:tr>
        <w:trPr>
          <w:cantSplit/>
          <w:tblHeader/>
        </w:trPr>
        <w:tc>
          <w:tcPr>
            <w:tcW w:type="dxa" w:w="1551"/>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단계군</w:t>
            </w:r>
          </w:p>
        </w:tc>
        <w:tc>
          <w:tcPr>
            <w:tcW w:type="dxa" w:w="3434"/>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해당 상태</w:t>
            </w:r>
          </w:p>
        </w:tc>
        <w:tc>
          <w:tcPr>
            <w:tcW w:type="dxa" w:w="4653"/>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광고·상담에서의 취급</w:t>
            </w:r>
          </w:p>
        </w:tc>
      </w:tr>
      <w:tr>
        <w:trPr>
          <w:cantSplit/>
          <w:tblHeader w:val="false"/>
        </w:trPr>
        <w:tc>
          <w:tcPr>
            <w:tcW w:type="dxa" w:w="155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검토 단계</w:t>
            </w:r>
          </w:p>
        </w:tc>
        <w:tc>
          <w:tcPr>
            <w:tcW w:type="dxa" w:w="3434"/>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아이디어·민원·공약·검토 요청</w:t>
            </w:r>
          </w:p>
        </w:tc>
        <w:tc>
          <w:tcPr>
            <w:tcW w:type="dxa" w:w="465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가능성으로만 표시. 확정적 표현 금지</w:t>
            </w:r>
          </w:p>
        </w:tc>
      </w:tr>
      <w:tr>
        <w:trPr>
          <w:cantSplit/>
          <w:tblHeader w:val="false"/>
        </w:trPr>
        <w:tc>
          <w:tcPr>
            <w:tcW w:type="dxa" w:w="1551"/>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추진 단계</w:t>
            </w:r>
          </w:p>
        </w:tc>
        <w:tc>
          <w:tcPr>
            <w:tcW w:type="dxa" w:w="3434"/>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계획 반영·타당성 조사·설계·인가</w:t>
            </w:r>
          </w:p>
        </w:tc>
        <w:tc>
          <w:tcPr>
            <w:tcW w:type="dxa" w:w="4653"/>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일정과 변경 위험을 병기</w:t>
            </w:r>
          </w:p>
        </w:tc>
      </w:tr>
      <w:tr>
        <w:trPr>
          <w:cantSplit/>
          <w:tblHeader w:val="false"/>
        </w:trPr>
        <w:tc>
          <w:tcPr>
            <w:tcW w:type="dxa" w:w="155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확정·실행 단계</w:t>
            </w:r>
          </w:p>
        </w:tc>
        <w:tc>
          <w:tcPr>
            <w:tcW w:type="dxa" w:w="3434"/>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예산 집행·계약·보상·착공·개통</w:t>
            </w:r>
          </w:p>
        </w:tc>
        <w:tc>
          <w:tcPr>
            <w:tcW w:type="dxa" w:w="465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현장 영향과 가격 반영 여부를 검증하여 표시</w:t>
            </w:r>
          </w:p>
        </w:tc>
      </w:tr>
    </w:tbl>
    <w:p>
      <w:pPr>
        <w:spacing w:after="200" w:before="0"/>
      </w:pPr>
    </w:p>
    <w:p>
      <w:pPr>
        <w:pStyle w:val="Heading3"/>
        <w:keepNext/>
        <w:spacing w:after="110" w:before="240"/>
      </w:pPr>
      <w:r>
        <w:rPr>
          <w:rFonts w:ascii="맑은 고딕" w:cs="맑은 고딕" w:eastAsia="맑은 고딕" w:hAnsi="맑은 고딕"/>
          <w:b/>
          <w:bCs/>
          <w:color w:val="5A5A5A"/>
          <w:sz w:val="20"/>
          <w:szCs w:val="20"/>
        </w:rPr>
        <w:t xml:space="preserve">5.6.2 현장 관련성 — 계산에 의한 검증</w:t>
      </w:r>
    </w:p>
    <w:p>
      <w:pPr>
        <w:keepNext/>
        <w:spacing w:after="90" w:before="220"/>
      </w:pPr>
      <w:r>
        <w:rPr>
          <w:rFonts w:ascii="맑은 고딕" w:cs="맑은 고딕" w:eastAsia="맑은 고딕" w:hAnsi="맑은 고딕"/>
          <w:b/>
          <w:bCs/>
          <w:color w:val="1F3864"/>
          <w:sz w:val="18"/>
          <w:szCs w:val="18"/>
        </w:rPr>
        <w:t xml:space="preserve">[표 5-16] 현장 관련성 검증 항목</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7838"/>
      </w:tblGrid>
      <w:tr>
        <w:trPr>
          <w:cantSplit/>
          <w:tblHeader/>
        </w:trPr>
        <w:tc>
          <w:tcPr>
            <w:tcW w:type="dxa" w:w="1800"/>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검증 항목</w:t>
            </w:r>
          </w:p>
        </w:tc>
        <w:tc>
          <w:tcPr>
            <w:tcW w:type="dxa" w:w="7838"/>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내용</w:t>
            </w:r>
          </w:p>
        </w:tc>
      </w:tr>
      <w:tr>
        <w:trPr>
          <w:cantSplit/>
          <w:tblHeader w:val="false"/>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공간 관련성</w:t>
            </w:r>
          </w:p>
        </w:tc>
        <w:tc>
          <w:tcPr>
            <w:tcW w:type="dxa" w:w="783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노선·역·IC·구역과 현장 간 거리, 개통 전후 이동시간 변화(L8 시뮬레이션), 도달 가능 인구·일자리 변화</w:t>
            </w:r>
          </w:p>
        </w:tc>
      </w:tr>
      <w:tr>
        <w:trPr>
          <w:cantSplit/>
          <w:tblHeader w:val="false"/>
        </w:trPr>
        <w:tc>
          <w:tcPr>
            <w:tcW w:type="dxa" w:w="180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시장 선반영</w:t>
            </w:r>
          </w:p>
        </w:tc>
        <w:tc>
          <w:tcPr>
            <w:tcW w:type="dxa" w:w="7838"/>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발표 이후 인근 가격에 기대효과가 이미 반영됐는가 (5.4.2 이벤트 스터디)</w:t>
            </w:r>
          </w:p>
        </w:tc>
      </w:tr>
      <w:tr>
        <w:trPr>
          <w:cantSplit/>
          <w:tblHeader w:val="false"/>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부정효과</w:t>
            </w:r>
          </w:p>
        </w:tc>
        <w:tc>
          <w:tcPr>
            <w:tcW w:type="dxa" w:w="783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소음·혼잡·추가 공급·공사 지연·민원·환경 위험</w:t>
            </w:r>
          </w:p>
        </w:tc>
      </w:tr>
      <w:tr>
        <w:trPr>
          <w:cantSplit/>
          <w:tblHeader w:val="false"/>
        </w:trPr>
        <w:tc>
          <w:tcPr>
            <w:tcW w:type="dxa" w:w="180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중복 방지</w:t>
            </w:r>
          </w:p>
        </w:tc>
        <w:tc>
          <w:tcPr>
            <w:tcW w:type="dxa" w:w="7838"/>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동일 프로젝트의 계획·예산·착공을 별도 호재로 중복 합산하지 않음</w:t>
            </w:r>
          </w:p>
        </w:tc>
      </w:tr>
    </w:tbl>
    <w:p>
      <w:pPr>
        <w:spacing w:after="200" w:before="0"/>
      </w:pPr>
    </w:p>
    <w:p>
      <w:pPr>
        <w:keepNext w:val="false"/>
        <w:spacing w:after="130" w:before="60" w:line="310"/>
        <w:jc w:val="both"/>
      </w:pPr>
      <w:r>
        <w:rPr>
          <w:rFonts w:ascii="맑은 고딕" w:cs="맑은 고딕" w:eastAsia="맑은 고딕" w:hAnsi="맑은 고딕"/>
          <w:b w:val="false"/>
          <w:bCs w:val="false"/>
          <w:i w:val="false"/>
          <w:iCs w:val="false"/>
          <w:color w:val="1A1A1A"/>
          <w:sz w:val="20"/>
          <w:szCs w:val="20"/>
        </w:rPr>
        <w:t xml:space="preserve">호재의 기대효과는 </w:t>
      </w:r>
      <w:r>
        <w:rPr>
          <w:rFonts w:ascii="맑은 고딕" w:cs="맑은 고딕" w:eastAsia="맑은 고딕" w:hAnsi="맑은 고딕"/>
          <w:b/>
          <w:bCs/>
          <w:i w:val="false"/>
          <w:iCs w:val="false"/>
          <w:color w:val="1A1A1A"/>
          <w:sz w:val="20"/>
          <w:szCs w:val="20"/>
        </w:rPr>
        <w:t xml:space="preserve">"실현 가능성 × 현장 관련성 × 조건부 영향"</w:t>
      </w:r>
      <w:r>
        <w:rPr>
          <w:rFonts w:ascii="맑은 고딕" w:cs="맑은 고딕" w:eastAsia="맑은 고딕" w:hAnsi="맑은 고딕"/>
          <w:b w:val="false"/>
          <w:bCs w:val="false"/>
          <w:i w:val="false"/>
          <w:iCs w:val="false"/>
          <w:color w:val="1A1A1A"/>
          <w:sz w:val="20"/>
          <w:szCs w:val="20"/>
        </w:rPr>
        <w:t xml:space="preserve">의 구조로 설명하되, 수치의 정밀도보다 구성 요소와 불확실성의 분리를 우선합니다.</w:t>
      </w:r>
    </w:p>
    <w:p>
      <w:pPr>
        <w:pStyle w:val="Heading2"/>
        <w:keepNext/>
        <w:spacing w:after="140" w:before="300"/>
      </w:pPr>
      <w:r>
        <w:rPr>
          <w:rFonts w:ascii="맑은 고딕" w:cs="맑은 고딕" w:eastAsia="맑은 고딕" w:hAnsi="맑은 고딕"/>
          <w:b/>
          <w:bCs/>
          <w:color w:val="1A1A1A"/>
          <w:sz w:val="23"/>
          <w:szCs w:val="23"/>
        </w:rPr>
        <w:t xml:space="preserve">5.7 조건부 시나리오와 백테스트</w:t>
      </w:r>
    </w:p>
    <w:p>
      <w:pPr>
        <w:keepNext w:val="false"/>
        <w:spacing w:after="130" w:before="60" w:line="310"/>
        <w:jc w:val="both"/>
      </w:pPr>
      <w:r>
        <w:rPr>
          <w:rFonts w:ascii="맑은 고딕" w:cs="맑은 고딕" w:eastAsia="맑은 고딕" w:hAnsi="맑은 고딕"/>
          <w:b w:val="false"/>
          <w:bCs w:val="false"/>
          <w:i w:val="false"/>
          <w:iCs w:val="false"/>
          <w:color w:val="1A1A1A"/>
          <w:sz w:val="20"/>
          <w:szCs w:val="20"/>
        </w:rPr>
        <w:t xml:space="preserve">미래 가격은 단일 숫자로 제시하지 않습니다.</w:t>
      </w:r>
    </w:p>
    <w:p>
      <w:pPr>
        <w:keepNext/>
        <w:spacing w:after="90" w:before="220"/>
      </w:pPr>
      <w:r>
        <w:rPr>
          <w:rFonts w:ascii="맑은 고딕" w:cs="맑은 고딕" w:eastAsia="맑은 고딕" w:hAnsi="맑은 고딕"/>
          <w:b/>
          <w:bCs/>
          <w:color w:val="1F3864"/>
          <w:sz w:val="18"/>
          <w:szCs w:val="18"/>
        </w:rPr>
        <w:t xml:space="preserve">[표 5-17] 시나리오 구성</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43"/>
        <w:gridCol w:w="7795"/>
      </w:tblGrid>
      <w:tr>
        <w:trPr>
          <w:cantSplit/>
          <w:tblHeader/>
        </w:trPr>
        <w:tc>
          <w:tcPr>
            <w:tcW w:type="dxa" w:w="1843"/>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구성 요소</w:t>
            </w:r>
          </w:p>
        </w:tc>
        <w:tc>
          <w:tcPr>
            <w:tcW w:type="dxa" w:w="7795"/>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내용</w:t>
            </w:r>
          </w:p>
        </w:tc>
      </w:tr>
      <w:tr>
        <w:trPr>
          <w:cantSplit/>
          <w:tblHeader w:val="false"/>
        </w:trPr>
        <w:tc>
          <w:tcPr>
            <w:tcW w:type="dxa" w:w="184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시나리오 범위</w:t>
            </w:r>
          </w:p>
        </w:tc>
        <w:tc>
          <w:tcPr>
            <w:tcW w:type="dxa" w:w="7795"/>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하방(보수)·기준·상방(상승)의 세 구간</w:t>
            </w:r>
          </w:p>
        </w:tc>
      </w:tr>
      <w:tr>
        <w:trPr>
          <w:cantSplit/>
          <w:tblHeader w:val="false"/>
        </w:trPr>
        <w:tc>
          <w:tcPr>
            <w:tcW w:type="dxa" w:w="1843"/>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전제 변수</w:t>
            </w:r>
          </w:p>
        </w:tc>
        <w:tc>
          <w:tcPr>
            <w:tcW w:type="dxa" w:w="7795"/>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공급·금리·소득·접근성·사업 진척</w:t>
            </w:r>
          </w:p>
        </w:tc>
      </w:tr>
      <w:tr>
        <w:trPr>
          <w:cantSplit/>
          <w:tblHeader w:val="false"/>
        </w:trPr>
        <w:tc>
          <w:tcPr>
            <w:tcW w:type="dxa" w:w="184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병기 항목</w:t>
            </w:r>
          </w:p>
        </w:tc>
        <w:tc>
          <w:tcPr>
            <w:tcW w:type="dxa" w:w="7795"/>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각 시나리오의 전제 조건, 근거, 하락 위험, 추가 확인사항</w:t>
            </w:r>
          </w:p>
        </w:tc>
      </w:tr>
      <w:tr>
        <w:trPr>
          <w:cantSplit/>
          <w:tblHeader w:val="false"/>
        </w:trPr>
        <w:tc>
          <w:tcPr>
            <w:tcW w:type="dxa" w:w="1843"/>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민감도</w:t>
            </w:r>
          </w:p>
        </w:tc>
        <w:tc>
          <w:tcPr>
            <w:tcW w:type="dxa" w:w="7795"/>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어느 변수가 변동할 때 결론이 얼마나 바뀌는가</w:t>
            </w:r>
          </w:p>
        </w:tc>
      </w:tr>
    </w:tbl>
    <w:p>
      <w:pPr>
        <w:spacing w:after="200" w:before="0"/>
      </w:pPr>
    </w:p>
    <w:p>
      <w:pPr>
        <w:keepNext w:val="false"/>
        <w:spacing w:after="130" w:before="60" w:line="310"/>
        <w:jc w:val="both"/>
      </w:pPr>
      <w:r>
        <w:rPr>
          <w:rFonts w:ascii="맑은 고딕" w:cs="맑은 고딕" w:eastAsia="맑은 고딕" w:hAnsi="맑은 고딕"/>
          <w:b w:val="false"/>
          <w:bCs w:val="false"/>
          <w:i w:val="false"/>
          <w:iCs w:val="false"/>
          <w:color w:val="1A1A1A"/>
          <w:sz w:val="20"/>
          <w:szCs w:val="20"/>
        </w:rPr>
        <w:t xml:space="preserve">민감도를 함께 제시함으로써 시나리오가 "세 개의 숫자"가 아니라 </w:t>
      </w:r>
      <w:r>
        <w:rPr>
          <w:rFonts w:ascii="맑은 고딕" w:cs="맑은 고딕" w:eastAsia="맑은 고딕" w:hAnsi="맑은 고딕"/>
          <w:b/>
          <w:bCs/>
          <w:i w:val="false"/>
          <w:iCs w:val="false"/>
          <w:color w:val="1A1A1A"/>
          <w:sz w:val="20"/>
          <w:szCs w:val="20"/>
        </w:rPr>
        <w:t xml:space="preserve">판단의 지도</w:t>
      </w:r>
      <w:r>
        <w:rPr>
          <w:rFonts w:ascii="맑은 고딕" w:cs="맑은 고딕" w:eastAsia="맑은 고딕" w:hAnsi="맑은 고딕"/>
          <w:b w:val="false"/>
          <w:bCs w:val="false"/>
          <w:i w:val="false"/>
          <w:iCs w:val="false"/>
          <w:color w:val="1A1A1A"/>
          <w:sz w:val="20"/>
          <w:szCs w:val="20"/>
        </w:rPr>
        <w:t xml:space="preserve">로 기능하게 합니다.</w:t>
      </w:r>
    </w:p>
    <w:p>
      <w:pPr>
        <w:keepNext w:val="false"/>
        <w:spacing w:after="130" w:before="60" w:line="310"/>
        <w:jc w:val="both"/>
      </w:pPr>
      <w:r>
        <w:rPr>
          <w:rFonts w:ascii="맑은 고딕" w:cs="맑은 고딕" w:eastAsia="맑은 고딕" w:hAnsi="맑은 고딕"/>
          <w:b w:val="false"/>
          <w:bCs w:val="false"/>
          <w:i w:val="false"/>
          <w:iCs w:val="false"/>
          <w:color w:val="1A1A1A"/>
          <w:sz w:val="20"/>
          <w:szCs w:val="20"/>
        </w:rPr>
        <w:t xml:space="preserve">모델의 신뢰성은 백테스트로 관리합니다. 과거 시점에서 사용 가능했던 정보만으로 예측하고 실제 결과와 비교하는 시계열 검증(5.4.2)을 원칙으로 하며, 표본 부족이나 시장 구조 변화가 큰 경우 모델 수치를 축소하거나 정성 등급으로 전환합니다(5.4.5). 구간 예측의 적중률 관리 기준과 예측 이력의 봉인·대조 절차는 부록 E에 정의합니다.</w:t>
      </w:r>
    </w:p>
    <w:p>
      <w:pPr>
        <w:keepNext w:val="false"/>
        <w:spacing w:after="130" w:before="60" w:line="310"/>
        <w:jc w:val="both"/>
      </w:pPr>
      <w:r>
        <w:rPr>
          <w:rFonts w:ascii="맑은 고딕" w:cs="맑은 고딕" w:eastAsia="맑은 고딕" w:hAnsi="맑은 고딕"/>
          <w:b/>
          <w:bCs/>
          <w:i w:val="false"/>
          <w:iCs w:val="false"/>
          <w:color w:val="1A1A1A"/>
          <w:sz w:val="20"/>
          <w:szCs w:val="20"/>
        </w:rPr>
        <w:t xml:space="preserve">검증은 운영과 같은 코드로 수행됩니다.</w:t>
      </w:r>
      <w:r>
        <w:rPr>
          <w:rFonts w:ascii="맑은 고딕" w:cs="맑은 고딕" w:eastAsia="맑은 고딕" w:hAnsi="맑은 고딕"/>
          <w:b w:val="false"/>
          <w:bCs w:val="false"/>
          <w:i w:val="false"/>
          <w:iCs w:val="false"/>
          <w:color w:val="1A1A1A"/>
          <w:sz w:val="20"/>
          <w:szCs w:val="20"/>
        </w:rPr>
        <w:t xml:space="preserve"> 백테스트가 별도 스크립트로 돌면 "리포트에 나가는 구간"과 "검증되는 구간"이 달라질 수 있습니다. 당사는 두 경로가 동일한 산출 함수를 호출하도록 구성하여, 검증된 것이 곧 납품되는 것임을 구조적으로 보장합니다. 조정계수 역시 이 백테스트와 홀드아웃 검증(5.4.6)을 통과할 때만 교체됩니다.</w:t>
      </w:r>
    </w:p>
    <w:p>
      <w:pPr>
        <w:pStyle w:val="Heading2"/>
        <w:keepNext/>
        <w:spacing w:after="140" w:before="300"/>
      </w:pPr>
      <w:r>
        <w:rPr>
          <w:rFonts w:ascii="맑은 고딕" w:cs="맑은 고딕" w:eastAsia="맑은 고딕" w:hAnsi="맑은 고딕"/>
          <w:b/>
          <w:bCs/>
          <w:color w:val="1A1A1A"/>
          <w:sz w:val="23"/>
          <w:szCs w:val="23"/>
        </w:rPr>
        <w:t xml:space="preserve">5.8 종합 판정 — 하나의 점수로 합산하지 않는다</w:t>
      </w:r>
    </w:p>
    <w:p>
      <w:pPr>
        <w:keepNext w:val="false"/>
        <w:spacing w:after="130" w:before="60" w:line="310"/>
        <w:jc w:val="both"/>
      </w:pPr>
      <w:r>
        <w:rPr>
          <w:rFonts w:ascii="맑은 고딕" w:cs="맑은 고딕" w:eastAsia="맑은 고딕" w:hAnsi="맑은 고딕"/>
          <w:b w:val="false"/>
          <w:bCs w:val="false"/>
          <w:i w:val="false"/>
          <w:iCs w:val="false"/>
          <w:color w:val="1A1A1A"/>
          <w:sz w:val="20"/>
          <w:szCs w:val="20"/>
        </w:rPr>
        <w:t xml:space="preserve">서로 다른 의미를 가진 결과를 하나의 "AI 점수"로 합산하는 방식은 채택하지 않습니다. 합산 점수는 판단을 단순화하지만, 무엇이 강점이고 무엇이 위험인지를 가려 의사결정을 저해합니다.</w:t>
      </w:r>
    </w:p>
    <w:p>
      <w:pPr>
        <w:keepNext/>
        <w:spacing w:after="90" w:before="220"/>
      </w:pPr>
      <w:r>
        <w:rPr>
          <w:rFonts w:ascii="맑은 고딕" w:cs="맑은 고딕" w:eastAsia="맑은 고딕" w:hAnsi="맑은 고딕"/>
          <w:b/>
          <w:bCs/>
          <w:color w:val="1F3864"/>
          <w:sz w:val="18"/>
          <w:szCs w:val="18"/>
        </w:rPr>
        <w:t xml:space="preserve">[표 5-18] 네 개의 독립 판정</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65"/>
        <w:gridCol w:w="6133"/>
        <w:gridCol w:w="1840"/>
      </w:tblGrid>
      <w:tr>
        <w:trPr>
          <w:cantSplit/>
          <w:tblHeader/>
        </w:trPr>
        <w:tc>
          <w:tcPr>
            <w:tcW w:type="dxa" w:w="1665"/>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판정 결과</w:t>
            </w:r>
          </w:p>
        </w:tc>
        <w:tc>
          <w:tcPr>
            <w:tcW w:type="dxa" w:w="6133"/>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답하는 질문</w:t>
            </w:r>
          </w:p>
        </w:tc>
        <w:tc>
          <w:tcPr>
            <w:tcW w:type="dxa" w:w="1840"/>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주요 근거</w:t>
            </w:r>
          </w:p>
        </w:tc>
      </w:tr>
      <w:tr>
        <w:trPr>
          <w:cantSplit/>
          <w:tblHeader w:val="false"/>
        </w:trPr>
        <w:tc>
          <w:tcPr>
            <w:tcW w:type="dxa" w:w="1665"/>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① 현재 가격 위치</w:t>
            </w:r>
          </w:p>
        </w:tc>
        <w:tc>
          <w:tcPr>
            <w:tcW w:type="dxa" w:w="613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총취득원가가 품질과 시장을 고려할 때 어느 구간인가?</w:t>
            </w:r>
          </w:p>
        </w:tc>
        <w:tc>
          <w:tcPr>
            <w:tcW w:type="dxa" w:w="184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C5 + 가격 모듈(5.5)</w:t>
            </w:r>
          </w:p>
        </w:tc>
      </w:tr>
      <w:tr>
        <w:trPr>
          <w:cantSplit/>
          <w:tblHeader w:val="false"/>
        </w:trPr>
        <w:tc>
          <w:tcPr>
            <w:tcW w:type="dxa" w:w="1665"/>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② 수요 지속성</w:t>
            </w:r>
          </w:p>
        </w:tc>
        <w:tc>
          <w:tcPr>
            <w:tcW w:type="dxa" w:w="6133"/>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실거주·근무·이동·구매 수요가 입주 시점까지 유지될 조건은 무엇인가?</w:t>
            </w:r>
          </w:p>
        </w:tc>
        <w:tc>
          <w:tcPr>
            <w:tcW w:type="dxa" w:w="184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C1·C2·C3</w:t>
            </w:r>
          </w:p>
        </w:tc>
      </w:tr>
      <w:tr>
        <w:trPr>
          <w:cantSplit/>
          <w:tblHeader w:val="false"/>
        </w:trPr>
        <w:tc>
          <w:tcPr>
            <w:tcW w:type="dxa" w:w="1665"/>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③ 공급·환금성 위험</w:t>
            </w:r>
          </w:p>
        </w:tc>
        <w:tc>
          <w:tcPr>
            <w:tcW w:type="dxa" w:w="613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경쟁 입주·미분양·거래 부족이 가격과 판매에 어떤 부담을 주는가?</w:t>
            </w:r>
          </w:p>
        </w:tc>
        <w:tc>
          <w:tcPr>
            <w:tcW w:type="dxa" w:w="184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C5·C6</w:t>
            </w:r>
          </w:p>
        </w:tc>
      </w:tr>
      <w:tr>
        <w:trPr>
          <w:cantSplit/>
          <w:tblHeader w:val="false"/>
        </w:trPr>
        <w:tc>
          <w:tcPr>
            <w:tcW w:type="dxa" w:w="1665"/>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④ 촉매·실행 가능성</w:t>
            </w:r>
          </w:p>
        </w:tc>
        <w:tc>
          <w:tcPr>
            <w:tcW w:type="dxa" w:w="6133"/>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외부 계획과 현장 개선 과제 중 실현 가능하고 영향력 있는 것은 무엇인가?</w:t>
            </w:r>
          </w:p>
        </w:tc>
        <w:tc>
          <w:tcPr>
            <w:tcW w:type="dxa" w:w="184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C7 + 성숙도 엔진(5.6)</w:t>
            </w:r>
          </w:p>
        </w:tc>
      </w:tr>
    </w:tbl>
    <w:p>
      <w:pPr>
        <w:spacing w:after="200" w:before="0"/>
      </w:pPr>
    </w:p>
    <w:p>
      <w:pPr>
        <w:keepNext w:val="false"/>
        <w:spacing w:after="130" w:before="60" w:line="310"/>
        <w:jc w:val="both"/>
      </w:pPr>
      <w:r>
        <w:rPr>
          <w:rFonts w:ascii="맑은 고딕" w:cs="맑은 고딕" w:eastAsia="맑은 고딕" w:hAnsi="맑은 고딕"/>
          <w:b w:val="false"/>
          <w:bCs w:val="false"/>
          <w:i w:val="false"/>
          <w:iCs w:val="false"/>
          <w:color w:val="1A1A1A"/>
          <w:sz w:val="20"/>
          <w:szCs w:val="20"/>
        </w:rPr>
        <w:t xml:space="preserve">각 판정에는 5.4.5의 4속성(방향·강도·신뢰도·변화)이 표시됩니다. 판정 ①의 산출물에는 </w:t>
      </w:r>
      <w:r>
        <w:rPr>
          <w:rFonts w:ascii="맑은 고딕" w:cs="맑은 고딕" w:eastAsia="맑은 고딕" w:hAnsi="맑은 고딕"/>
          <w:b/>
          <w:bCs/>
          <w:i w:val="false"/>
          <w:iCs w:val="false"/>
          <w:color w:val="1A1A1A"/>
          <w:sz w:val="20"/>
          <w:szCs w:val="20"/>
        </w:rPr>
        <w:t xml:space="preserve">타입별 적정 가격 밴드</w:t>
      </w:r>
      <w:r>
        <w:rPr>
          <w:rFonts w:ascii="맑은 고딕" w:cs="맑은 고딕" w:eastAsia="맑은 고딕" w:hAnsi="맑은 고딕"/>
          <w:b w:val="false"/>
          <w:bCs w:val="false"/>
          <w:i w:val="false"/>
          <w:iCs w:val="false"/>
          <w:color w:val="1A1A1A"/>
          <w:sz w:val="20"/>
          <w:szCs w:val="20"/>
        </w:rPr>
        <w:t xml:space="preserve">와 </w:t>
      </w:r>
      <w:r>
        <w:rPr>
          <w:rFonts w:ascii="맑은 고딕" w:cs="맑은 고딕" w:eastAsia="맑은 고딕" w:hAnsi="맑은 고딕"/>
          <w:b/>
          <w:bCs/>
          <w:i w:val="false"/>
          <w:iCs w:val="false"/>
          <w:color w:val="1A1A1A"/>
          <w:sz w:val="20"/>
          <w:szCs w:val="20"/>
        </w:rPr>
        <w:t xml:space="preserve">전세 기반 하방 점검</w:t>
      </w:r>
      <w:r>
        <w:rPr>
          <w:rFonts w:ascii="맑은 고딕" w:cs="맑은 고딕" w:eastAsia="맑은 고딕" w:hAnsi="맑은 고딕"/>
          <w:b w:val="false"/>
          <w:bCs w:val="false"/>
          <w:i w:val="false"/>
          <w:iCs w:val="false"/>
          <w:color w:val="1A1A1A"/>
          <w:sz w:val="20"/>
          <w:szCs w:val="20"/>
        </w:rPr>
        <w:t xml:space="preserve">이, 판정 ②의 산출물에는 </w:t>
      </w:r>
      <w:r>
        <w:rPr>
          <w:rFonts w:ascii="맑은 고딕" w:cs="맑은 고딕" w:eastAsia="맑은 고딕" w:hAnsi="맑은 고딕"/>
          <w:b/>
          <w:bCs/>
          <w:i w:val="false"/>
          <w:iCs w:val="false"/>
          <w:color w:val="1A1A1A"/>
          <w:sz w:val="20"/>
          <w:szCs w:val="20"/>
        </w:rPr>
        <w:t xml:space="preserve">예상 청약경쟁률 구간과 미달 위험 등급</w:t>
      </w:r>
      <w:r>
        <w:rPr>
          <w:rFonts w:ascii="맑은 고딕" w:cs="맑은 고딕" w:eastAsia="맑은 고딕" w:hAnsi="맑은 고딕"/>
          <w:b w:val="false"/>
          <w:bCs w:val="false"/>
          <w:i w:val="false"/>
          <w:iCs w:val="false"/>
          <w:color w:val="1A1A1A"/>
          <w:sz w:val="20"/>
          <w:szCs w:val="20"/>
        </w:rPr>
        <w:t xml:space="preserve">(5.5)이 포함됩니다 — 모두 단일 수치가 아니라 5.7의 조건부 범위 규율을 적용한 구간 제시입니다. 네 판정을 종합한 결과는 </w:t>
      </w:r>
      <w:r>
        <w:rPr>
          <w:rFonts w:ascii="맑은 고딕" w:cs="맑은 고딕" w:eastAsia="맑은 고딕" w:hAnsi="맑은 고딕"/>
          <w:b/>
          <w:bCs/>
          <w:i w:val="false"/>
          <w:iCs w:val="false"/>
          <w:color w:val="1A1A1A"/>
          <w:sz w:val="20"/>
          <w:szCs w:val="20"/>
        </w:rPr>
        <w:t xml:space="preserve">분양가 결정 시뮬레이션</w:t>
      </w:r>
      <w:r>
        <w:rPr>
          <w:rFonts w:ascii="맑은 고딕" w:cs="맑은 고딕" w:eastAsia="맑은 고딕" w:hAnsi="맑은 고딕"/>
          <w:b w:val="false"/>
          <w:bCs w:val="false"/>
          <w:i w:val="false"/>
          <w:iCs w:val="false"/>
          <w:color w:val="1A1A1A"/>
          <w:sz w:val="20"/>
          <w:szCs w:val="20"/>
        </w:rPr>
        <w:t xml:space="preserve">(5.5)으로 이어져, 진단이 가격 결정 안건으로 전환됩니다.</w:t>
      </w:r>
    </w:p>
    <w:p>
      <w:pPr>
        <w:keepNext w:val="false"/>
        <w:spacing w:after="130" w:before="60" w:line="310"/>
        <w:jc w:val="both"/>
      </w:pPr>
      <w:r>
        <w:rPr>
          <w:rFonts w:ascii="맑은 고딕" w:cs="맑은 고딕" w:eastAsia="맑은 고딕" w:hAnsi="맑은 고딕"/>
          <w:b w:val="false"/>
          <w:bCs w:val="false"/>
          <w:i w:val="false"/>
          <w:iCs w:val="false"/>
          <w:color w:val="1A1A1A"/>
          <w:sz w:val="20"/>
          <w:szCs w:val="20"/>
        </w:rPr>
        <w:t xml:space="preserve">각 판정의 근거에는 어떤 레이어가 기여했는지가 함께 표기됩니다. 예를 들어 판정 ②에는 지역 통계(L1·L2·L4)·인구이동(L3)·생활이동(L7)·교통 접근성(L8)·생활 인프라(L9)·실부담·청약 전망이 각각 별도 항목으로 나열되므로, 발주처는 </w:t>
      </w:r>
      <w:r>
        <w:rPr>
          <w:rFonts w:ascii="맑은 고딕" w:cs="맑은 고딕" w:eastAsia="맑은 고딕" w:hAnsi="맑은 고딕"/>
          <w:b/>
          <w:bCs/>
          <w:i w:val="false"/>
          <w:iCs w:val="false"/>
          <w:color w:val="1A1A1A"/>
          <w:sz w:val="20"/>
          <w:szCs w:val="20"/>
        </w:rPr>
        <w:t xml:space="preserve">어느 근거가 판정을 이끌었고 어느 근거가 미산출이었는지</w:t>
      </w:r>
      <w:r>
        <w:rPr>
          <w:rFonts w:ascii="맑은 고딕" w:cs="맑은 고딕" w:eastAsia="맑은 고딕" w:hAnsi="맑은 고딕"/>
          <w:b w:val="false"/>
          <w:bCs w:val="false"/>
          <w:i w:val="false"/>
          <w:iCs w:val="false"/>
          <w:color w:val="1A1A1A"/>
          <w:sz w:val="20"/>
          <w:szCs w:val="20"/>
        </w:rPr>
        <w:t xml:space="preserve">를 직접 확인할 수 있습니다.</w:t>
      </w:r>
    </w:p>
    <w:p>
      <w:pPr>
        <w:keepNext/>
        <w:spacing w:after="90" w:before="220"/>
      </w:pPr>
      <w:r>
        <w:rPr>
          <w:rFonts w:ascii="맑은 고딕" w:cs="맑은 고딕" w:eastAsia="맑은 고딕" w:hAnsi="맑은 고딕"/>
          <w:b/>
          <w:bCs/>
          <w:color w:val="1F3864"/>
          <w:sz w:val="18"/>
          <w:szCs w:val="18"/>
        </w:rPr>
        <w:t xml:space="preserve">[표 5-19] 판정 조합에 따른 판매 전략 방향 (예시)</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57"/>
        <w:gridCol w:w="5681"/>
      </w:tblGrid>
      <w:tr>
        <w:trPr>
          <w:cantSplit/>
          <w:tblHeader/>
        </w:trPr>
        <w:tc>
          <w:tcPr>
            <w:tcW w:type="dxa" w:w="3957"/>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판정 조합</w:t>
            </w:r>
          </w:p>
        </w:tc>
        <w:tc>
          <w:tcPr>
            <w:tcW w:type="dxa" w:w="5681"/>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우선 전략</w:t>
            </w:r>
          </w:p>
        </w:tc>
      </w:tr>
      <w:tr>
        <w:trPr>
          <w:cantSplit/>
          <w:tblHeader w:val="false"/>
        </w:trPr>
        <w:tc>
          <w:tcPr>
            <w:tcW w:type="dxa" w:w="395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① 가격 위치 불리 + ② 수요 지속성 유리</w:t>
            </w:r>
          </w:p>
        </w:tc>
        <w:tc>
          <w:tcPr>
            <w:tcW w:type="dxa" w:w="568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가격 조정보다 총취득원가 비교 논리와 수요 타깃 정밀화</w:t>
            </w:r>
          </w:p>
        </w:tc>
      </w:tr>
      <w:tr>
        <w:trPr>
          <w:cantSplit/>
          <w:tblHeader w:val="false"/>
        </w:trPr>
        <w:tc>
          <w:tcPr>
            <w:tcW w:type="dxa" w:w="3957"/>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② 수요 지속성 약함 + ③ 공급 위험 높음</w:t>
            </w:r>
          </w:p>
        </w:tc>
        <w:tc>
          <w:tcPr>
            <w:tcW w:type="dxa" w:w="5681"/>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마케팅 강화보다 조건 재검토를 발주처 안건으로 제기</w:t>
            </w:r>
          </w:p>
        </w:tc>
      </w:tr>
      <w:tr>
        <w:trPr>
          <w:cantSplit/>
          <w:tblHeader w:val="false"/>
        </w:trPr>
        <w:tc>
          <w:tcPr>
            <w:tcW w:type="dxa" w:w="395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④ 촉매 성숙도 낮음</w:t>
            </w:r>
          </w:p>
        </w:tc>
        <w:tc>
          <w:tcPr>
            <w:tcW w:type="dxa" w:w="568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호재 의존 메시지를 배제하고 현재 가치 중심으로 설득 구성</w:t>
            </w:r>
          </w:p>
        </w:tc>
      </w:tr>
    </w:tbl>
    <w:p>
      <w:pPr>
        <w:spacing w:after="200" w:before="0"/>
      </w:pPr>
    </w:p>
    <w:p>
      <w:pPr>
        <w:keepNext w:val="false"/>
        <w:spacing w:after="130" w:before="60" w:line="310"/>
        <w:jc w:val="both"/>
      </w:pPr>
      <w:r>
        <w:rPr>
          <w:rFonts w:ascii="맑은 고딕" w:cs="맑은 고딕" w:eastAsia="맑은 고딕" w:hAnsi="맑은 고딕"/>
          <w:b/>
          <w:bCs/>
          <w:i w:val="false"/>
          <w:iCs w:val="false"/>
          <w:color w:val="1A1A1A"/>
          <w:sz w:val="20"/>
          <w:szCs w:val="20"/>
        </w:rPr>
        <w:t xml:space="preserve">분석이 판매 전략의 형태를 결정합니다.</w:t>
      </w:r>
      <w:r>
        <w:rPr>
          <w:rFonts w:ascii="맑은 고딕" w:cs="맑은 고딕" w:eastAsia="맑은 고딕" w:hAnsi="맑은 고딕"/>
          <w:b w:val="false"/>
          <w:bCs w:val="false"/>
          <w:i w:val="false"/>
          <w:iCs w:val="false"/>
          <w:color w:val="1A1A1A"/>
          <w:sz w:val="20"/>
          <w:szCs w:val="20"/>
        </w:rPr>
        <w:t xml:space="preserve"> 이것이 "광고 전에 팔릴 근거를 검증한다"(제1장)의 구체적 의미입니다.</w:t>
      </w:r>
    </w:p>
    <w:p>
      <w:pPr>
        <w:pStyle w:val="Heading3"/>
        <w:keepNext/>
        <w:spacing w:after="110" w:before="240"/>
      </w:pPr>
      <w:r>
        <w:rPr>
          <w:rFonts w:ascii="맑은 고딕" w:cs="맑은 고딕" w:eastAsia="맑은 고딕" w:hAnsi="맑은 고딕"/>
          <w:b/>
          <w:bCs/>
          <w:color w:val="5A5A5A"/>
          <w:sz w:val="20"/>
          <w:szCs w:val="20"/>
        </w:rPr>
        <w:t xml:space="preserve">5.8.1 판정 강건성 검사 — 이 결론은 가정이 바뀌면 뒤집히는가</w:t>
      </w:r>
    </w:p>
    <w:p>
      <w:pPr>
        <w:keepNext w:val="false"/>
        <w:spacing w:after="130" w:before="60" w:line="310"/>
        <w:jc w:val="both"/>
      </w:pPr>
      <w:r>
        <w:rPr>
          <w:rFonts w:ascii="맑은 고딕" w:cs="맑은 고딕" w:eastAsia="맑은 고딕" w:hAnsi="맑은 고딕"/>
          <w:b w:val="false"/>
          <w:bCs w:val="false"/>
          <w:i w:val="false"/>
          <w:iCs w:val="false"/>
          <w:color w:val="1A1A1A"/>
          <w:sz w:val="20"/>
          <w:szCs w:val="20"/>
        </w:rPr>
        <w:t xml:space="preserve">판정은 데이터만으로 나오지 않습니다. 연식 조정계수, LTV·DSR 한도, 단계별 공급 실현률, 촉매 실현 가능성처럼 </w:t>
      </w:r>
      <w:r>
        <w:rPr>
          <w:rFonts w:ascii="맑은 고딕" w:cs="맑은 고딕" w:eastAsia="맑은 고딕" w:hAnsi="맑은 고딕"/>
          <w:b/>
          <w:bCs/>
          <w:i w:val="false"/>
          <w:iCs w:val="false"/>
          <w:color w:val="1A1A1A"/>
          <w:sz w:val="20"/>
          <w:szCs w:val="20"/>
        </w:rPr>
        <w:t xml:space="preserve">선택된 가정</w:t>
      </w:r>
      <w:r>
        <w:rPr>
          <w:rFonts w:ascii="맑은 고딕" w:cs="맑은 고딕" w:eastAsia="맑은 고딕" w:hAnsi="맑은 고딕"/>
          <w:b w:val="false"/>
          <w:bCs w:val="false"/>
          <w:i w:val="false"/>
          <w:iCs w:val="false"/>
          <w:color w:val="1A1A1A"/>
          <w:sz w:val="20"/>
          <w:szCs w:val="20"/>
        </w:rPr>
        <w:t xml:space="preserve">이 함께 들어갑니다. 이 가정들은 리포트에 LIMITATION으로 기재되지만, 기재되어 있다는 것과 그 가정이 결론을 좌우한다는 것을 발주처가 아는 것은 다릅니다.</w:t>
      </w:r>
    </w:p>
    <w:p>
      <w:pPr>
        <w:keepNext w:val="false"/>
        <w:spacing w:after="130" w:before="60" w:line="310"/>
        <w:jc w:val="both"/>
      </w:pPr>
      <w:r>
        <w:rPr>
          <w:rFonts w:ascii="맑은 고딕" w:cs="맑은 고딕" w:eastAsia="맑은 고딕" w:hAnsi="맑은 고딕"/>
          <w:b w:val="false"/>
          <w:bCs w:val="false"/>
          <w:i w:val="false"/>
          <w:iCs w:val="false"/>
          <w:color w:val="1A1A1A"/>
          <w:sz w:val="20"/>
          <w:szCs w:val="20"/>
        </w:rPr>
        <w:t xml:space="preserve">그래서 리포트는 매 회차 각 가정을 합리적 범위에서 흔든 뒤 </w:t>
      </w:r>
      <w:r>
        <w:rPr>
          <w:rFonts w:ascii="맑은 고딕" w:cs="맑은 고딕" w:eastAsia="맑은 고딕" w:hAnsi="맑은 고딕"/>
          <w:b/>
          <w:bCs/>
          <w:i w:val="false"/>
          <w:iCs w:val="false"/>
          <w:color w:val="1A1A1A"/>
          <w:sz w:val="20"/>
          <w:szCs w:val="20"/>
        </w:rPr>
        <w:t xml:space="preserve">운영과 동일한 판정 함수로</w:t>
      </w:r>
      <w:r>
        <w:rPr>
          <w:rFonts w:ascii="맑은 고딕" w:cs="맑은 고딕" w:eastAsia="맑은 고딕" w:hAnsi="맑은 고딕"/>
          <w:b w:val="false"/>
          <w:bCs w:val="false"/>
          <w:i w:val="false"/>
          <w:iCs w:val="false"/>
          <w:color w:val="1A1A1A"/>
          <w:sz w:val="20"/>
          <w:szCs w:val="20"/>
        </w:rPr>
        <w:t xml:space="preserve"> 판정을 다시 계산합니다. 방향이 유지되면 데이터가 지지하는 결론이고, 뒤집히면 그 판정은 가정에 의존합니다. 검사 결과는 리포트 1-2절에 표로 실리며, 뒤집힌 판정은 결론 요약 바로 아래에도 표기됩니다.</w:t>
      </w:r>
    </w:p>
    <w:p>
      <w:pPr>
        <w:keepNext/>
        <w:spacing w:after="90" w:before="220"/>
      </w:pPr>
      <w:r>
        <w:rPr>
          <w:rFonts w:ascii="맑은 고딕" w:cs="맑은 고딕" w:eastAsia="맑은 고딕" w:hAnsi="맑은 고딕"/>
          <w:b/>
          <w:bCs/>
          <w:color w:val="1F3864"/>
          <w:sz w:val="18"/>
          <w:szCs w:val="18"/>
        </w:rPr>
        <w:t xml:space="preserve">[표 5-19-1] 판정별 강건성 검사 항목</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6"/>
        <w:gridCol w:w="2090"/>
        <w:gridCol w:w="5342"/>
      </w:tblGrid>
      <w:tr>
        <w:trPr>
          <w:cantSplit/>
          <w:tblHeader/>
        </w:trPr>
        <w:tc>
          <w:tcPr>
            <w:tcW w:type="dxa" w:w="2206"/>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판정</w:t>
            </w:r>
          </w:p>
        </w:tc>
        <w:tc>
          <w:tcPr>
            <w:tcW w:type="dxa" w:w="2090"/>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흔드는 가정</w:t>
            </w:r>
          </w:p>
        </w:tc>
        <w:tc>
          <w:tcPr>
            <w:tcW w:type="dxa" w:w="5342"/>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교란 폭</w:t>
            </w:r>
          </w:p>
        </w:tc>
      </w:tr>
      <w:tr>
        <w:trPr>
          <w:cantSplit/>
          <w:tblHeader w:val="false"/>
        </w:trPr>
        <w:tc>
          <w:tcPr>
            <w:tcW w:type="dxa" w:w="220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① 현재 가격 위치</w:t>
            </w:r>
          </w:p>
        </w:tc>
        <w:tc>
          <w:tcPr>
            <w:tcW w:type="dxa" w:w="209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연식 조정계수</w:t>
            </w:r>
          </w:p>
        </w:tc>
        <w:tc>
          <w:tcPr>
            <w:tcW w:type="dxa" w:w="5342"/>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×0.5 / ×1.5 (조정 상한도 같은 규칙으로 재계산)</w:t>
            </w:r>
          </w:p>
        </w:tc>
      </w:tr>
      <w:tr>
        <w:trPr>
          <w:cantSplit/>
          <w:tblHeader w:val="false"/>
        </w:trPr>
        <w:tc>
          <w:tcPr>
            <w:tcW w:type="dxa" w:w="2206"/>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① 현재 가격 위치</w:t>
            </w:r>
          </w:p>
        </w:tc>
        <w:tc>
          <w:tcPr>
            <w:tcW w:type="dxa" w:w="209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시점수정률</w:t>
            </w:r>
          </w:p>
        </w:tc>
        <w:tc>
          <w:tcPr>
            <w:tcW w:type="dxa" w:w="5342"/>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±2%p/년</w:t>
            </w:r>
          </w:p>
        </w:tc>
      </w:tr>
      <w:tr>
        <w:trPr>
          <w:cantSplit/>
          <w:tblHeader w:val="false"/>
        </w:trPr>
        <w:tc>
          <w:tcPr>
            <w:tcW w:type="dxa" w:w="220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② 수요 지속성</w:t>
            </w:r>
          </w:p>
        </w:tc>
        <w:tc>
          <w:tcPr>
            <w:tcW w:type="dxa" w:w="209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LTV·DSR 한도</w:t>
            </w:r>
          </w:p>
        </w:tc>
        <w:tc>
          <w:tcPr>
            <w:tcW w:type="dxa" w:w="5342"/>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LTV 0.5→0.4 · DSR 0.4→0.3 (규제 강화)</w:t>
            </w:r>
          </w:p>
        </w:tc>
      </w:tr>
      <w:tr>
        <w:trPr>
          <w:cantSplit/>
          <w:tblHeader w:val="false"/>
        </w:trPr>
        <w:tc>
          <w:tcPr>
            <w:tcW w:type="dxa" w:w="2206"/>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② 수요 지속성</w:t>
            </w:r>
          </w:p>
        </w:tc>
        <w:tc>
          <w:tcPr>
            <w:tcW w:type="dxa" w:w="209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가용 자기자본 배수</w:t>
            </w:r>
          </w:p>
        </w:tc>
        <w:tc>
          <w:tcPr>
            <w:tcW w:type="dxa" w:w="5342"/>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연소득×4 → ×3</w:t>
            </w:r>
          </w:p>
        </w:tc>
      </w:tr>
      <w:tr>
        <w:trPr>
          <w:cantSplit/>
          <w:tblHeader w:val="false"/>
        </w:trPr>
        <w:tc>
          <w:tcPr>
            <w:tcW w:type="dxa" w:w="220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③ 공급·환금성 위험</w:t>
            </w:r>
          </w:p>
        </w:tc>
        <w:tc>
          <w:tcPr>
            <w:tcW w:type="dxa" w:w="209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단계별 공급 실현률</w:t>
            </w:r>
          </w:p>
        </w:tc>
        <w:tc>
          <w:tcPr>
            <w:tcW w:type="dxa" w:w="5342"/>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전 단계 ±20%p</w:t>
            </w:r>
          </w:p>
        </w:tc>
      </w:tr>
      <w:tr>
        <w:trPr>
          <w:cantSplit/>
          <w:tblHeader w:val="false"/>
        </w:trPr>
        <w:tc>
          <w:tcPr>
            <w:tcW w:type="dxa" w:w="2206"/>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③ 공급·환금성 위험</w:t>
            </w:r>
          </w:p>
        </w:tc>
        <w:tc>
          <w:tcPr>
            <w:tcW w:type="dxa" w:w="209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환금성 '양호' 기준</w:t>
            </w:r>
          </w:p>
        </w:tc>
        <w:tc>
          <w:tcPr>
            <w:tcW w:type="dxa" w:w="5342"/>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연 회전율 6% → 9%</w:t>
            </w:r>
          </w:p>
        </w:tc>
      </w:tr>
      <w:tr>
        <w:trPr>
          <w:cantSplit/>
          <w:tblHeader w:val="false"/>
        </w:trPr>
        <w:tc>
          <w:tcPr>
            <w:tcW w:type="dxa" w:w="220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④ 촉매·실행 가능성</w:t>
            </w:r>
          </w:p>
        </w:tc>
        <w:tc>
          <w:tcPr>
            <w:tcW w:type="dxa" w:w="209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단계별 실현 가능성</w:t>
            </w:r>
          </w:p>
        </w:tc>
        <w:tc>
          <w:tcPr>
            <w:tcW w:type="dxa" w:w="5342"/>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±10%p</w:t>
            </w:r>
          </w:p>
        </w:tc>
      </w:tr>
    </w:tbl>
    <w:p>
      <w:pPr>
        <w:spacing w:after="200" w:before="0"/>
      </w:pPr>
    </w:p>
    <w:p>
      <w:pPr>
        <w:keepNext w:val="false"/>
        <w:spacing w:after="130" w:before="60" w:line="310"/>
        <w:jc w:val="both"/>
      </w:pPr>
      <w:r>
        <w:rPr>
          <w:rFonts w:ascii="맑은 고딕" w:cs="맑은 고딕" w:eastAsia="맑은 고딕" w:hAnsi="맑은 고딕"/>
          <w:b w:val="false"/>
          <w:bCs w:val="false"/>
          <w:i w:val="false"/>
          <w:iCs w:val="false"/>
          <w:color w:val="1A1A1A"/>
          <w:sz w:val="20"/>
          <w:szCs w:val="20"/>
        </w:rPr>
        <w:t xml:space="preserve">검사에는 세 가지 규율이 적용됩니다. 첫째, </w:t>
      </w:r>
      <w:r>
        <w:rPr>
          <w:rFonts w:ascii="맑은 고딕" w:cs="맑은 고딕" w:eastAsia="맑은 고딕" w:hAnsi="맑은 고딕"/>
          <w:b/>
          <w:bCs/>
          <w:i w:val="false"/>
          <w:iCs w:val="false"/>
          <w:color w:val="1A1A1A"/>
          <w:sz w:val="20"/>
          <w:szCs w:val="20"/>
        </w:rPr>
        <w:t xml:space="preserve">판정 로직을 복제하지 않습니다</w:t>
      </w:r>
      <w:r>
        <w:rPr>
          <w:rFonts w:ascii="맑은 고딕" w:cs="맑은 고딕" w:eastAsia="맑은 고딕" w:hAnsi="맑은 고딕"/>
          <w:b w:val="false"/>
          <w:bCs w:val="false"/>
          <w:i w:val="false"/>
          <w:iCs w:val="false"/>
          <w:color w:val="1A1A1A"/>
          <w:sz w:val="20"/>
          <w:szCs w:val="20"/>
        </w:rPr>
        <w:t xml:space="preserve"> — 교란은 운영 함수의 파라미터로만 들어가며, 검사 대상과 검사 도구가 갈라지면 검사 자체가 무의미해지기 때문입니다. 둘째, </w:t>
      </w:r>
      <w:r>
        <w:rPr>
          <w:rFonts w:ascii="맑은 고딕" w:cs="맑은 고딕" w:eastAsia="맑은 고딕" w:hAnsi="맑은 고딕"/>
          <w:b/>
          <w:bCs/>
          <w:i w:val="false"/>
          <w:iCs w:val="false"/>
          <w:color w:val="1A1A1A"/>
          <w:sz w:val="20"/>
          <w:szCs w:val="20"/>
        </w:rPr>
        <w:t xml:space="preserve">흔들 수 없는 가정은 '검사 안 함'으로 남깁니다</w:t>
      </w:r>
      <w:r>
        <w:rPr>
          <w:rFonts w:ascii="맑은 고딕" w:cs="맑은 고딕" w:eastAsia="맑은 고딕" w:hAnsi="맑은 고딕"/>
          <w:b w:val="false"/>
          <w:bCs w:val="false"/>
          <w:i w:val="false"/>
          <w:iCs w:val="false"/>
          <w:color w:val="1A1A1A"/>
          <w:sz w:val="20"/>
          <w:szCs w:val="20"/>
        </w:rPr>
        <w:t xml:space="preserve"> — 소득 표본이 없어 수요 판정을 재계산할 수 없으면 그 사실을 사유와 함께 적습니다. 셋째, </w:t>
      </w:r>
      <w:r>
        <w:rPr>
          <w:rFonts w:ascii="맑은 고딕" w:cs="맑은 고딕" w:eastAsia="맑은 고딕" w:hAnsi="맑은 고딕"/>
          <w:b/>
          <w:bCs/>
          <w:i w:val="false"/>
          <w:iCs w:val="false"/>
          <w:color w:val="1A1A1A"/>
          <w:sz w:val="20"/>
          <w:szCs w:val="20"/>
        </w:rPr>
        <w:t xml:space="preserve">교란 폭 자체가 가정임을 밝힙니다</w:t>
      </w:r>
      <w:r>
        <w:rPr>
          <w:rFonts w:ascii="맑은 고딕" w:cs="맑은 고딕" w:eastAsia="맑은 고딕" w:hAnsi="맑은 고딕"/>
          <w:b w:val="false"/>
          <w:bCs w:val="false"/>
          <w:i w:val="false"/>
          <w:iCs w:val="false"/>
          <w:color w:val="1A1A1A"/>
          <w:sz w:val="20"/>
          <w:szCs w:val="20"/>
        </w:rPr>
        <w:t xml:space="preserve"> — 폭은 상수로 노출되어 있고 근거원장에 한계로 등재됩니다.</w:t>
      </w:r>
    </w:p>
    <w:p>
      <w:pPr>
        <w:keepNext w:val="false"/>
        <w:spacing w:after="130" w:before="60" w:line="310"/>
        <w:jc w:val="both"/>
      </w:pPr>
      <w:r>
        <w:rPr>
          <w:rFonts w:ascii="맑은 고딕" w:cs="맑은 고딕" w:eastAsia="맑은 고딕" w:hAnsi="맑은 고딕"/>
          <w:b w:val="false"/>
          <w:bCs w:val="false"/>
          <w:i w:val="false"/>
          <w:iCs w:val="false"/>
          <w:color w:val="1A1A1A"/>
          <w:sz w:val="20"/>
          <w:szCs w:val="20"/>
        </w:rPr>
        <w:t xml:space="preserve">결과는 상담 단계까지 이어집니다. 가정 의존으로 판정된 축의 답변은 판매 논리 산출물(제6장)에서 </w:t>
      </w:r>
      <w:r>
        <w:rPr>
          <w:rFonts w:ascii="맑은 고딕" w:cs="맑은 고딕" w:eastAsia="맑은 고딕" w:hAnsi="맑은 고딕"/>
          <w:b/>
          <w:bCs/>
          <w:i w:val="false"/>
          <w:iCs w:val="false"/>
          <w:color w:val="1A1A1A"/>
          <w:sz w:val="20"/>
          <w:szCs w:val="20"/>
        </w:rPr>
        <w:t xml:space="preserve">단정형 문장 사용이 차단</w:t>
      </w:r>
      <w:r>
        <w:rPr>
          <w:rFonts w:ascii="맑은 고딕" w:cs="맑은 고딕" w:eastAsia="맑은 고딕" w:hAnsi="맑은 고딕"/>
          <w:b w:val="false"/>
          <w:bCs w:val="false"/>
          <w:i w:val="false"/>
          <w:iCs w:val="false"/>
          <w:color w:val="1A1A1A"/>
          <w:sz w:val="20"/>
          <w:szCs w:val="20"/>
        </w:rPr>
        <w:t xml:space="preserve">되고 "현재 가정 기준"이 병기됩니다. 분석이 스스로 흔들린다고 밝힌 결론을 상담 조직이 확언으로 사용하는 것을 구조적으로 막기 위해서입니다.</w:t>
      </w:r>
    </w:p>
    <w:p>
      <w:pPr>
        <w:pStyle w:val="Heading2"/>
        <w:keepNext/>
        <w:spacing w:after="140" w:before="300"/>
      </w:pPr>
      <w:r>
        <w:rPr>
          <w:rFonts w:ascii="맑은 고딕" w:cs="맑은 고딕" w:eastAsia="맑은 고딕" w:hAnsi="맑은 고딕"/>
          <w:b/>
          <w:bCs/>
          <w:color w:val="1A1A1A"/>
          <w:sz w:val="23"/>
          <w:szCs w:val="23"/>
        </w:rPr>
        <w:t xml:space="preserve">5.9 신뢰 통제 장치</w:t>
      </w:r>
    </w:p>
    <w:p>
      <w:pPr>
        <w:keepNext w:val="false"/>
        <w:spacing w:after="130" w:before="60" w:line="310"/>
        <w:jc w:val="both"/>
      </w:pPr>
      <w:r>
        <w:rPr>
          <w:rFonts w:ascii="맑은 고딕" w:cs="맑은 고딕" w:eastAsia="맑은 고딕" w:hAnsi="맑은 고딕"/>
          <w:b w:val="false"/>
          <w:bCs w:val="false"/>
          <w:i w:val="false"/>
          <w:iCs w:val="false"/>
          <w:color w:val="1A1A1A"/>
          <w:sz w:val="20"/>
          <w:szCs w:val="20"/>
        </w:rPr>
        <w:t xml:space="preserve">분석 결과가 광고·상담으로 전달되는 경로에는 세 겹의 통제가 있습니다.</w:t>
      </w:r>
    </w:p>
    <w:p>
      <w:pPr>
        <w:pStyle w:val="Heading3"/>
        <w:keepNext/>
        <w:spacing w:after="110" w:before="240"/>
      </w:pPr>
      <w:r>
        <w:rPr>
          <w:rFonts w:ascii="맑은 고딕" w:cs="맑은 고딕" w:eastAsia="맑은 고딕" w:hAnsi="맑은 고딕"/>
          <w:b/>
          <w:bCs/>
          <w:color w:val="5A5A5A"/>
          <w:sz w:val="20"/>
          <w:szCs w:val="20"/>
        </w:rPr>
        <w:t xml:space="preserve">5.9.1 다섯 가지 표현 등급</w:t>
      </w:r>
    </w:p>
    <w:p>
      <w:pPr>
        <w:keepNext w:val="false"/>
        <w:spacing w:after="130" w:before="60" w:line="310"/>
        <w:jc w:val="both"/>
      </w:pPr>
      <w:r>
        <w:rPr>
          <w:rFonts w:ascii="맑은 고딕" w:cs="맑은 고딕" w:eastAsia="맑은 고딕" w:hAnsi="맑은 고딕"/>
          <w:b w:val="false"/>
          <w:bCs w:val="false"/>
          <w:i w:val="false"/>
          <w:iCs w:val="false"/>
          <w:color w:val="1A1A1A"/>
          <w:sz w:val="20"/>
          <w:szCs w:val="20"/>
        </w:rPr>
        <w:t xml:space="preserve">분석의 모든 문장은 다음 중 하나로 분류되며, 등급에 따라 사용 가능한 표현의 강도가 달라집니다.</w:t>
      </w:r>
    </w:p>
    <w:p>
      <w:pPr>
        <w:keepNext/>
        <w:spacing w:after="90" w:before="220"/>
      </w:pPr>
      <w:r>
        <w:rPr>
          <w:rFonts w:ascii="맑은 고딕" w:cs="맑은 고딕" w:eastAsia="맑은 고딕" w:hAnsi="맑은 고딕"/>
          <w:b/>
          <w:bCs/>
          <w:color w:val="1F3864"/>
          <w:sz w:val="18"/>
          <w:szCs w:val="18"/>
        </w:rPr>
        <w:t xml:space="preserve">[표 5-20] 분석 표현의 5등급</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2"/>
        <w:gridCol w:w="3771"/>
        <w:gridCol w:w="4715"/>
      </w:tblGrid>
      <w:tr>
        <w:trPr>
          <w:cantSplit/>
          <w:tblHeader/>
        </w:trPr>
        <w:tc>
          <w:tcPr>
            <w:tcW w:type="dxa" w:w="1152"/>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표시</w:t>
            </w:r>
          </w:p>
        </w:tc>
        <w:tc>
          <w:tcPr>
            <w:tcW w:type="dxa" w:w="3771"/>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의미</w:t>
            </w:r>
          </w:p>
        </w:tc>
        <w:tc>
          <w:tcPr>
            <w:tcW w:type="dxa" w:w="4715"/>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사용 예시</w:t>
            </w:r>
          </w:p>
        </w:tc>
      </w:tr>
      <w:tr>
        <w:trPr>
          <w:cantSplit/>
          <w:tblHeader w:val="false"/>
        </w:trPr>
        <w:tc>
          <w:tcPr>
            <w:tcW w:type="dxa" w:w="1152"/>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FACT</w:t>
            </w:r>
          </w:p>
        </w:tc>
        <w:tc>
          <w:tcPr>
            <w:tcW w:type="dxa" w:w="377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공식 자료에서 직접 확인한 사실</w:t>
            </w:r>
          </w:p>
        </w:tc>
        <w:tc>
          <w:tcPr>
            <w:tcW w:type="dxa" w:w="4715"/>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기준일 현재 실거래, 고시, 예산, 착공 상태</w:t>
            </w:r>
          </w:p>
        </w:tc>
      </w:tr>
      <w:tr>
        <w:trPr>
          <w:cantSplit/>
          <w:tblHeader w:val="false"/>
        </w:trPr>
        <w:tc>
          <w:tcPr>
            <w:tcW w:type="dxa" w:w="1152"/>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CALCULATION</w:t>
            </w:r>
          </w:p>
        </w:tc>
        <w:tc>
          <w:tcPr>
            <w:tcW w:type="dxa" w:w="3771"/>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공개된 입력값과 산식으로 산출한 계산</w:t>
            </w:r>
          </w:p>
        </w:tc>
        <w:tc>
          <w:tcPr>
            <w:tcW w:type="dxa" w:w="4715"/>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총취득원가, 시간권 인구, 공급 부담</w:t>
            </w:r>
          </w:p>
        </w:tc>
      </w:tr>
      <w:tr>
        <w:trPr>
          <w:cantSplit/>
          <w:tblHeader w:val="false"/>
        </w:trPr>
        <w:tc>
          <w:tcPr>
            <w:tcW w:type="dxa" w:w="1152"/>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INFERENCE</w:t>
            </w:r>
          </w:p>
        </w:tc>
        <w:tc>
          <w:tcPr>
            <w:tcW w:type="dxa" w:w="377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여러 근거를 연결한 해석</w:t>
            </w:r>
          </w:p>
        </w:tc>
        <w:tc>
          <w:tcPr>
            <w:tcW w:type="dxa" w:w="4715"/>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직주근접 수요 가능성, 가격 저항의 원인</w:t>
            </w:r>
          </w:p>
        </w:tc>
      </w:tr>
      <w:tr>
        <w:trPr>
          <w:cantSplit/>
          <w:tblHeader w:val="false"/>
        </w:trPr>
        <w:tc>
          <w:tcPr>
            <w:tcW w:type="dxa" w:w="1152"/>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FORECAST</w:t>
            </w:r>
          </w:p>
        </w:tc>
        <w:tc>
          <w:tcPr>
            <w:tcW w:type="dxa" w:w="3771"/>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조건에 따라 달라지는 미래 시나리오</w:t>
            </w:r>
          </w:p>
        </w:tc>
        <w:tc>
          <w:tcPr>
            <w:tcW w:type="dxa" w:w="4715"/>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가정별 가격 범위</w:t>
            </w:r>
          </w:p>
        </w:tc>
      </w:tr>
      <w:tr>
        <w:trPr>
          <w:cantSplit/>
          <w:tblHeader w:val="false"/>
        </w:trPr>
        <w:tc>
          <w:tcPr>
            <w:tcW w:type="dxa" w:w="1152"/>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LIMITATION</w:t>
            </w:r>
          </w:p>
        </w:tc>
        <w:tc>
          <w:tcPr>
            <w:tcW w:type="dxa" w:w="377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데이터·권한·방법론의 한계</w:t>
            </w:r>
          </w:p>
        </w:tc>
        <w:tc>
          <w:tcPr>
            <w:tcW w:type="dxa" w:w="4715"/>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민간 데이터 미확보, 주소 매칭 오차, 표본 부족</w:t>
            </w:r>
          </w:p>
        </w:tc>
      </w:tr>
    </w:tbl>
    <w:p>
      <w:pPr>
        <w:spacing w:after="200" w:before="0"/>
      </w:pPr>
    </w:p>
    <w:p>
      <w:pPr>
        <w:keepNext w:val="false"/>
        <w:spacing w:after="130" w:before="60" w:line="310"/>
        <w:jc w:val="both"/>
      </w:pPr>
      <w:r>
        <w:rPr>
          <w:rFonts w:ascii="맑은 고딕" w:cs="맑은 고딕" w:eastAsia="맑은 고딕" w:hAnsi="맑은 고딕"/>
          <w:b w:val="false"/>
          <w:bCs w:val="false"/>
          <w:i w:val="false"/>
          <w:iCs w:val="false"/>
          <w:color w:val="1A1A1A"/>
          <w:sz w:val="20"/>
          <w:szCs w:val="20"/>
        </w:rPr>
        <w:t xml:space="preserve">LIMITATION을 등급의 하나로 명시하는 이유는, </w:t>
      </w:r>
      <w:r>
        <w:rPr>
          <w:rFonts w:ascii="맑은 고딕" w:cs="맑은 고딕" w:eastAsia="맑은 고딕" w:hAnsi="맑은 고딕"/>
          <w:b/>
          <w:bCs/>
          <w:i w:val="false"/>
          <w:iCs w:val="false"/>
          <w:color w:val="1A1A1A"/>
          <w:sz w:val="20"/>
          <w:szCs w:val="20"/>
        </w:rPr>
        <w:t xml:space="preserve">분석이 말할 수 없는 것을 말할 수 없다고 기록하는 것</w:t>
      </w:r>
      <w:r>
        <w:rPr>
          <w:rFonts w:ascii="맑은 고딕" w:cs="맑은 고딕" w:eastAsia="맑은 고딕" w:hAnsi="맑은 고딕"/>
          <w:b w:val="false"/>
          <w:bCs w:val="false"/>
          <w:i w:val="false"/>
          <w:iCs w:val="false"/>
          <w:color w:val="1A1A1A"/>
          <w:sz w:val="20"/>
          <w:szCs w:val="20"/>
        </w:rPr>
        <w:t xml:space="preserve">이 말할 수 있는 것의 신뢰를 지키는 방법이기 때문입니다.</w:t>
      </w:r>
    </w:p>
    <w:p>
      <w:pPr>
        <w:pStyle w:val="Heading3"/>
        <w:keepNext/>
        <w:spacing w:after="110" w:before="240"/>
      </w:pPr>
      <w:r>
        <w:rPr>
          <w:rFonts w:ascii="맑은 고딕" w:cs="맑은 고딕" w:eastAsia="맑은 고딕" w:hAnsi="맑은 고딕"/>
          <w:b/>
          <w:bCs/>
          <w:color w:val="5A5A5A"/>
          <w:sz w:val="20"/>
          <w:szCs w:val="20"/>
        </w:rPr>
        <w:t xml:space="preserve">5.9.2 근거원장 — 모든 주장에 검증 가능한 주소를 부여한다</w:t>
      </w:r>
    </w:p>
    <w:p>
      <w:pPr>
        <w:keepNext w:val="false"/>
        <w:spacing w:after="130" w:before="60" w:line="310"/>
        <w:jc w:val="both"/>
      </w:pPr>
      <w:r>
        <w:rPr>
          <w:rFonts w:ascii="맑은 고딕" w:cs="맑은 고딕" w:eastAsia="맑은 고딕" w:hAnsi="맑은 고딕"/>
          <w:b w:val="false"/>
          <w:bCs w:val="false"/>
          <w:i w:val="false"/>
          <w:iCs w:val="false"/>
          <w:color w:val="1A1A1A"/>
          <w:sz w:val="20"/>
          <w:szCs w:val="20"/>
        </w:rPr>
        <w:t xml:space="preserve">모든 핵심 주장은 근거카드로 관리되어 역추적 가능합니다.</w:t>
      </w:r>
    </w:p>
    <w:p>
      <w:pPr>
        <w:keepNext/>
        <w:spacing w:after="90" w:before="220"/>
      </w:pPr>
      <w:r>
        <w:rPr>
          <w:rFonts w:ascii="맑은 고딕" w:cs="맑은 고딕" w:eastAsia="맑은 고딕" w:hAnsi="맑은 고딕"/>
          <w:b/>
          <w:bCs/>
          <w:color w:val="1F3864"/>
          <w:sz w:val="18"/>
          <w:szCs w:val="18"/>
        </w:rPr>
        <w:t xml:space="preserve">[표 5-21] 근거카드 구성</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7838"/>
      </w:tblGrid>
      <w:tr>
        <w:trPr>
          <w:cantSplit/>
          <w:tblHeader/>
        </w:trPr>
        <w:tc>
          <w:tcPr>
            <w:tcW w:type="dxa" w:w="1800"/>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항목</w:t>
            </w:r>
          </w:p>
        </w:tc>
        <w:tc>
          <w:tcPr>
            <w:tcW w:type="dxa" w:w="7838"/>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기록 내용</w:t>
            </w:r>
          </w:p>
        </w:tc>
      </w:tr>
      <w:tr>
        <w:trPr>
          <w:cantSplit/>
          <w:tblHeader w:val="false"/>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결론</w:t>
            </w:r>
          </w:p>
        </w:tc>
        <w:tc>
          <w:tcPr>
            <w:tcW w:type="dxa" w:w="783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무엇을 판단했는가</w:t>
            </w:r>
          </w:p>
        </w:tc>
      </w:tr>
      <w:tr>
        <w:trPr>
          <w:cantSplit/>
          <w:tblHeader w:val="false"/>
        </w:trPr>
        <w:tc>
          <w:tcPr>
            <w:tcW w:type="dxa" w:w="180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근거</w:t>
            </w:r>
          </w:p>
        </w:tc>
        <w:tc>
          <w:tcPr>
            <w:tcW w:type="dxa" w:w="7838"/>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기관·데이터명·문서번호·기준일</w:t>
            </w:r>
          </w:p>
        </w:tc>
      </w:tr>
      <w:tr>
        <w:trPr>
          <w:cantSplit/>
          <w:tblHeader w:val="false"/>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산출</w:t>
            </w:r>
          </w:p>
        </w:tc>
        <w:tc>
          <w:tcPr>
            <w:tcW w:type="dxa" w:w="783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분석 범위·단위·계산 방식</w:t>
            </w:r>
          </w:p>
        </w:tc>
      </w:tr>
      <w:tr>
        <w:trPr>
          <w:cantSplit/>
          <w:tblHeader w:val="false"/>
        </w:trPr>
        <w:tc>
          <w:tcPr>
            <w:tcW w:type="dxa" w:w="180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반대</w:t>
            </w:r>
          </w:p>
        </w:tc>
        <w:tc>
          <w:tcPr>
            <w:tcW w:type="dxa" w:w="7838"/>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결론을 약화하는 데이터</w:t>
            </w:r>
          </w:p>
        </w:tc>
      </w:tr>
      <w:tr>
        <w:trPr>
          <w:cantSplit/>
          <w:tblHeader w:val="false"/>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영업</w:t>
            </w:r>
          </w:p>
        </w:tc>
        <w:tc>
          <w:tcPr>
            <w:tcW w:type="dxa" w:w="783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사용 가능 문장·금지 문장·추가 확인사항</w:t>
            </w:r>
          </w:p>
        </w:tc>
      </w:tr>
    </w:tbl>
    <w:p>
      <w:pPr>
        <w:spacing w:after="200" w:before="0"/>
      </w:pPr>
    </w:p>
    <w:p>
      <w:pPr>
        <w:keepNext w:val="false"/>
        <w:spacing w:after="130" w:before="60" w:line="310"/>
        <w:jc w:val="both"/>
      </w:pPr>
      <w:r>
        <w:rPr>
          <w:rFonts w:ascii="맑은 고딕" w:cs="맑은 고딕" w:eastAsia="맑은 고딕" w:hAnsi="맑은 고딕"/>
          <w:b w:val="false"/>
          <w:bCs w:val="false"/>
          <w:i w:val="false"/>
          <w:iCs w:val="false"/>
          <w:color w:val="1A1A1A"/>
          <w:sz w:val="20"/>
          <w:szCs w:val="20"/>
        </w:rPr>
        <w:t xml:space="preserve">개발호재에는 별도의 </w:t>
      </w:r>
      <w:r>
        <w:rPr>
          <w:rFonts w:ascii="맑은 고딕" w:cs="맑은 고딕" w:eastAsia="맑은 고딕" w:hAnsi="맑은 고딕"/>
          <w:b/>
          <w:bCs/>
          <w:i w:val="false"/>
          <w:iCs w:val="false"/>
          <w:color w:val="1A1A1A"/>
          <w:sz w:val="20"/>
          <w:szCs w:val="20"/>
        </w:rPr>
        <w:t xml:space="preserve">촉매카드</w:t>
      </w:r>
      <w:r>
        <w:rPr>
          <w:rFonts w:ascii="맑은 고딕" w:cs="맑은 고딕" w:eastAsia="맑은 고딕" w:hAnsi="맑은 고딕"/>
          <w:b w:val="false"/>
          <w:bCs w:val="false"/>
          <w:i w:val="false"/>
          <w:iCs w:val="false"/>
          <w:color w:val="1A1A1A"/>
          <w:sz w:val="20"/>
          <w:szCs w:val="20"/>
        </w:rPr>
        <w:t xml:space="preserve">를 고객용으로 제공합니다 — 프로젝트 공식명·사업주체, 현장과의 거리·시간 관계, 공식 추진 단계와 기준일, 정부 원문 링크, 예산 집행 현황, 당사 계산, 반대근거, 사용 가능·조건부·금지 문장.</w:t>
      </w:r>
    </w:p>
    <w:p>
      <w:pPr>
        <w:keepNext w:val="false"/>
        <w:spacing w:after="130" w:before="60" w:line="310"/>
        <w:jc w:val="both"/>
      </w:pPr>
      <w:r>
        <w:rPr>
          <w:rFonts w:ascii="맑은 고딕" w:cs="맑은 고딕" w:eastAsia="맑은 고딕" w:hAnsi="맑은 고딕"/>
          <w:b w:val="false"/>
          <w:bCs w:val="false"/>
          <w:i w:val="false"/>
          <w:iCs w:val="false"/>
          <w:color w:val="1A1A1A"/>
          <w:sz w:val="20"/>
          <w:szCs w:val="20"/>
        </w:rPr>
        <w:t xml:space="preserve">내부적으로는 데이터·계산·주장·프로젝트 상태·광고사용의 5개 원장이 이를 뒷받침합니다. 특히 </w:t>
      </w:r>
      <w:r>
        <w:rPr>
          <w:rFonts w:ascii="맑은 고딕" w:cs="맑은 고딕" w:eastAsia="맑은 고딕" w:hAnsi="맑은 고딕"/>
          <w:b/>
          <w:bCs/>
          <w:i w:val="false"/>
          <w:iCs w:val="false"/>
          <w:color w:val="1A1A1A"/>
          <w:sz w:val="20"/>
          <w:szCs w:val="20"/>
        </w:rPr>
        <w:t xml:space="preserve">광고사용 원장</w:t>
      </w:r>
      <w:r>
        <w:rPr>
          <w:rFonts w:ascii="맑은 고딕" w:cs="맑은 고딕" w:eastAsia="맑은 고딕" w:hAnsi="맑은 고딕"/>
          <w:b w:val="false"/>
          <w:bCs w:val="false"/>
          <w:i w:val="false"/>
          <w:iCs w:val="false"/>
          <w:color w:val="1A1A1A"/>
          <w:sz w:val="20"/>
          <w:szCs w:val="20"/>
        </w:rPr>
        <w:t xml:space="preserve">은 "이 문구를 언제, 누가, 어떤 근거로 승인했고, 어떤 조건에서 철회되는가"를 기록하여 표현 책임의 소재를 명확히 합니다.</w:t>
      </w:r>
    </w:p>
    <w:p>
      <w:pPr>
        <w:keepNext w:val="false"/>
        <w:spacing w:after="130" w:before="60" w:line="310"/>
        <w:jc w:val="both"/>
      </w:pPr>
      <w:r>
        <w:rPr>
          <w:rFonts w:ascii="맑은 고딕" w:cs="맑은 고딕" w:eastAsia="맑은 고딕" w:hAnsi="맑은 고딕"/>
          <w:b/>
          <w:bCs/>
          <w:i w:val="false"/>
          <w:iCs w:val="false"/>
          <w:color w:val="1A1A1A"/>
          <w:sz w:val="20"/>
          <w:szCs w:val="20"/>
        </w:rPr>
        <w:t xml:space="preserve">리포트에 실리는 형태.</w:t>
      </w:r>
      <w:r>
        <w:rPr>
          <w:rFonts w:ascii="맑은 고딕" w:cs="맑은 고딕" w:eastAsia="맑은 고딕" w:hAnsi="맑은 고딕"/>
          <w:b w:val="false"/>
          <w:bCs w:val="false"/>
          <w:i w:val="false"/>
          <w:iCs w:val="false"/>
          <w:color w:val="1A1A1A"/>
          <w:sz w:val="20"/>
          <w:szCs w:val="20"/>
        </w:rPr>
        <w:t xml:space="preserve"> 근거원장은 내부 관리 문서에 그치지 않고, </w:t>
      </w:r>
      <w:r>
        <w:rPr>
          <w:rFonts w:ascii="맑은 고딕" w:cs="맑은 고딕" w:eastAsia="맑은 고딕" w:hAnsi="맑은 고딕"/>
          <w:b/>
          <w:bCs/>
          <w:i w:val="false"/>
          <w:iCs w:val="false"/>
          <w:color w:val="1A1A1A"/>
          <w:sz w:val="20"/>
          <w:szCs w:val="20"/>
        </w:rPr>
        <w:t xml:space="preserve">진단리포트의 한 절로 함께 납품</w:t>
      </w:r>
      <w:r>
        <w:rPr>
          <w:rFonts w:ascii="맑은 고딕" w:cs="맑은 고딕" w:eastAsia="맑은 고딕" w:hAnsi="맑은 고딕"/>
          <w:b w:val="false"/>
          <w:bCs w:val="false"/>
          <w:i w:val="false"/>
          <w:iCs w:val="false"/>
          <w:color w:val="1A1A1A"/>
          <w:sz w:val="20"/>
          <w:szCs w:val="20"/>
        </w:rPr>
        <w:t xml:space="preserve">됩니다. 리포트를 읽는 사람이 어떤 수치든 짚어서 되물을 수 있어야 하기 때문입니다.</w:t>
      </w:r>
    </w:p>
    <w:p>
      <w:pPr>
        <w:keepNext/>
        <w:spacing w:after="90" w:before="220"/>
      </w:pPr>
      <w:r>
        <w:rPr>
          <w:rFonts w:ascii="맑은 고딕" w:cs="맑은 고딕" w:eastAsia="맑은 고딕" w:hAnsi="맑은 고딕"/>
          <w:b/>
          <w:bCs/>
          <w:color w:val="1F3864"/>
          <w:sz w:val="18"/>
          <w:szCs w:val="18"/>
        </w:rPr>
        <w:t xml:space="preserve">[표 5-21-1] 근거원장 등재 항목</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7838"/>
      </w:tblGrid>
      <w:tr>
        <w:trPr>
          <w:cantSplit/>
          <w:tblHeader/>
        </w:trPr>
        <w:tc>
          <w:tcPr>
            <w:tcW w:type="dxa" w:w="1800"/>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항목</w:t>
            </w:r>
          </w:p>
        </w:tc>
        <w:tc>
          <w:tcPr>
            <w:tcW w:type="dxa" w:w="7838"/>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기록 내용</w:t>
            </w:r>
          </w:p>
        </w:tc>
      </w:tr>
      <w:tr>
        <w:trPr>
          <w:cantSplit/>
          <w:tblHeader w:val="false"/>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ID</w:t>
            </w:r>
          </w:p>
        </w:tc>
        <w:tc>
          <w:tcPr>
            <w:tcW w:type="dxa" w:w="783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본문에서 참조하는 식별자 (E-01, E-02 …)</w:t>
            </w:r>
          </w:p>
        </w:tc>
      </w:tr>
      <w:tr>
        <w:trPr>
          <w:cantSplit/>
          <w:tblHeader w:val="false"/>
        </w:trPr>
        <w:tc>
          <w:tcPr>
            <w:tcW w:type="dxa" w:w="180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지표·값</w:t>
            </w:r>
          </w:p>
        </w:tc>
        <w:tc>
          <w:tcPr>
            <w:tcW w:type="dxa" w:w="7838"/>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무엇이 얼마인가</w:t>
            </w:r>
          </w:p>
        </w:tc>
      </w:tr>
      <w:tr>
        <w:trPr>
          <w:cantSplit/>
          <w:tblHeader w:val="false"/>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산출</w:t>
            </w:r>
          </w:p>
        </w:tc>
        <w:tc>
          <w:tcPr>
            <w:tcW w:type="dxa" w:w="783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어느 모듈의 어떤 규칙으로 계산했는가 — 정제 룰 버전, 모델 버전, 계수 출처 포함</w:t>
            </w:r>
          </w:p>
        </w:tc>
      </w:tr>
      <w:tr>
        <w:trPr>
          <w:cantSplit/>
          <w:tblHeader w:val="false"/>
        </w:trPr>
        <w:tc>
          <w:tcPr>
            <w:tcW w:type="dxa" w:w="180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데이터</w:t>
            </w:r>
          </w:p>
        </w:tc>
        <w:tc>
          <w:tcPr>
            <w:tcW w:type="dxa" w:w="7838"/>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어떤 수집 이력에 기반하는가 — 출처명·수집 시각·응답 해시(SHA-256)</w:t>
            </w:r>
          </w:p>
        </w:tc>
      </w:tr>
      <w:tr>
        <w:trPr>
          <w:cantSplit/>
          <w:tblHeader w:val="false"/>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표본</w:t>
            </w:r>
          </w:p>
        </w:tc>
        <w:tc>
          <w:tcPr>
            <w:tcW w:type="dxa" w:w="783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몇 건에서 나왔는가</w:t>
            </w:r>
          </w:p>
        </w:tc>
      </w:tr>
      <w:tr>
        <w:trPr>
          <w:cantSplit/>
          <w:tblHeader w:val="false"/>
        </w:trPr>
        <w:tc>
          <w:tcPr>
            <w:tcW w:type="dxa" w:w="180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등급</w:t>
            </w:r>
          </w:p>
        </w:tc>
        <w:tc>
          <w:tcPr>
            <w:tcW w:type="dxa" w:w="7838"/>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FACT / CALCULATION / INFERENCE / FORECAST / LIMITATION (5.9.1)</w:t>
            </w:r>
          </w:p>
        </w:tc>
      </w:tr>
      <w:tr>
        <w:trPr>
          <w:cantSplit/>
          <w:tblHeader w:val="false"/>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한계</w:t>
            </w:r>
          </w:p>
        </w:tc>
        <w:tc>
          <w:tcPr>
            <w:tcW w:type="dxa" w:w="783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이 수치를 읽을 때 반드시 함께 봐야 하는 제약</w:t>
            </w:r>
          </w:p>
        </w:tc>
      </w:tr>
    </w:tbl>
    <w:p>
      <w:pPr>
        <w:spacing w:after="200" w:before="0"/>
      </w:pPr>
    </w:p>
    <w:p>
      <w:pPr>
        <w:keepNext w:val="false"/>
        <w:spacing w:after="130" w:before="60" w:line="310"/>
        <w:jc w:val="both"/>
      </w:pPr>
      <w:r>
        <w:rPr>
          <w:rFonts w:ascii="맑은 고딕" w:cs="맑은 고딕" w:eastAsia="맑은 고딕" w:hAnsi="맑은 고딕"/>
          <w:b/>
          <w:bCs/>
          <w:i w:val="false"/>
          <w:iCs w:val="false"/>
          <w:color w:val="1A1A1A"/>
          <w:sz w:val="20"/>
          <w:szCs w:val="20"/>
        </w:rPr>
        <w:t xml:space="preserve">산출하지 못한 지표도 '미산출'로 등재합니다.</w:t>
      </w:r>
      <w:r>
        <w:rPr>
          <w:rFonts w:ascii="맑은 고딕" w:cs="맑은 고딕" w:eastAsia="맑은 고딕" w:hAnsi="맑은 고딕"/>
          <w:b w:val="false"/>
          <w:bCs w:val="false"/>
          <w:i w:val="false"/>
          <w:iCs w:val="false"/>
          <w:color w:val="1A1A1A"/>
          <w:sz w:val="20"/>
          <w:szCs w:val="20"/>
        </w:rPr>
        <w:t xml:space="preserve"> 없는 근거를 조용히 빼면, 독자는 그 지표가 </w:t>
      </w:r>
      <w:r>
        <w:rPr>
          <w:rFonts w:ascii="맑은 고딕" w:cs="맑은 고딕" w:eastAsia="맑은 고딕" w:hAnsi="맑은 고딕"/>
          <w:b w:val="false"/>
          <w:bCs w:val="false"/>
          <w:i/>
          <w:iCs/>
          <w:color w:val="5A5A5A"/>
          <w:sz w:val="20"/>
          <w:szCs w:val="20"/>
        </w:rPr>
        <w:t xml:space="preserve">검토되지 않았는지</w:t>
      </w:r>
      <w:r>
        <w:rPr>
          <w:rFonts w:ascii="맑은 고딕" w:cs="맑은 고딕" w:eastAsia="맑은 고딕" w:hAnsi="맑은 고딕"/>
          <w:b w:val="false"/>
          <w:bCs w:val="false"/>
          <w:i w:val="false"/>
          <w:iCs w:val="false"/>
          <w:color w:val="1A1A1A"/>
          <w:sz w:val="20"/>
          <w:szCs w:val="20"/>
        </w:rPr>
        <w:t xml:space="preserve"> 아니면 </w:t>
      </w:r>
      <w:r>
        <w:rPr>
          <w:rFonts w:ascii="맑은 고딕" w:cs="맑은 고딕" w:eastAsia="맑은 고딕" w:hAnsi="맑은 고딕"/>
          <w:b w:val="false"/>
          <w:bCs w:val="false"/>
          <w:i/>
          <w:iCs/>
          <w:color w:val="5A5A5A"/>
          <w:sz w:val="20"/>
          <w:szCs w:val="20"/>
        </w:rPr>
        <w:t xml:space="preserve">검토했으나 표본이 기준에 미달했는지</w:t>
      </w:r>
      <w:r>
        <w:rPr>
          <w:rFonts w:ascii="맑은 고딕" w:cs="맑은 고딕" w:eastAsia="맑은 고딕" w:hAnsi="맑은 고딕"/>
          <w:b w:val="false"/>
          <w:bCs w:val="false"/>
          <w:i w:val="false"/>
          <w:iCs w:val="false"/>
          <w:color w:val="1A1A1A"/>
          <w:sz w:val="20"/>
          <w:szCs w:val="20"/>
        </w:rPr>
        <w:t xml:space="preserve"> 구분할 수 없습니다. 그 구분이 신뢰의 핵심이므로 빼지 않고 사유와 함께 남깁니다.</w:t>
      </w:r>
    </w:p>
    <w:p>
      <w:pPr>
        <w:keepNext w:val="false"/>
        <w:spacing w:after="130" w:before="60" w:line="310"/>
        <w:jc w:val="both"/>
      </w:pPr>
      <w:r>
        <w:rPr>
          <w:rFonts w:ascii="맑은 고딕" w:cs="맑은 고딕" w:eastAsia="맑은 고딕" w:hAnsi="맑은 고딕"/>
          <w:b w:val="false"/>
          <w:bCs w:val="false"/>
          <w:i w:val="false"/>
          <w:iCs w:val="false"/>
          <w:color w:val="1A1A1A"/>
          <w:sz w:val="20"/>
          <w:szCs w:val="20"/>
        </w:rPr>
        <w:t xml:space="preserve">인증키·원본 요청 URL은 원장에 기록되지 않습니다. 출처명과 응답 해시만으로 재현·대조가 가능하며, 자격증명이 산출물로 새어 나가지 않도록 통제합니다.</w:t>
      </w:r>
    </w:p>
    <w:p>
      <w:pPr>
        <w:pStyle w:val="Heading3"/>
        <w:keepNext/>
        <w:spacing w:after="110" w:before="240"/>
      </w:pPr>
      <w:r>
        <w:rPr>
          <w:rFonts w:ascii="맑은 고딕" w:cs="맑은 고딕" w:eastAsia="맑은 고딕" w:hAnsi="맑은 고딕"/>
          <w:b/>
          <w:bCs/>
          <w:color w:val="5A5A5A"/>
          <w:sz w:val="20"/>
          <w:szCs w:val="20"/>
        </w:rPr>
        <w:t xml:space="preserve">5.9.3 역할 분리 — 본 문서에서 AI의 역할을 정의하는 유일한 절</w:t>
      </w:r>
    </w:p>
    <w:p>
      <w:pPr>
        <w:keepNext w:val="false"/>
        <w:spacing w:after="130" w:before="60" w:line="310"/>
        <w:jc w:val="both"/>
      </w:pPr>
      <w:r>
        <w:rPr>
          <w:rFonts w:ascii="맑은 고딕" w:cs="맑은 고딕" w:eastAsia="맑은 고딕" w:hAnsi="맑은 고딕"/>
          <w:b w:val="false"/>
          <w:bCs w:val="false"/>
          <w:i w:val="false"/>
          <w:iCs w:val="false"/>
          <w:color w:val="1A1A1A"/>
          <w:sz w:val="20"/>
          <w:szCs w:val="20"/>
        </w:rPr>
        <w:t xml:space="preserve">AI가 담당하는 것은 </w:t>
      </w:r>
      <w:r>
        <w:rPr>
          <w:rFonts w:ascii="맑은 고딕" w:cs="맑은 고딕" w:eastAsia="맑은 고딕" w:hAnsi="맑은 고딕"/>
          <w:b/>
          <w:bCs/>
          <w:i w:val="false"/>
          <w:iCs w:val="false"/>
          <w:color w:val="1A1A1A"/>
          <w:sz w:val="20"/>
          <w:szCs w:val="20"/>
        </w:rPr>
        <w:t xml:space="preserve">실행의 가속</w:t>
      </w:r>
      <w:r>
        <w:rPr>
          <w:rFonts w:ascii="맑은 고딕" w:cs="맑은 고딕" w:eastAsia="맑은 고딕" w:hAnsi="맑은 고딕"/>
          <w:b w:val="false"/>
          <w:bCs w:val="false"/>
          <w:i w:val="false"/>
          <w:iCs w:val="false"/>
          <w:color w:val="1A1A1A"/>
          <w:sz w:val="20"/>
          <w:szCs w:val="20"/>
        </w:rPr>
        <w:t xml:space="preserve">입니다. 수백 개 지표의 수집·정규화, 문서 검색과 구조화, 이상 신호 탐색, 초안 생성이 그 범위입니다. 방법론 적용의 타당성, 결과의 해석, 표현의 근거 적합성은 사람이 판단합니다.</w:t>
      </w:r>
    </w:p>
    <w:p>
      <w:pPr>
        <w:keepNext/>
        <w:spacing w:after="90" w:before="220"/>
      </w:pPr>
      <w:r>
        <w:rPr>
          <w:rFonts w:ascii="맑은 고딕" w:cs="맑은 고딕" w:eastAsia="맑은 고딕" w:hAnsi="맑은 고딕"/>
          <w:b/>
          <w:bCs/>
          <w:color w:val="1F3864"/>
          <w:sz w:val="18"/>
          <w:szCs w:val="18"/>
        </w:rPr>
        <w:t xml:space="preserve">[그림 5-2] 분석 처리 6단계와 책임 주체</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BFBFBF" w:sz="4"/>
              <w:left w:val="single" w:color="BFBFBF" w:sz="4"/>
              <w:bottom w:val="single" w:color="BFBFBF" w:sz="4"/>
              <w:right w:val="single" w:color="BFBFBF" w:sz="4"/>
            </w:tcBorders>
            <w:shd w:fill="F4F5F7" w:color="auto" w:val="clear"/>
            <w:tcMar>
              <w:top w:type="dxa" w:w="160"/>
              <w:left w:type="dxa" w:w="200"/>
              <w:bottom w:type="dxa" w:w="160"/>
              <w:right w:type="dxa" w:w="160"/>
            </w:tcMar>
          </w:tcPr>
          <w:p>
            <w:pPr>
              <w:spacing w:after="0" w:before="0" w:line="240"/>
              <w:jc w:val="left"/>
            </w:pPr>
            <w:r>
              <w:rPr>
                <w:rFonts w:ascii="굴림체" w:cs="굴림체" w:eastAsia="굴림체" w:hAnsi="굴림체"/>
                <w:color w:val="1A1A1A"/>
                <w:sz w:val="16"/>
                <w:szCs w:val="16"/>
              </w:rPr>
              <w:t xml:space="preserve">① 수집          ② 정규화         ③ 분석           ④ 교차검증</w:t>
            </w:r>
          </w:p>
          <w:p>
            <w:pPr>
              <w:spacing w:after="0" w:before="0" w:line="240"/>
              <w:jc w:val="left"/>
            </w:pPr>
            <w:r>
              <w:rPr>
                <w:rFonts w:ascii="굴림체" w:cs="굴림체" w:eastAsia="굴림체" w:hAnsi="굴림체"/>
                <w:color w:val="1A1A1A"/>
                <w:sz w:val="16"/>
                <w:szCs w:val="16"/>
              </w:rPr>
              <w:t xml:space="preserve">공식·허가 데이터 → 기준일·공간·단위 → 방법론 엔진 적용 → 반대지표·원문 대조</w:t>
            </w:r>
          </w:p>
          <w:p>
            <w:pPr>
              <w:spacing w:after="0" w:before="0" w:line="240"/>
              <w:jc w:val="left"/>
            </w:pPr>
            <w:r>
              <w:rPr>
                <w:rFonts w:ascii="굴림체" w:cs="굴림체" w:eastAsia="굴림체" w:hAnsi="굴림체"/>
                <w:color w:val="1A1A1A"/>
                <w:sz w:val="16"/>
                <w:szCs w:val="16"/>
              </w:rPr>
              <w:t xml:space="preserve">     [AI]            [AI]           [AI + 분석가]      [AI + 분석가]</w:t>
            </w:r>
          </w:p>
          <w:p>
            <w:pPr>
              <w:spacing w:after="0" w:before="0" w:line="240"/>
              <w:jc w:val="left"/>
            </w:pPr>
            <w:r>
              <w:rPr>
                <w:rFonts w:ascii="굴림체" w:cs="굴림체" w:eastAsia="굴림체" w:hAnsi="굴림체"/>
                <w:color w:val="1A1A1A"/>
                <w:sz w:val="16"/>
                <w:szCs w:val="16"/>
              </w:rPr>
              <w:t xml:space="preserve">                                                            │</w:t>
            </w:r>
          </w:p>
          <w:p>
            <w:pPr>
              <w:spacing w:after="0" w:before="0" w:line="240"/>
              <w:jc w:val="left"/>
            </w:pPr>
            <w:r>
              <w:rPr>
                <w:rFonts w:ascii="굴림체" w:cs="굴림체" w:eastAsia="굴림체" w:hAnsi="굴림체"/>
                <w:color w:val="1A1A1A"/>
                <w:sz w:val="16"/>
                <w:szCs w:val="16"/>
              </w:rPr>
              <w:t xml:space="preserve">                                                            ▼</w:t>
            </w:r>
          </w:p>
          <w:p>
            <w:pPr>
              <w:spacing w:after="0" w:before="0" w:line="240"/>
              <w:jc w:val="left"/>
            </w:pPr>
            <w:r>
              <w:rPr>
                <w:rFonts w:ascii="굴림체" w:cs="굴림체" w:eastAsia="굴림체" w:hAnsi="굴림체"/>
                <w:color w:val="1A1A1A"/>
                <w:sz w:val="16"/>
                <w:szCs w:val="16"/>
              </w:rPr>
              <w:t xml:space="preserve">                              ⑥ 현장 승인        ⑤ 사람 검수</w:t>
            </w:r>
          </w:p>
          <w:p>
            <w:pPr>
              <w:spacing w:after="0" w:before="0" w:line="240"/>
              <w:jc w:val="left"/>
            </w:pPr>
            <w:r>
              <w:rPr>
                <w:rFonts w:ascii="굴림체" w:cs="굴림체" w:eastAsia="굴림체" w:hAnsi="굴림체"/>
                <w:color w:val="1A1A1A"/>
                <w:sz w:val="16"/>
                <w:szCs w:val="16"/>
              </w:rPr>
              <w:t xml:space="preserve">                              판매 주장 확정   ←  산식·표현·근거 검증</w:t>
            </w:r>
          </w:p>
          <w:p>
            <w:pPr>
              <w:spacing w:after="0" w:before="0" w:line="240"/>
              <w:jc w:val="left"/>
            </w:pPr>
            <w:r>
              <w:rPr>
                <w:rFonts w:ascii="굴림체" w:cs="굴림체" w:eastAsia="굴림체" w:hAnsi="굴림체"/>
                <w:color w:val="1A1A1A"/>
                <w:sz w:val="16"/>
                <w:szCs w:val="16"/>
              </w:rPr>
              <w:t xml:space="preserve">                                [시행사]            [분석가]</w:t>
            </w:r>
          </w:p>
        </w:tc>
      </w:tr>
    </w:tbl>
    <w:p>
      <w:pPr>
        <w:spacing w:after="160" w:before="0"/>
      </w:pPr>
    </w:p>
    <w:p>
      <w:pPr>
        <w:keepNext/>
        <w:spacing w:after="90" w:before="220"/>
      </w:pPr>
      <w:r>
        <w:rPr>
          <w:rFonts w:ascii="맑은 고딕" w:cs="맑은 고딕" w:eastAsia="맑은 고딕" w:hAnsi="맑은 고딕"/>
          <w:b/>
          <w:bCs/>
          <w:color w:val="1F3864"/>
          <w:sz w:val="18"/>
          <w:szCs w:val="18"/>
        </w:rPr>
        <w:t xml:space="preserve">[표 5-22] 주체별 담당 범위</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0"/>
        <w:gridCol w:w="6324"/>
        <w:gridCol w:w="2164"/>
      </w:tblGrid>
      <w:tr>
        <w:trPr>
          <w:cantSplit/>
          <w:tblHeader/>
        </w:trPr>
        <w:tc>
          <w:tcPr>
            <w:tcW w:type="dxa" w:w="1150"/>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주체</w:t>
            </w:r>
          </w:p>
        </w:tc>
        <w:tc>
          <w:tcPr>
            <w:tcW w:type="dxa" w:w="6324"/>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담당</w:t>
            </w:r>
          </w:p>
        </w:tc>
        <w:tc>
          <w:tcPr>
            <w:tcW w:type="dxa" w:w="2164"/>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담당하지 않는 것</w:t>
            </w:r>
          </w:p>
        </w:tc>
      </w:tr>
      <w:tr>
        <w:trPr>
          <w:cantSplit/>
          <w:tblHeader w:val="false"/>
        </w:trPr>
        <w:tc>
          <w:tcPr>
            <w:tcW w:type="dxa" w:w="115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AI</w:t>
            </w:r>
          </w:p>
        </w:tc>
        <w:tc>
          <w:tcPr>
            <w:tcW w:type="dxa" w:w="6324"/>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데이터 구조화·비교·이상신호 탐색, 문서 검색, 초안 생성</w:t>
            </w:r>
          </w:p>
        </w:tc>
        <w:tc>
          <w:tcPr>
            <w:tcW w:type="dxa" w:w="2164"/>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최종 판단, 표현 승인</w:t>
            </w:r>
          </w:p>
        </w:tc>
      </w:tr>
      <w:tr>
        <w:trPr>
          <w:cantSplit/>
          <w:tblHeader w:val="false"/>
        </w:trPr>
        <w:tc>
          <w:tcPr>
            <w:tcW w:type="dxa" w:w="115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분석가</w:t>
            </w:r>
          </w:p>
        </w:tc>
        <w:tc>
          <w:tcPr>
            <w:tcW w:type="dxa" w:w="6324"/>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방법론 적용의 타당성, 공식 원문·산식·비교대상·표현 검수</w:t>
            </w:r>
          </w:p>
        </w:tc>
        <w:tc>
          <w:tcPr>
            <w:tcW w:type="dxa" w:w="2164"/>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분양조건 결정</w:t>
            </w:r>
          </w:p>
        </w:tc>
      </w:tr>
      <w:tr>
        <w:trPr>
          <w:cantSplit/>
          <w:tblHeader w:val="false"/>
        </w:trPr>
        <w:tc>
          <w:tcPr>
            <w:tcW w:type="dxa" w:w="115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시행사</w:t>
            </w:r>
          </w:p>
        </w:tc>
        <w:tc>
          <w:tcPr>
            <w:tcW w:type="dxa" w:w="6324"/>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분양조건 제공, 광고 표현 최종 승인</w:t>
            </w:r>
          </w:p>
        </w:tc>
        <w:tc>
          <w:tcPr>
            <w:tcW w:type="dxa" w:w="2164"/>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w:t>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1F3864" w:sz="18"/>
              <w:bottom w:val="none" w:color="FFFFFF" w:sz="0"/>
              <w:right w:val="none" w:color="FFFFFF" w:sz="0"/>
            </w:tcBorders>
            <w:shd w:fill="F0F3F8" w:color="auto" w:val="clear"/>
            <w:tcMar>
              <w:top w:type="dxa" w:w="150"/>
              <w:left w:type="dxa" w:w="220"/>
              <w:bottom w:type="dxa" w:w="150"/>
              <w:right w:type="dxa" w:w="180"/>
            </w:tcMar>
          </w:tcPr>
          <w:p>
            <w:pPr>
              <w:spacing w:after="0" w:before="0" w:line="300"/>
            </w:pPr>
            <w:r>
              <w:rPr>
                <w:rFonts w:ascii="맑은 고딕" w:cs="맑은 고딕" w:eastAsia="맑은 고딕" w:hAnsi="맑은 고딕"/>
                <w:b/>
                <w:bCs/>
                <w:color w:val="1A1A1A"/>
                <w:sz w:val="19"/>
                <w:szCs w:val="19"/>
              </w:rPr>
              <w:t xml:space="preserve">책임 원칙.</w:t>
            </w:r>
            <w:r>
              <w:rPr>
                <w:rFonts w:ascii="맑은 고딕" w:cs="맑은 고딕" w:eastAsia="맑은 고딕" w:hAnsi="맑은 고딕"/>
                <w:color w:val="1A1A1A"/>
                <w:sz w:val="19"/>
                <w:szCs w:val="19"/>
              </w:rPr>
              <w:t xml:space="preserve"> AI가 생성한 문장과 수치는 자동으로 광고에 게시되지 않습니다. 분석가와 승인권자가 근거·표현·개인정보를 검토한 뒤 사용합니다.</w:t>
            </w:r>
          </w:p>
        </w:tc>
      </w:tr>
    </w:tbl>
    <w:p>
      <w:pPr>
        <w:spacing w:after="180" w:before="0"/>
      </w:pPr>
    </w:p>
    <w:p>
      <w:pPr>
        <w:keepNext w:val="false"/>
        <w:spacing w:after="130" w:before="60" w:line="310"/>
        <w:jc w:val="both"/>
      </w:pPr>
      <w:r>
        <w:rPr>
          <w:rFonts w:ascii="맑은 고딕" w:cs="맑은 고딕" w:eastAsia="맑은 고딕" w:hAnsi="맑은 고딕"/>
          <w:b w:val="false"/>
          <w:bCs w:val="false"/>
          <w:i w:val="false"/>
          <w:iCs w:val="false"/>
          <w:color w:val="1A1A1A"/>
          <w:sz w:val="20"/>
          <w:szCs w:val="20"/>
        </w:rPr>
        <w:t xml:space="preserve">분석의 품질은 알고리즘이 아니라 방법론의 규율에서 나옵니다.</w:t>
      </w:r>
    </w:p>
    <w:p>
      <w:pPr>
        <w:pStyle w:val="Heading2"/>
        <w:keepNext/>
        <w:spacing w:after="140" w:before="300"/>
      </w:pPr>
      <w:r>
        <w:rPr>
          <w:rFonts w:ascii="맑은 고딕" w:cs="맑은 고딕" w:eastAsia="맑은 고딕" w:hAnsi="맑은 고딕"/>
          <w:b/>
          <w:bCs/>
          <w:color w:val="1A1A1A"/>
          <w:sz w:val="23"/>
          <w:szCs w:val="23"/>
        </w:rPr>
        <w:t xml:space="preserve">5.10 데이터 커버리지의 사전 공개와 분석 중단 조건</w:t>
      </w:r>
    </w:p>
    <w:p>
      <w:pPr>
        <w:pStyle w:val="Heading3"/>
        <w:keepNext/>
        <w:spacing w:after="110" w:before="240"/>
      </w:pPr>
      <w:r>
        <w:rPr>
          <w:rFonts w:ascii="맑은 고딕" w:cs="맑은 고딕" w:eastAsia="맑은 고딕" w:hAnsi="맑은 고딕"/>
          <w:b/>
          <w:bCs/>
          <w:color w:val="5A5A5A"/>
          <w:sz w:val="20"/>
          <w:szCs w:val="20"/>
        </w:rPr>
        <w:t xml:space="preserve">5.10.1 커버리지표의 사전 제출</w:t>
      </w:r>
    </w:p>
    <w:p>
      <w:pPr>
        <w:keepNext w:val="false"/>
        <w:spacing w:after="130" w:before="60" w:line="310"/>
        <w:jc w:val="both"/>
      </w:pPr>
      <w:r>
        <w:rPr>
          <w:rFonts w:ascii="맑은 고딕" w:cs="맑은 고딕" w:eastAsia="맑은 고딕" w:hAnsi="맑은 고딕"/>
          <w:b w:val="false"/>
          <w:bCs w:val="false"/>
          <w:i w:val="false"/>
          <w:iCs w:val="false"/>
          <w:color w:val="1A1A1A"/>
          <w:sz w:val="20"/>
          <w:szCs w:val="20"/>
        </w:rPr>
        <w:t xml:space="preserve">모든 현장에서 15개 레이어 전부를 같은 수준으로 분석할 수 있는 것은 아닙니다. 당사는 이 한계를 계약 후에 드러내지 않고 </w:t>
      </w:r>
      <w:r>
        <w:rPr>
          <w:rFonts w:ascii="맑은 고딕" w:cs="맑은 고딕" w:eastAsia="맑은 고딕" w:hAnsi="맑은 고딕"/>
          <w:b/>
          <w:bCs/>
          <w:i w:val="false"/>
          <w:iCs w:val="false"/>
          <w:color w:val="1A1A1A"/>
          <w:sz w:val="20"/>
          <w:szCs w:val="20"/>
        </w:rPr>
        <w:t xml:space="preserve">계약 전에 커버리지표로 먼저 제출합니다.</w:t>
      </w:r>
    </w:p>
    <w:p>
      <w:pPr>
        <w:keepNext w:val="false"/>
        <w:spacing w:after="130" w:before="60" w:line="310"/>
        <w:jc w:val="both"/>
      </w:pPr>
      <w:r>
        <w:rPr>
          <w:rFonts w:ascii="맑은 고딕" w:cs="맑은 고딕" w:eastAsia="맑은 고딕" w:hAnsi="맑은 고딕"/>
          <w:b w:val="false"/>
          <w:bCs w:val="false"/>
          <w:i w:val="false"/>
          <w:iCs w:val="false"/>
          <w:color w:val="1A1A1A"/>
          <w:sz w:val="20"/>
          <w:szCs w:val="20"/>
        </w:rPr>
        <w:t xml:space="preserve">레이어·지표별로 "확보 가능 · 조건부 · 미확보 · 대체 가능"을 판정하며(세부 기준은 부록 A), 미확보 항목은 분석 범위를 재설계하거나 해당 판매 주장을 제외합니다. 민간 데이터(모바일 유동인구, 익명 카드소비, 민간 매물)는 제휴·라이선스·비용 확인이 선행되는 별도 협의 대상임을 처음부터 명시합니다.</w:t>
      </w:r>
    </w:p>
    <w:p>
      <w:pPr>
        <w:keepNext w:val="false"/>
        <w:spacing w:after="130" w:before="60" w:line="310"/>
        <w:jc w:val="both"/>
      </w:pPr>
      <w:r>
        <w:rPr>
          <w:rFonts w:ascii="맑은 고딕" w:cs="맑은 고딕" w:eastAsia="맑은 고딕" w:hAnsi="맑은 고딕"/>
          <w:b/>
          <w:bCs/>
          <w:i w:val="false"/>
          <w:iCs w:val="false"/>
          <w:color w:val="1A1A1A"/>
          <w:sz w:val="20"/>
          <w:szCs w:val="20"/>
        </w:rPr>
        <w:t xml:space="preserve">커버리지표는 손으로 작성하지 않습니다.</w:t>
      </w:r>
      <w:r>
        <w:rPr>
          <w:rFonts w:ascii="맑은 고딕" w:cs="맑은 고딕" w:eastAsia="맑은 고딕" w:hAnsi="맑은 고딕"/>
          <w:b w:val="false"/>
          <w:bCs w:val="false"/>
          <w:i w:val="false"/>
          <w:iCs w:val="false"/>
          <w:color w:val="1A1A1A"/>
          <w:sz w:val="20"/>
          <w:szCs w:val="20"/>
        </w:rPr>
        <w:t xml:space="preserve"> 실제 수집 상태로부터 자동 생성되어, 어떤 레이어가 어떤 사유로 어떤 판정을 받았는지가 실행 결과와 항상 일치합니다. 제안 단계에서 유리하게 적어 두고 운영 단계에서 달라지는 일이 구조적으로 발생하지 않습니다. 현재 구현 기준으로 15개 레이어 중 </w:t>
      </w:r>
      <w:r>
        <w:rPr>
          <w:rFonts w:ascii="맑은 고딕" w:cs="맑은 고딕" w:eastAsia="맑은 고딕" w:hAnsi="맑은 고딕"/>
          <w:b/>
          <w:bCs/>
          <w:i w:val="false"/>
          <w:iCs w:val="false"/>
          <w:color w:val="1A1A1A"/>
          <w:sz w:val="20"/>
          <w:szCs w:val="20"/>
        </w:rPr>
        <w:t xml:space="preserve">13개가 연동</w:t>
      </w:r>
      <w:r>
        <w:rPr>
          <w:rFonts w:ascii="맑은 고딕" w:cs="맑은 고딕" w:eastAsia="맑은 고딕" w:hAnsi="맑은 고딕"/>
          <w:b w:val="false"/>
          <w:bCs w:val="false"/>
          <w:i w:val="false"/>
          <w:iCs w:val="false"/>
          <w:color w:val="1A1A1A"/>
          <w:sz w:val="20"/>
          <w:szCs w:val="20"/>
        </w:rPr>
        <w:t xml:space="preserve">되어 있으며, 미연동 2개(L6 유동인구·L10 카드소비)는 민간 라이선스 협의 대상입니다(상세는 부록 F).</w:t>
      </w:r>
    </w:p>
    <w:p>
      <w:pPr>
        <w:pStyle w:val="Heading3"/>
        <w:keepNext/>
        <w:spacing w:after="110" w:before="240"/>
      </w:pPr>
      <w:r>
        <w:rPr>
          <w:rFonts w:ascii="맑은 고딕" w:cs="맑은 고딕" w:eastAsia="맑은 고딕" w:hAnsi="맑은 고딕"/>
          <w:b/>
          <w:bCs/>
          <w:color w:val="5A5A5A"/>
          <w:sz w:val="20"/>
          <w:szCs w:val="20"/>
        </w:rPr>
        <w:t xml:space="preserve">5.10.2 분석 중단 조건</w:t>
      </w:r>
    </w:p>
    <w:p>
      <w:pPr>
        <w:keepNext w:val="false"/>
        <w:spacing w:after="130" w:before="60" w:line="310"/>
        <w:jc w:val="both"/>
      </w:pPr>
      <w:r>
        <w:rPr>
          <w:rFonts w:ascii="맑은 고딕" w:cs="맑은 고딕" w:eastAsia="맑은 고딕" w:hAnsi="맑은 고딕"/>
          <w:b w:val="false"/>
          <w:bCs w:val="false"/>
          <w:i w:val="false"/>
          <w:iCs w:val="false"/>
          <w:color w:val="1A1A1A"/>
          <w:sz w:val="20"/>
          <w:szCs w:val="20"/>
        </w:rPr>
        <w:t xml:space="preserve">다음의 치명적 결함이 확인되면 해당 분석을 수치로 제시하지 않고, 분석 중단·대체 자료·제한 판정 중 하나를 명시적으로 선택합니다.</w:t>
      </w:r>
    </w:p>
    <w:p>
      <w:pPr>
        <w:keepNext/>
        <w:spacing w:after="90" w:before="220"/>
      </w:pPr>
      <w:r>
        <w:rPr>
          <w:rFonts w:ascii="맑은 고딕" w:cs="맑은 고딕" w:eastAsia="맑은 고딕" w:hAnsi="맑은 고딕"/>
          <w:b/>
          <w:bCs/>
          <w:color w:val="1F3864"/>
          <w:sz w:val="18"/>
          <w:szCs w:val="18"/>
        </w:rPr>
        <w:t xml:space="preserve">[표 5-23] 치명적 결함 목록</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7838"/>
      </w:tblGrid>
      <w:tr>
        <w:trPr>
          <w:cantSplit/>
          <w:tblHeader/>
        </w:trPr>
        <w:tc>
          <w:tcPr>
            <w:tcW w:type="dxa" w:w="1800"/>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결함 유형</w:t>
            </w:r>
          </w:p>
        </w:tc>
        <w:tc>
          <w:tcPr>
            <w:tcW w:type="dxa" w:w="7838"/>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내용</w:t>
            </w:r>
          </w:p>
        </w:tc>
      </w:tr>
      <w:tr>
        <w:trPr>
          <w:cantSplit/>
          <w:tblHeader w:val="false"/>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대상 미확정</w:t>
            </w:r>
          </w:p>
        </w:tc>
        <w:tc>
          <w:tcPr>
            <w:tcW w:type="dxa" w:w="783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현장 위치·경계·사업 대상이 확정되지 않은 상태</w:t>
            </w:r>
          </w:p>
        </w:tc>
      </w:tr>
      <w:tr>
        <w:trPr>
          <w:cantSplit/>
          <w:tblHeader w:val="false"/>
        </w:trPr>
        <w:tc>
          <w:tcPr>
            <w:tcW w:type="dxa" w:w="180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시점 오류</w:t>
            </w:r>
          </w:p>
        </w:tc>
        <w:tc>
          <w:tcPr>
            <w:tcW w:type="dxa" w:w="7838"/>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기준일 부재, 또는 분석 시점 이후 정보가 과거 예측에 혼입된 상태</w:t>
            </w:r>
          </w:p>
        </w:tc>
      </w:tr>
      <w:tr>
        <w:trPr>
          <w:cantSplit/>
          <w:tblHeader w:val="false"/>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공간 오용</w:t>
            </w:r>
          </w:p>
        </w:tc>
        <w:tc>
          <w:tcPr>
            <w:tcW w:type="dxa" w:w="783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시·구 통계를 생활권 값으로 대체하면서 오차를 표시하지 않은 상태</w:t>
            </w:r>
          </w:p>
        </w:tc>
      </w:tr>
      <w:tr>
        <w:trPr>
          <w:cantSplit/>
          <w:tblHeader w:val="false"/>
        </w:trPr>
        <w:tc>
          <w:tcPr>
            <w:tcW w:type="dxa" w:w="180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재현 불가</w:t>
            </w:r>
          </w:p>
        </w:tc>
        <w:tc>
          <w:tcPr>
            <w:tcW w:type="dxa" w:w="7838"/>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원문·출처·계산을 재현할 수 없거나 라이선스·재배포 권한이 없는 상태</w:t>
            </w:r>
          </w:p>
        </w:tc>
      </w:tr>
      <w:tr>
        <w:trPr>
          <w:cantSplit/>
          <w:tblHeader w:val="false"/>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표본 결함</w:t>
            </w:r>
          </w:p>
        </w:tc>
        <w:tc>
          <w:tcPr>
            <w:tcW w:type="dxa" w:w="783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표본 과소, 결측·중복·좌표 오류가 결과의 방향을 바꾸는 상태</w:t>
            </w:r>
          </w:p>
        </w:tc>
      </w:tr>
      <w:tr>
        <w:trPr>
          <w:cantSplit/>
          <w:tblHeader w:val="false"/>
        </w:trPr>
        <w:tc>
          <w:tcPr>
            <w:tcW w:type="dxa" w:w="180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중복 집계</w:t>
            </w:r>
          </w:p>
        </w:tc>
        <w:tc>
          <w:tcPr>
            <w:tcW w:type="dxa" w:w="7838"/>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동일 개발 프로젝트를 중복 집계했거나 검토 단계를 확정처럼 취급한 상태</w:t>
            </w:r>
          </w:p>
        </w:tc>
      </w:tr>
      <w:tr>
        <w:trPr>
          <w:cantSplit/>
          <w:tblHeader w:val="false"/>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개인정보 결함</w:t>
            </w:r>
          </w:p>
        </w:tc>
        <w:tc>
          <w:tcPr>
            <w:tcW w:type="dxa" w:w="783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고객 개인정보가 적법한 동의·위탁·보관 기준 없이 결합된 상태</w:t>
            </w:r>
          </w:p>
        </w:tc>
      </w:tr>
    </w:tbl>
    <w:p>
      <w:pPr>
        <w:spacing w:after="200" w:before="0"/>
      </w:pPr>
    </w:p>
    <w:p>
      <w:pPr>
        <w:keepNext w:val="false"/>
        <w:spacing w:after="130" w:before="60" w:line="310"/>
        <w:jc w:val="both"/>
      </w:pPr>
      <w:r>
        <w:rPr>
          <w:rFonts w:ascii="맑은 고딕" w:cs="맑은 고딕" w:eastAsia="맑은 고딕" w:hAnsi="맑은 고딕"/>
          <w:b w:val="false"/>
          <w:bCs w:val="false"/>
          <w:i w:val="false"/>
          <w:iCs w:val="false"/>
          <w:color w:val="1A1A1A"/>
          <w:sz w:val="20"/>
          <w:szCs w:val="20"/>
        </w:rPr>
        <w:t xml:space="preserve">"분석 불가"를 판정하는 능력은 분석 역량의 일부입니다. 모든 현장에서 모든 항목을 분석할 수 있다고 제시하는 제안은, 그 신뢰성을 별도로 검토할 필요가 있습니다.</w:t>
      </w:r>
    </w:p>
    <w:p>
      <w:pPr>
        <w:keepNext/>
        <w:spacing w:after="90" w:before="220"/>
      </w:pPr>
      <w:r>
        <w:rPr>
          <w:rFonts w:ascii="맑은 고딕" w:cs="맑은 고딕" w:eastAsia="맑은 고딕" w:hAnsi="맑은 고딕"/>
          <w:b/>
          <w:bCs/>
          <w:color w:val="1F3864"/>
          <w:sz w:val="18"/>
          <w:szCs w:val="18"/>
        </w:rPr>
        <w:t xml:space="preserve">[표 5-23-1] 중단·미산출의 세 단계 구분</w:t>
      </w:r>
    </w:p>
    <w:p>
      <w:pPr>
        <w:keepNext w:val="false"/>
        <w:spacing w:after="130" w:before="60" w:line="310"/>
        <w:jc w:val="both"/>
      </w:pPr>
      <w:r>
        <w:rPr>
          <w:rFonts w:ascii="맑은 고딕" w:cs="맑은 고딕" w:eastAsia="맑은 고딕" w:hAnsi="맑은 고딕"/>
          <w:b w:val="false"/>
          <w:bCs w:val="false"/>
          <w:i w:val="false"/>
          <w:iCs w:val="false"/>
          <w:color w:val="1A1A1A"/>
          <w:sz w:val="20"/>
          <w:szCs w:val="20"/>
        </w:rPr>
        <w:t xml:space="preserve">이 규율은 선언이 아니라 실행 시점에 강제됩니다. 결함의 성격에 따라 대응이 달라집니다.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0"/>
        <w:gridCol w:w="4265"/>
        <w:gridCol w:w="4223"/>
      </w:tblGrid>
      <w:tr>
        <w:trPr>
          <w:cantSplit/>
          <w:tblHeader/>
        </w:trPr>
        <w:tc>
          <w:tcPr>
            <w:tcW w:type="dxa" w:w="1150"/>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단계</w:t>
            </w:r>
          </w:p>
        </w:tc>
        <w:tc>
          <w:tcPr>
            <w:tcW w:type="dxa" w:w="4265"/>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발생 조건 (예시)</w:t>
            </w:r>
          </w:p>
        </w:tc>
        <w:tc>
          <w:tcPr>
            <w:tcW w:type="dxa" w:w="4223"/>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처리</w:t>
            </w:r>
          </w:p>
        </w:tc>
      </w:tr>
      <w:tr>
        <w:trPr>
          <w:cantSplit/>
          <w:tblHeader w:val="false"/>
        </w:trPr>
        <w:tc>
          <w:tcPr>
            <w:tcW w:type="dxa" w:w="115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분석 중단</w:t>
            </w:r>
          </w:p>
        </w:tc>
        <w:tc>
          <w:tcPr>
            <w:tcW w:type="dxa" w:w="4265"/>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현장 좌표 미확정, 타입별 세대수 합 불일치, 분양가 단위 오류, 기준일 이후 거래·계약 혼입, 정제 후 비교 거래 0건</w:t>
            </w:r>
          </w:p>
        </w:tc>
        <w:tc>
          <w:tcPr>
            <w:tcW w:type="dxa" w:w="422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리포트를 생성하지 않고 사유와 조치 방향을 반환</w:t>
            </w:r>
          </w:p>
        </w:tc>
      </w:tr>
      <w:tr>
        <w:trPr>
          <w:cantSplit/>
          <w:tblHeader w:val="false"/>
        </w:trPr>
        <w:tc>
          <w:tcPr>
            <w:tcW w:type="dxa" w:w="115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지표 미산출</w:t>
            </w:r>
          </w:p>
        </w:tc>
        <w:tc>
          <w:tcPr>
            <w:tcW w:type="dxa" w:w="4265"/>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해당 지표의 표본이 최소 기준 미달 (전세가율, 구매 가능 가구 비율, 청약 전망 등)</w:t>
            </w:r>
          </w:p>
        </w:tc>
        <w:tc>
          <w:tcPr>
            <w:tcW w:type="dxa" w:w="4223"/>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리포트는 생성하되 해당 수치를 내지 않고, 판정 계산에서도 제외한 뒤 사유를 근거원장에 등재</w:t>
            </w:r>
          </w:p>
        </w:tc>
      </w:tr>
      <w:tr>
        <w:trPr>
          <w:cantSplit/>
          <w:tblHeader w:val="false"/>
        </w:trPr>
        <w:tc>
          <w:tcPr>
            <w:tcW w:type="dxa" w:w="115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정밀도 하향</w:t>
            </w:r>
          </w:p>
        </w:tc>
        <w:tc>
          <w:tcPr>
            <w:tcW w:type="dxa" w:w="4265"/>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타입·층 구간 표본이 최소 기준 미달</w:t>
            </w:r>
          </w:p>
        </w:tc>
        <w:tc>
          <w:tcPr>
            <w:tcW w:type="dxa" w:w="422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상위 집계로 롤업하고 롤업 사실을 표기 (5.5)</w:t>
            </w:r>
          </w:p>
        </w:tc>
      </w:tr>
    </w:tbl>
    <w:p>
      <w:pPr>
        <w:spacing w:after="200" w:before="0"/>
      </w:pPr>
    </w:p>
    <w:p>
      <w:pPr>
        <w:keepNext w:val="false"/>
        <w:spacing w:after="130" w:before="60" w:line="310"/>
        <w:jc w:val="both"/>
      </w:pPr>
      <w:r>
        <w:rPr>
          <w:rFonts w:ascii="맑은 고딕" w:cs="맑은 고딕" w:eastAsia="맑은 고딕" w:hAnsi="맑은 고딕"/>
          <w:b w:val="false"/>
          <w:bCs w:val="false"/>
          <w:i w:val="false"/>
          <w:iCs w:val="false"/>
          <w:color w:val="1A1A1A"/>
          <w:sz w:val="20"/>
          <w:szCs w:val="20"/>
        </w:rPr>
        <w:t xml:space="preserve">기준일 이후 정보의 혼입은 매매·전월세 양쪽에 동일하게 적용됩니다. 전세가율이 가격 판정에 직접 들어가는 이상, 전월세 계약에도 매매와 같은 규율이 적용되어야 하기 때문입니다.</w:t>
      </w:r>
    </w:p>
    <w:p>
      <w:pPr>
        <w:pStyle w:val="Heading2"/>
        <w:keepNext/>
        <w:spacing w:after="140" w:before="300"/>
      </w:pPr>
      <w:r>
        <w:rPr>
          <w:rFonts w:ascii="맑은 고딕" w:cs="맑은 고딕" w:eastAsia="맑은 고딕" w:hAnsi="맑은 고딕"/>
          <w:b/>
          <w:bCs/>
          <w:color w:val="1A1A1A"/>
          <w:sz w:val="23"/>
          <w:szCs w:val="23"/>
        </w:rPr>
        <w:t xml:space="preserve">5.11 가치상승 실행과제와 살아 있는 리포트</w:t>
      </w:r>
    </w:p>
    <w:p>
      <w:pPr>
        <w:pStyle w:val="Heading3"/>
        <w:keepNext/>
        <w:spacing w:after="110" w:before="240"/>
      </w:pPr>
      <w:r>
        <w:rPr>
          <w:rFonts w:ascii="맑은 고딕" w:cs="맑은 고딕" w:eastAsia="맑은 고딕" w:hAnsi="맑은 고딕"/>
          <w:b/>
          <w:bCs/>
          <w:color w:val="5A5A5A"/>
          <w:sz w:val="20"/>
          <w:szCs w:val="20"/>
        </w:rPr>
        <w:t xml:space="preserve">5.11.1 현장이 통제 가능한 개선 과제</w:t>
      </w:r>
    </w:p>
    <w:p>
      <w:pPr>
        <w:keepNext w:val="false"/>
        <w:spacing w:after="130" w:before="60" w:line="310"/>
        <w:jc w:val="both"/>
      </w:pPr>
      <w:r>
        <w:rPr>
          <w:rFonts w:ascii="맑은 고딕" w:cs="맑은 고딕" w:eastAsia="맑은 고딕" w:hAnsi="맑은 고딕"/>
          <w:b w:val="false"/>
          <w:bCs w:val="false"/>
          <w:i w:val="false"/>
          <w:iCs w:val="false"/>
          <w:color w:val="1A1A1A"/>
          <w:sz w:val="20"/>
          <w:szCs w:val="20"/>
        </w:rPr>
        <w:t xml:space="preserve">외부 호재를 기다리는 것만으로는 현장가치를 통제할 수 없습니다. 분석 이후, 시행사와 현장이 직접 개선할 수 있는 과제를 통제 가능성 기준으로 분류하여 제안합니다.</w:t>
      </w:r>
    </w:p>
    <w:p>
      <w:pPr>
        <w:keepNext/>
        <w:spacing w:after="90" w:before="220"/>
      </w:pPr>
      <w:r>
        <w:rPr>
          <w:rFonts w:ascii="맑은 고딕" w:cs="맑은 고딕" w:eastAsia="맑은 고딕" w:hAnsi="맑은 고딕"/>
          <w:b/>
          <w:bCs/>
          <w:color w:val="1F3864"/>
          <w:sz w:val="18"/>
          <w:szCs w:val="18"/>
        </w:rPr>
        <w:t xml:space="preserve">[표 5-24] 가치상승 실행과제 분류</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16"/>
        <w:gridCol w:w="6470"/>
        <w:gridCol w:w="1452"/>
      </w:tblGrid>
      <w:tr>
        <w:trPr>
          <w:cantSplit/>
          <w:tblHeader/>
        </w:trPr>
        <w:tc>
          <w:tcPr>
            <w:tcW w:type="dxa" w:w="1716"/>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분류</w:t>
            </w:r>
          </w:p>
        </w:tc>
        <w:tc>
          <w:tcPr>
            <w:tcW w:type="dxa" w:w="6470"/>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과제 예시</w:t>
            </w:r>
          </w:p>
        </w:tc>
        <w:tc>
          <w:tcPr>
            <w:tcW w:type="dxa" w:w="1452"/>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현장 통제력</w:t>
            </w:r>
          </w:p>
        </w:tc>
      </w:tr>
      <w:tr>
        <w:trPr>
          <w:cantSplit/>
          <w:tblHeader w:val="false"/>
        </w:trPr>
        <w:tc>
          <w:tcPr>
            <w:tcW w:type="dxa" w:w="171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즉시 개선</w:t>
            </w:r>
          </w:p>
        </w:tc>
        <w:tc>
          <w:tcPr>
            <w:tcW w:type="dxa" w:w="647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분양가 구조, 옵션 구성, 상품 설명, 정보 공개 방식</w:t>
            </w:r>
          </w:p>
        </w:tc>
        <w:tc>
          <w:tcPr>
            <w:tcW w:type="dxa" w:w="1452"/>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높음</w:t>
            </w:r>
          </w:p>
        </w:tc>
      </w:tr>
      <w:tr>
        <w:trPr>
          <w:cantSplit/>
          <w:tblHeader w:val="false"/>
        </w:trPr>
        <w:tc>
          <w:tcPr>
            <w:tcW w:type="dxa" w:w="1716"/>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상품 개선</w:t>
            </w:r>
          </w:p>
        </w:tc>
        <w:tc>
          <w:tcPr>
            <w:tcW w:type="dxa" w:w="647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주차·커뮤니티·조경·에너지·평면</w:t>
            </w:r>
          </w:p>
        </w:tc>
        <w:tc>
          <w:tcPr>
            <w:tcW w:type="dxa" w:w="1452"/>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높음</w:t>
            </w:r>
          </w:p>
        </w:tc>
      </w:tr>
      <w:tr>
        <w:trPr>
          <w:cantSplit/>
          <w:tblHeader w:val="false"/>
        </w:trPr>
        <w:tc>
          <w:tcPr>
            <w:tcW w:type="dxa" w:w="171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접근성 개선</w:t>
            </w:r>
          </w:p>
        </w:tc>
        <w:tc>
          <w:tcPr>
            <w:tcW w:type="dxa" w:w="647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셔틀, 버스정류장, 보행 연결, 진출입 동선</w:t>
            </w:r>
          </w:p>
        </w:tc>
        <w:tc>
          <w:tcPr>
            <w:tcW w:type="dxa" w:w="1452"/>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중간</w:t>
            </w:r>
          </w:p>
        </w:tc>
      </w:tr>
      <w:tr>
        <w:trPr>
          <w:cantSplit/>
          <w:tblHeader w:val="false"/>
        </w:trPr>
        <w:tc>
          <w:tcPr>
            <w:tcW w:type="dxa" w:w="1716"/>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생활편의 유치</w:t>
            </w:r>
          </w:p>
        </w:tc>
        <w:tc>
          <w:tcPr>
            <w:tcW w:type="dxa" w:w="647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어린이집·의료·상업·문화시설</w:t>
            </w:r>
          </w:p>
        </w:tc>
        <w:tc>
          <w:tcPr>
            <w:tcW w:type="dxa" w:w="1452"/>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중간</w:t>
            </w:r>
          </w:p>
        </w:tc>
      </w:tr>
      <w:tr>
        <w:trPr>
          <w:cantSplit/>
          <w:tblHeader w:val="false"/>
        </w:trPr>
        <w:tc>
          <w:tcPr>
            <w:tcW w:type="dxa" w:w="171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공공협의</w:t>
            </w:r>
          </w:p>
        </w:tc>
        <w:tc>
          <w:tcPr>
            <w:tcW w:type="dxa" w:w="647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도로·학교·공원·교통 개선</w:t>
            </w:r>
          </w:p>
        </w:tc>
        <w:tc>
          <w:tcPr>
            <w:tcW w:type="dxa" w:w="1452"/>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중저</w:t>
            </w:r>
          </w:p>
        </w:tc>
      </w:tr>
      <w:tr>
        <w:trPr>
          <w:cantSplit/>
          <w:tblHeader w:val="false"/>
        </w:trPr>
        <w:tc>
          <w:tcPr>
            <w:tcW w:type="dxa" w:w="1716"/>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장기 계획</w:t>
            </w:r>
          </w:p>
        </w:tc>
        <w:tc>
          <w:tcPr>
            <w:tcW w:type="dxa" w:w="647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철도·광역도로·도시계획 변경</w:t>
            </w:r>
          </w:p>
        </w:tc>
        <w:tc>
          <w:tcPr>
            <w:tcW w:type="dxa" w:w="1452"/>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낮음</w:t>
            </w:r>
          </w:p>
        </w:tc>
      </w:tr>
    </w:tbl>
    <w:p>
      <w:pPr>
        <w:spacing w:after="200" w:before="0"/>
      </w:pPr>
    </w:p>
    <w:p>
      <w:pPr>
        <w:keepNext w:val="false"/>
        <w:spacing w:after="130" w:before="60" w:line="310"/>
        <w:jc w:val="both"/>
      </w:pPr>
      <w:r>
        <w:rPr>
          <w:rFonts w:ascii="맑은 고딕" w:cs="맑은 고딕" w:eastAsia="맑은 고딕" w:hAnsi="맑은 고딕"/>
          <w:b w:val="false"/>
          <w:bCs w:val="false"/>
          <w:i w:val="false"/>
          <w:iCs w:val="false"/>
          <w:color w:val="1A1A1A"/>
          <w:sz w:val="20"/>
          <w:szCs w:val="20"/>
        </w:rPr>
        <w:t xml:space="preserve">우선순위는 예상 가치 개선, 통제 가능성, 실행 가능성, 비용과 기간을 함께 평가하여 결정합니다.</w:t>
      </w:r>
    </w:p>
    <w:p>
      <w:pPr>
        <w:pStyle w:val="Heading3"/>
        <w:keepNext/>
        <w:spacing w:after="110" w:before="240"/>
      </w:pPr>
      <w:r>
        <w:rPr>
          <w:rFonts w:ascii="맑은 고딕" w:cs="맑은 고딕" w:eastAsia="맑은 고딕" w:hAnsi="맑은 고딕"/>
          <w:b/>
          <w:bCs/>
          <w:color w:val="5A5A5A"/>
          <w:sz w:val="20"/>
          <w:szCs w:val="20"/>
        </w:rPr>
        <w:t xml:space="preserve">5.11.2 살아 있는 리포트 — 조기경보 체계</w:t>
      </w:r>
    </w:p>
    <w:p>
      <w:pPr>
        <w:keepNext w:val="false"/>
        <w:spacing w:after="130" w:before="60" w:line="310"/>
        <w:jc w:val="both"/>
      </w:pPr>
      <w:r>
        <w:rPr>
          <w:rFonts w:ascii="맑은 고딕" w:cs="맑은 고딕" w:eastAsia="맑은 고딕" w:hAnsi="맑은 고딕"/>
          <w:b w:val="false"/>
          <w:bCs w:val="false"/>
          <w:i w:val="false"/>
          <w:iCs w:val="false"/>
          <w:color w:val="1A1A1A"/>
          <w:sz w:val="20"/>
          <w:szCs w:val="20"/>
        </w:rPr>
        <w:t xml:space="preserve">교통과 도시계획은 지속적으로 변동하므로, 분석을 일회성 PDF로 종료하지 않습니다. 계약된 모니터링 범위 내에서 변동 신호를 조기경보 항목으로 정의하여 추적하며, 주간 상시 모니터링(12.4)에 연결합니다.</w:t>
      </w:r>
    </w:p>
    <w:p>
      <w:pPr>
        <w:keepNext/>
        <w:spacing w:after="90" w:before="220"/>
      </w:pPr>
      <w:r>
        <w:rPr>
          <w:rFonts w:ascii="맑은 고딕" w:cs="맑은 고딕" w:eastAsia="맑은 고딕" w:hAnsi="맑은 고딕"/>
          <w:b/>
          <w:bCs/>
          <w:color w:val="1F3864"/>
          <w:sz w:val="18"/>
          <w:szCs w:val="18"/>
        </w:rPr>
        <w:t xml:space="preserve">[표 5-25] 조기경보 추적 항목</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0"/>
        <w:gridCol w:w="6141"/>
        <w:gridCol w:w="2347"/>
      </w:tblGrid>
      <w:tr>
        <w:trPr>
          <w:cantSplit/>
          <w:tblHeader/>
        </w:trPr>
        <w:tc>
          <w:tcPr>
            <w:tcW w:type="dxa" w:w="1150"/>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신호 유형</w:t>
            </w:r>
          </w:p>
        </w:tc>
        <w:tc>
          <w:tcPr>
            <w:tcW w:type="dxa" w:w="6141"/>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추적 항목</w:t>
            </w:r>
          </w:p>
        </w:tc>
        <w:tc>
          <w:tcPr>
            <w:tcW w:type="dxa" w:w="2347"/>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변경 시 갱신 대상</w:t>
            </w:r>
          </w:p>
        </w:tc>
      </w:tr>
      <w:tr>
        <w:trPr>
          <w:cantSplit/>
          <w:tblHeader w:val="false"/>
        </w:trPr>
        <w:tc>
          <w:tcPr>
            <w:tcW w:type="dxa" w:w="115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개발계획 변동</w:t>
            </w:r>
          </w:p>
        </w:tc>
        <w:tc>
          <w:tcPr>
            <w:tcW w:type="dxa" w:w="614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신규 고시, 계획 변경, 예산 편성·삭감, 입찰·낙찰, 보상, 환경평가, 착공·공정, 준공·개통, 지연·취소</w:t>
            </w:r>
          </w:p>
        </w:tc>
        <w:tc>
          <w:tcPr>
            <w:tcW w:type="dxa" w:w="234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성숙도 판정, 시나리오, 촉매카드</w:t>
            </w:r>
          </w:p>
        </w:tc>
      </w:tr>
      <w:tr>
        <w:trPr>
          <w:cantSplit/>
          <w:tblHeader w:val="false"/>
        </w:trPr>
        <w:tc>
          <w:tcPr>
            <w:tcW w:type="dxa" w:w="115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시장 신호 변동</w:t>
            </w:r>
          </w:p>
        </w:tc>
        <w:tc>
          <w:tcPr>
            <w:tcW w:type="dxa" w:w="6141"/>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거래량 급감, 취소 거래 증가, 전세가 하락, 미분양 증가, 매물량 급증, 호가-실거래 갭 확대</w:t>
            </w:r>
          </w:p>
        </w:tc>
        <w:tc>
          <w:tcPr>
            <w:tcW w:type="dxa" w:w="2347"/>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가격 판정, 환금성 평가</w:t>
            </w:r>
          </w:p>
        </w:tc>
      </w:tr>
      <w:tr>
        <w:trPr>
          <w:cantSplit/>
          <w:tblHeader w:val="false"/>
        </w:trPr>
        <w:tc>
          <w:tcPr>
            <w:tcW w:type="dxa" w:w="115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공급 신호 변동</w:t>
            </w:r>
          </w:p>
        </w:tc>
        <w:tc>
          <w:tcPr>
            <w:tcW w:type="dxa" w:w="614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경쟁 현장 분양 개시, 인허가·착공 물량 증가</w:t>
            </w:r>
          </w:p>
        </w:tc>
        <w:tc>
          <w:tcPr>
            <w:tcW w:type="dxa" w:w="234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확률조정 공급, 판매 시한 판단</w:t>
            </w:r>
          </w:p>
        </w:tc>
      </w:tr>
      <w:tr>
        <w:trPr>
          <w:cantSplit/>
          <w:tblHeader w:val="false"/>
        </w:trPr>
        <w:tc>
          <w:tcPr>
            <w:tcW w:type="dxa" w:w="115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표현 유효성</w:t>
            </w:r>
          </w:p>
        </w:tc>
        <w:tc>
          <w:tcPr>
            <w:tcW w:type="dxa" w:w="6141"/>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상기 변동이 기존 광고 문구의 근거를 훼손하는지 여부</w:t>
            </w:r>
          </w:p>
        </w:tc>
        <w:tc>
          <w:tcPr>
            <w:tcW w:type="dxa" w:w="2347"/>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게시 중인 광고 문구의 유효성 재검토</w:t>
            </w:r>
          </w:p>
        </w:tc>
      </w:tr>
    </w:tbl>
    <w:p>
      <w:pPr>
        <w:spacing w:after="200" w:before="0"/>
      </w:pPr>
    </w:p>
    <w:p>
      <w:pPr>
        <w:keepNext w:val="false"/>
        <w:spacing w:after="130" w:before="60" w:line="310"/>
        <w:jc w:val="both"/>
      </w:pPr>
      <w:r>
        <w:rPr>
          <w:rFonts w:ascii="맑은 고딕" w:cs="맑은 고딕" w:eastAsia="맑은 고딕" w:hAnsi="맑은 고딕"/>
          <w:b w:val="false"/>
          <w:bCs w:val="false"/>
          <w:i w:val="false"/>
          <w:iCs w:val="false"/>
          <w:color w:val="1A1A1A"/>
          <w:sz w:val="20"/>
          <w:szCs w:val="20"/>
        </w:rPr>
        <w:t xml:space="preserve">유리한 변화만 반영하는 것이 아니라 예산 삭감, 일정 지연, 노선 제외, 공급 증가도 함께 반영합니다. 불리한 변화를 반영하지 않은 광고는 상담·계약 단계에서 신뢰 문제로 되돌아오기 때문입니다.</w:t>
      </w:r>
    </w:p>
    <w:p>
      <w:pPr>
        <w:keepNext w:val="false"/>
        <w:spacing w:after="130" w:before="60" w:line="310"/>
        <w:jc w:val="both"/>
      </w:pPr>
      <w:r>
        <w:rPr>
          <w:rFonts w:ascii="맑은 고딕" w:cs="맑은 고딕" w:eastAsia="맑은 고딕" w:hAnsi="맑은 고딕"/>
          <w:b/>
          <w:bCs/>
          <w:i w:val="false"/>
          <w:iCs w:val="false"/>
          <w:color w:val="1A1A1A"/>
          <w:sz w:val="20"/>
          <w:szCs w:val="20"/>
        </w:rPr>
        <w:t xml:space="preserve">경쟁 현장 모니터링.</w:t>
      </w:r>
      <w:r>
        <w:rPr>
          <w:rFonts w:ascii="맑은 고딕" w:cs="맑은 고딕" w:eastAsia="맑은 고딕" w:hAnsi="맑은 고딕"/>
          <w:b w:val="false"/>
          <w:bCs w:val="false"/>
          <w:i w:val="false"/>
          <w:iCs w:val="false"/>
          <w:color w:val="1A1A1A"/>
          <w:sz w:val="20"/>
          <w:szCs w:val="20"/>
        </w:rPr>
        <w:t xml:space="preserve"> 경쟁 현장의 분양가·혜택·잔여 세대는 공개 API가 없어 현장 담당자의 주기적 확인에 의존합니다. 수기 수집이라는 이유로 관리가 느슨해지지 않도록, 회차별 스냅숏을 기록하고 변화 감지를 규칙화합니다 — 분양가 2% 이상 변동, 혜택 추가·축소, 잔여 세대 20% 이상 증감이 확인되면 조기경보로 승격되며, 각 신호마다 </w:t>
      </w:r>
      <w:r>
        <w:rPr>
          <w:rFonts w:ascii="맑은 고딕" w:cs="맑은 고딕" w:eastAsia="맑은 고딕" w:hAnsi="맑은 고딕"/>
          <w:b/>
          <w:bCs/>
          <w:i w:val="false"/>
          <w:iCs w:val="false"/>
          <w:color w:val="1A1A1A"/>
          <w:sz w:val="20"/>
          <w:szCs w:val="20"/>
        </w:rPr>
        <w:t xml:space="preserve">어떤 판정을 갱신해야 하는지</w:t>
      </w:r>
      <w:r>
        <w:rPr>
          <w:rFonts w:ascii="맑은 고딕" w:cs="맑은 고딕" w:eastAsia="맑은 고딕" w:hAnsi="맑은 고딕"/>
          <w:b w:val="false"/>
          <w:bCs w:val="false"/>
          <w:i w:val="false"/>
          <w:iCs w:val="false"/>
          <w:color w:val="1A1A1A"/>
          <w:sz w:val="20"/>
          <w:szCs w:val="20"/>
        </w:rPr>
        <w:t xml:space="preserve">가 함께 지정됩니다. 마지막 수집으로부터 30일이 지나면 신선도 경고가 발생해 방치를 막습니다.</w:t>
      </w:r>
    </w:p>
    <w:p>
      <w:pPr>
        <w:keepNext w:val="false"/>
        <w:spacing w:after="130" w:before="60" w:line="310"/>
        <w:jc w:val="both"/>
      </w:pPr>
      <w:r>
        <w:rPr>
          <w:rFonts w:ascii="맑은 고딕" w:cs="맑은 고딕" w:eastAsia="맑은 고딕" w:hAnsi="맑은 고딕"/>
          <w:b w:val="false"/>
          <w:bCs w:val="false"/>
          <w:i w:val="false"/>
          <w:iCs w:val="false"/>
          <w:color w:val="1A1A1A"/>
          <w:sz w:val="20"/>
          <w:szCs w:val="20"/>
        </w:rPr>
        <w:t xml:space="preserve">한 회차만 있으면 "변화 없음"이 아니라 </w:t>
      </w:r>
      <w:r>
        <w:rPr>
          <w:rFonts w:ascii="맑은 고딕" w:cs="맑은 고딕" w:eastAsia="맑은 고딕" w:hAnsi="맑은 고딕"/>
          <w:b/>
          <w:bCs/>
          <w:i w:val="false"/>
          <w:iCs w:val="false"/>
          <w:color w:val="1A1A1A"/>
          <w:sz w:val="20"/>
          <w:szCs w:val="20"/>
        </w:rPr>
        <w:t xml:space="preserve">"비교 불가"</w:t>
      </w:r>
      <w:r>
        <w:rPr>
          <w:rFonts w:ascii="맑은 고딕" w:cs="맑은 고딕" w:eastAsia="맑은 고딕" w:hAnsi="맑은 고딕"/>
          <w:b w:val="false"/>
          <w:bCs w:val="false"/>
          <w:i w:val="false"/>
          <w:iCs w:val="false"/>
          <w:color w:val="1A1A1A"/>
          <w:sz w:val="20"/>
          <w:szCs w:val="20"/>
        </w:rPr>
        <w:t xml:space="preserve">입니다. 회차 간 현장명이 일치하지 않아 짝지어지지 않는 경우도 같은 방식으로 표기됩니다.</w:t>
      </w:r>
    </w:p>
    <w:p>
      <w:pPr>
        <w:pStyle w:val="Heading3"/>
        <w:keepNext/>
        <w:spacing w:after="110" w:before="240"/>
      </w:pPr>
      <w:r>
        <w:rPr>
          <w:rFonts w:ascii="맑은 고딕" w:cs="맑은 고딕" w:eastAsia="맑은 고딕" w:hAnsi="맑은 고딕"/>
          <w:b/>
          <w:bCs/>
          <w:color w:val="5A5A5A"/>
          <w:sz w:val="20"/>
          <w:szCs w:val="20"/>
        </w:rPr>
        <w:t xml:space="preserve">5.11.3 현장 반응 피드백 — 분석을 검증하는 역방향 경로</w:t>
      </w:r>
    </w:p>
    <w:p>
      <w:pPr>
        <w:keepNext w:val="false"/>
        <w:spacing w:after="130" w:before="60" w:line="310"/>
        <w:jc w:val="both"/>
      </w:pPr>
      <w:r>
        <w:rPr>
          <w:rFonts w:ascii="맑은 고딕" w:cs="맑은 고딕" w:eastAsia="맑은 고딕" w:hAnsi="맑은 고딕"/>
          <w:b w:val="false"/>
          <w:bCs w:val="false"/>
          <w:i w:val="false"/>
          <w:iCs w:val="false"/>
          <w:color w:val="1A1A1A"/>
          <w:sz w:val="20"/>
          <w:szCs w:val="20"/>
        </w:rPr>
        <w:t xml:space="preserve">조기경보가 외부 데이터의 변동을 추적한다면, 현장 반응 피드백은 </w:t>
      </w:r>
      <w:r>
        <w:rPr>
          <w:rFonts w:ascii="맑은 고딕" w:cs="맑은 고딕" w:eastAsia="맑은 고딕" w:hAnsi="맑은 고딕"/>
          <w:b/>
          <w:bCs/>
          <w:i w:val="false"/>
          <w:iCs w:val="false"/>
          <w:color w:val="1A1A1A"/>
          <w:sz w:val="20"/>
          <w:szCs w:val="20"/>
        </w:rPr>
        <w:t xml:space="preserve">내부 데이터 — 상담·거절 기록 — 로 분석 자체를 검증</w:t>
      </w:r>
      <w:r>
        <w:rPr>
          <w:rFonts w:ascii="맑은 고딕" w:cs="맑은 고딕" w:eastAsia="맑은 고딕" w:hAnsi="맑은 고딕"/>
          <w:b w:val="false"/>
          <w:bCs w:val="false"/>
          <w:i w:val="false"/>
          <w:iCs w:val="false"/>
          <w:color w:val="1A1A1A"/>
          <w:sz w:val="20"/>
          <w:szCs w:val="20"/>
        </w:rPr>
        <w:t xml:space="preserve">하는 경로입니다. 이 데이터는 외부에서 구매할 수 없는 당사 운영체계 고유의 검증 자산입니다.</w:t>
      </w:r>
    </w:p>
    <w:p>
      <w:pPr>
        <w:keepNext/>
        <w:spacing w:after="90" w:before="220"/>
      </w:pPr>
      <w:r>
        <w:rPr>
          <w:rFonts w:ascii="맑은 고딕" w:cs="맑은 고딕" w:eastAsia="맑은 고딕" w:hAnsi="맑은 고딕"/>
          <w:b/>
          <w:bCs/>
          <w:color w:val="1F3864"/>
          <w:sz w:val="18"/>
          <w:szCs w:val="18"/>
        </w:rPr>
        <w:t xml:space="preserve">[표 5-26] 현장 반응과 분석 판정의 정합성 점검</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41"/>
        <w:gridCol w:w="3329"/>
        <w:gridCol w:w="3768"/>
      </w:tblGrid>
      <w:tr>
        <w:trPr>
          <w:cantSplit/>
          <w:tblHeader/>
        </w:trPr>
        <w:tc>
          <w:tcPr>
            <w:tcW w:type="dxa" w:w="2541"/>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현장 신호 (제9~10장에서 축적)</w:t>
            </w:r>
          </w:p>
        </w:tc>
        <w:tc>
          <w:tcPr>
            <w:tcW w:type="dxa" w:w="3329"/>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검증 대상 분석 판정</w:t>
            </w:r>
          </w:p>
        </w:tc>
        <w:tc>
          <w:tcPr>
            <w:tcW w:type="dxa" w:w="3768"/>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어긋날 경우의 조치</w:t>
            </w:r>
          </w:p>
        </w:tc>
      </w:tr>
      <w:tr>
        <w:trPr>
          <w:cantSplit/>
          <w:tblHeader w:val="false"/>
        </w:trPr>
        <w:tc>
          <w:tcPr>
            <w:tcW w:type="dxa" w:w="254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가격 거절 사유의 비중과 내용</w:t>
            </w:r>
          </w:p>
        </w:tc>
        <w:tc>
          <w:tcPr>
            <w:tcW w:type="dxa" w:w="3329"/>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판정 ① 현재 가격 위치</w:t>
            </w:r>
          </w:p>
        </w:tc>
        <w:tc>
          <w:tcPr>
            <w:tcW w:type="dxa" w:w="376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가격 갭 재산정, 총취득원가·실부담 설명 점검</w:t>
            </w:r>
          </w:p>
        </w:tc>
      </w:tr>
      <w:tr>
        <w:trPr>
          <w:cantSplit/>
          <w:tblHeader w:val="false"/>
        </w:trPr>
        <w:tc>
          <w:tcPr>
            <w:tcW w:type="dxa" w:w="2541"/>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상담 고객의 거주지·직장 분포</w:t>
            </w:r>
          </w:p>
        </w:tc>
        <w:tc>
          <w:tcPr>
            <w:tcW w:type="dxa" w:w="3329"/>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판정 ② 수요 지속성 (타깃 생활권 가설)</w:t>
            </w:r>
          </w:p>
        </w:tc>
        <w:tc>
          <w:tcPr>
            <w:tcW w:type="dxa" w:w="3768"/>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수요 레이어 가중치·타깃 지역 재검토</w:t>
            </w:r>
          </w:p>
        </w:tc>
      </w:tr>
      <w:tr>
        <w:trPr>
          <w:cantSplit/>
          <w:tblHeader w:val="false"/>
        </w:trPr>
        <w:tc>
          <w:tcPr>
            <w:tcW w:type="dxa" w:w="254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경쟁 현장 이탈 사유</w:t>
            </w:r>
          </w:p>
        </w:tc>
        <w:tc>
          <w:tcPr>
            <w:tcW w:type="dxa" w:w="3329"/>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판정 ③ 공급·환금성 위험</w:t>
            </w:r>
          </w:p>
        </w:tc>
        <w:tc>
          <w:tcPr>
            <w:tcW w:type="dxa" w:w="376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경쟁 물량 평가·비교 논리 갱신</w:t>
            </w:r>
          </w:p>
        </w:tc>
      </w:tr>
      <w:tr>
        <w:trPr>
          <w:cantSplit/>
          <w:tblHeader w:val="false"/>
        </w:trPr>
        <w:tc>
          <w:tcPr>
            <w:tcW w:type="dxa" w:w="2541"/>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호재 관련 질문·불신 반응</w:t>
            </w:r>
          </w:p>
        </w:tc>
        <w:tc>
          <w:tcPr>
            <w:tcW w:type="dxa" w:w="3329"/>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판정 ④ 촉매 평가와 표현 등급</w:t>
            </w:r>
          </w:p>
        </w:tc>
        <w:tc>
          <w:tcPr>
            <w:tcW w:type="dxa" w:w="3768"/>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촉매카드 보강 또는 해당 문구 등급 하향</w:t>
            </w:r>
          </w:p>
        </w:tc>
      </w:tr>
    </w:tbl>
    <w:p>
      <w:pPr>
        <w:spacing w:after="200" w:before="0"/>
      </w:pPr>
    </w:p>
    <w:p>
      <w:pPr>
        <w:keepNext w:val="false"/>
        <w:spacing w:after="130" w:before="60" w:line="310"/>
        <w:jc w:val="both"/>
      </w:pPr>
      <w:r>
        <w:rPr>
          <w:rFonts w:ascii="맑은 고딕" w:cs="맑은 고딕" w:eastAsia="맑은 고딕" w:hAnsi="맑은 고딕"/>
          <w:b w:val="false"/>
          <w:bCs w:val="false"/>
          <w:i w:val="false"/>
          <w:iCs w:val="false"/>
          <w:color w:val="1A1A1A"/>
          <w:sz w:val="20"/>
          <w:szCs w:val="20"/>
        </w:rPr>
        <w:t xml:space="preserve">월 단위로 "모델 판정 대 현장 반응"의 정합성을 점검하고, 어긋나는 항목은 재검토 대상으로 지정합니다. 분석이 현장을 가르치기만 하는 것이 아니라 </w:t>
      </w:r>
      <w:r>
        <w:rPr>
          <w:rFonts w:ascii="맑은 고딕" w:cs="맑은 고딕" w:eastAsia="맑은 고딕" w:hAnsi="맑은 고딕"/>
          <w:b/>
          <w:bCs/>
          <w:i w:val="false"/>
          <w:iCs w:val="false"/>
          <w:color w:val="1A1A1A"/>
          <w:sz w:val="20"/>
          <w:szCs w:val="20"/>
        </w:rPr>
        <w:t xml:space="preserve">현장이 분석을 교정하는 양방향 구조</w:t>
      </w:r>
      <w:r>
        <w:rPr>
          <w:rFonts w:ascii="맑은 고딕" w:cs="맑은 고딕" w:eastAsia="맑은 고딕" w:hAnsi="맑은 고딕"/>
          <w:b w:val="false"/>
          <w:bCs w:val="false"/>
          <w:i w:val="false"/>
          <w:iCs w:val="false"/>
          <w:color w:val="1A1A1A"/>
          <w:sz w:val="20"/>
          <w:szCs w:val="20"/>
        </w:rPr>
        <w:t xml:space="preserve"> — 이것이 폐쇄형 학습(4.4)의 분석 측 구현입니다.</w:t>
      </w:r>
    </w:p>
    <w:p>
      <w:pPr>
        <w:pStyle w:val="Heading2"/>
        <w:keepNext/>
        <w:spacing w:after="140" w:before="300"/>
      </w:pPr>
      <w:r>
        <w:rPr>
          <w:rFonts w:ascii="맑은 고딕" w:cs="맑은 고딕" w:eastAsia="맑은 고딕" w:hAnsi="맑은 고딕"/>
          <w:b/>
          <w:bCs/>
          <w:color w:val="1A1A1A"/>
          <w:sz w:val="23"/>
          <w:szCs w:val="23"/>
        </w:rPr>
        <w:t xml:space="preserve">5.12 소결</w:t>
      </w:r>
    </w:p>
    <w:p>
      <w:pPr>
        <w:keepNext w:val="false"/>
        <w:spacing w:after="130" w:before="60" w:line="310"/>
        <w:jc w:val="both"/>
      </w:pPr>
      <w:r>
        <w:rPr>
          <w:rFonts w:ascii="맑은 고딕" w:cs="맑은 고딕" w:eastAsia="맑은 고딕" w:hAnsi="맑은 고딕"/>
          <w:b w:val="false"/>
          <w:bCs w:val="false"/>
          <w:i w:val="false"/>
          <w:iCs w:val="false"/>
          <w:color w:val="1A1A1A"/>
          <w:sz w:val="20"/>
          <w:szCs w:val="20"/>
        </w:rPr>
        <w:t xml:space="preserve">현장분석은 전통적 광고대행의 업무 흐름에는 존재하지 않는, 본 운영체계의 첫 번째 단계입니다.</w:t>
      </w:r>
    </w:p>
    <w:p>
      <w:pPr>
        <w:keepNext w:val="false"/>
        <w:spacing w:after="130" w:before="60" w:line="310"/>
        <w:jc w:val="both"/>
      </w:pPr>
      <w:r>
        <w:rPr>
          <w:rFonts w:ascii="맑은 고딕" w:cs="맑은 고딕" w:eastAsia="맑은 고딕" w:hAnsi="맑은 고딕"/>
          <w:b w:val="false"/>
          <w:bCs w:val="false"/>
          <w:i w:val="false"/>
          <w:iCs w:val="false"/>
          <w:color w:val="1A1A1A"/>
          <w:sz w:val="20"/>
          <w:szCs w:val="20"/>
        </w:rPr>
        <w:t xml:space="preserve">본 장의 프레임워크는 </w:t>
      </w:r>
      <w:r>
        <w:rPr>
          <w:rFonts w:ascii="맑은 고딕" w:cs="맑은 고딕" w:eastAsia="맑은 고딕" w:hAnsi="맑은 고딕"/>
          <w:b/>
          <w:bCs/>
          <w:i w:val="false"/>
          <w:iCs w:val="false"/>
          <w:color w:val="1A1A1A"/>
          <w:sz w:val="20"/>
          <w:szCs w:val="20"/>
        </w:rPr>
        <w:t xml:space="preserve">"무엇을 근거로 팔 것인가"를 계약 전에 검증 가능한 형태로 확정</w:t>
      </w:r>
      <w:r>
        <w:rPr>
          <w:rFonts w:ascii="맑은 고딕" w:cs="맑은 고딕" w:eastAsia="맑은 고딕" w:hAnsi="맑은 고딕"/>
          <w:b w:val="false"/>
          <w:bCs w:val="false"/>
          <w:i w:val="false"/>
          <w:iCs w:val="false"/>
          <w:color w:val="1A1A1A"/>
          <w:sz w:val="20"/>
          <w:szCs w:val="20"/>
        </w:rPr>
        <w:t xml:space="preserve">합니다. 데이터 목록은 모방될 수 있으나, 독립 검증·반증·신뢰도 표시라는 방법론의 규율이 분석 품질을 결정합니다.</w:t>
      </w:r>
    </w:p>
    <w:p>
      <w:pPr>
        <w:keepNext w:val="false"/>
        <w:spacing w:after="130" w:before="60" w:line="310"/>
        <w:jc w:val="both"/>
      </w:pPr>
      <w:r>
        <w:rPr>
          <w:rFonts w:ascii="맑은 고딕" w:cs="맑은 고딕" w:eastAsia="맑은 고딕" w:hAnsi="맑은 고딕"/>
          <w:b w:val="false"/>
          <w:bCs w:val="false"/>
          <w:i w:val="false"/>
          <w:iCs w:val="false"/>
          <w:color w:val="1A1A1A"/>
          <w:sz w:val="20"/>
          <w:szCs w:val="20"/>
        </w:rPr>
        <w:t xml:space="preserve">그리고 본 장에 기술된 것은 </w:t>
      </w:r>
      <w:r>
        <w:rPr>
          <w:rFonts w:ascii="맑은 고딕" w:cs="맑은 고딕" w:eastAsia="맑은 고딕" w:hAnsi="맑은 고딕"/>
          <w:b/>
          <w:bCs/>
          <w:i w:val="false"/>
          <w:iCs w:val="false"/>
          <w:color w:val="1A1A1A"/>
          <w:sz w:val="20"/>
          <w:szCs w:val="20"/>
        </w:rPr>
        <w:t xml:space="preserve">설계도가 아니라 이미 작동하는 소프트웨어</w:t>
      </w:r>
      <w:r>
        <w:rPr>
          <w:rFonts w:ascii="맑은 고딕" w:cs="맑은 고딕" w:eastAsia="맑은 고딕" w:hAnsi="맑은 고딕"/>
          <w:b w:val="false"/>
          <w:bCs w:val="false"/>
          <w:i w:val="false"/>
          <w:iCs w:val="false"/>
          <w:color w:val="1A1A1A"/>
          <w:sz w:val="20"/>
          <w:szCs w:val="20"/>
        </w:rPr>
        <w:t xml:space="preserve">입니다. 15개 레이어 중 13개가 연동되어 있고, 조정계수 교정·백테스트·근거원장·예측 이력 장부가 실행 가능한 명령으로 존재합니다. 무엇이 구현되었고 무엇이 아직 아닌지는 부록 F에 그대로 적었습니다 — 제안서가 스스로에게 적용하지 않는 규율을 분석에만 요구할 수는 없기 때문입니다.</w:t>
      </w:r>
    </w:p>
    <w:p>
      <w:pPr>
        <w:keepNext w:val="false"/>
        <w:spacing w:after="130" w:before="60" w:line="310"/>
        <w:jc w:val="both"/>
      </w:pPr>
      <w:r>
        <w:rPr>
          <w:rFonts w:ascii="맑은 고딕" w:cs="맑은 고딕" w:eastAsia="맑은 고딕" w:hAnsi="맑은 고딕"/>
          <w:b w:val="false"/>
          <w:bCs w:val="false"/>
          <w:i w:val="false"/>
          <w:iCs w:val="false"/>
          <w:color w:val="1A1A1A"/>
          <w:sz w:val="20"/>
          <w:szCs w:val="20"/>
        </w:rPr>
        <w:t xml:space="preserve">이 분석 결과가 영업 언어로 전환되는 절차가 제6장의 주제입니다.</w:t>
      </w:r>
    </w:p>
    <w:p>
      <w:pPr>
        <w:pStyle w:val="Heading1"/>
        <w:pageBreakBefore/>
        <w:pBdr>
          <w:bottom w:val="single" w:color="1F3864" w:sz="10" w:space="8"/>
        </w:pBdr>
        <w:spacing w:after="240" w:before="0"/>
      </w:pPr>
      <w:r>
        <w:rPr>
          <w:rFonts w:ascii="맑은 고딕" w:cs="맑은 고딕" w:eastAsia="맑은 고딕" w:hAnsi="맑은 고딕"/>
          <w:b/>
          <w:bCs/>
          <w:color w:val="1F3864"/>
          <w:sz w:val="30"/>
          <w:szCs w:val="30"/>
        </w:rPr>
        <w:t xml:space="preserve">제6장. 판매 논리 설계</w:t>
      </w:r>
    </w:p>
    <w:p>
      <w:pPr>
        <w:keepNext w:val="false"/>
        <w:spacing w:after="130" w:before="60" w:line="310"/>
        <w:jc w:val="both"/>
      </w:pPr>
      <w:r>
        <w:rPr>
          <w:rFonts w:ascii="맑은 고딕" w:cs="맑은 고딕" w:eastAsia="맑은 고딕" w:hAnsi="맑은 고딕"/>
          <w:b/>
          <w:bCs/>
          <w:i w:val="false"/>
          <w:iCs w:val="false"/>
          <w:color w:val="1A1A1A"/>
          <w:sz w:val="20"/>
          <w:szCs w:val="20"/>
        </w:rPr>
        <w:t xml:space="preserve">헤드라인.</w:t>
      </w:r>
      <w:r>
        <w:rPr>
          <w:rFonts w:ascii="맑은 고딕" w:cs="맑은 고딕" w:eastAsia="맑은 고딕" w:hAnsi="맑은 고딕"/>
          <w:b w:val="false"/>
          <w:bCs w:val="false"/>
          <w:i w:val="false"/>
          <w:iCs w:val="false"/>
          <w:color w:val="1A1A1A"/>
          <w:sz w:val="20"/>
          <w:szCs w:val="20"/>
        </w:rPr>
        <w:t xml:space="preserve"> 분석과 영업 사이에 판매 논리 설계 단계를 두어, 광고·정보 허브·상담이 동일한 근거로 말하게 합니다.</w:t>
      </w:r>
    </w:p>
    <w:p>
      <w:pPr>
        <w:keepNext/>
        <w:spacing w:after="90" w:before="220"/>
      </w:pPr>
      <w:r>
        <w:rPr>
          <w:rFonts w:ascii="맑은 고딕" w:cs="맑은 고딕" w:eastAsia="맑은 고딕" w:hAnsi="맑은 고딕"/>
          <w:b/>
          <w:bCs/>
          <w:color w:val="1F3864"/>
          <w:sz w:val="18"/>
          <w:szCs w:val="18"/>
        </w:rPr>
        <w:t xml:space="preserve">[표 6-1] 장 요약</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7838"/>
      </w:tblGrid>
      <w:tr>
        <w:trPr>
          <w:cantSplit/>
          <w:tblHeader/>
        </w:trPr>
        <w:tc>
          <w:tcPr>
            <w:tcW w:type="dxa" w:w="1800"/>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구분</w:t>
            </w:r>
          </w:p>
        </w:tc>
        <w:tc>
          <w:tcPr>
            <w:tcW w:type="dxa" w:w="7838"/>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내용</w:t>
            </w:r>
          </w:p>
        </w:tc>
      </w:tr>
      <w:tr>
        <w:trPr>
          <w:cantSplit/>
          <w:tblHeader w:val="false"/>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문제 (Problem)</w:t>
            </w:r>
          </w:p>
        </w:tc>
        <w:tc>
          <w:tcPr>
            <w:tcW w:type="dxa" w:w="783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분석 품질이 높아도 채널·상담원마다 설명이 다르면 상담 단계에서 신뢰가 훼손된다</w:t>
            </w:r>
          </w:p>
        </w:tc>
      </w:tr>
      <w:tr>
        <w:trPr>
          <w:cantSplit/>
          <w:tblHeader w:val="false"/>
        </w:trPr>
        <w:tc>
          <w:tcPr>
            <w:tcW w:type="dxa" w:w="180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원인 (Reason)</w:t>
            </w:r>
          </w:p>
        </w:tc>
        <w:tc>
          <w:tcPr>
            <w:tcW w:type="dxa" w:w="7838"/>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분석 결과를 영업 언어로 변환하고 통제하는 표준 단계가 존재하지 않기 때문이다</w:t>
            </w:r>
          </w:p>
        </w:tc>
      </w:tr>
      <w:tr>
        <w:trPr>
          <w:cantSplit/>
          <w:tblHeader w:val="false"/>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방법 (Method)</w:t>
            </w:r>
          </w:p>
        </w:tc>
        <w:tc>
          <w:tcPr>
            <w:tcW w:type="dxa" w:w="783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고객 질문 6축 메시지맵(6.2), 상담 조직용 근거팩(6.3), 문장별 표현 등급 지정(6.4)을 설계 산출물로 확정한다</w:t>
            </w:r>
          </w:p>
        </w:tc>
      </w:tr>
      <w:tr>
        <w:trPr>
          <w:cantSplit/>
          <w:tblHeader w:val="false"/>
        </w:trPr>
        <w:tc>
          <w:tcPr>
            <w:tcW w:type="dxa" w:w="180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기대 효과 (Effect)</w:t>
            </w:r>
          </w:p>
        </w:tc>
        <w:tc>
          <w:tcPr>
            <w:tcW w:type="dxa" w:w="7838"/>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채널 간 메시지 불일치가 차단되고, 고객의 반론이 설계 단계에서 먼저 검증된다</w:t>
            </w:r>
          </w:p>
        </w:tc>
      </w:tr>
    </w:tbl>
    <w:p>
      <w:pPr>
        <w:spacing w:after="200" w:before="0"/>
      </w:pPr>
    </w:p>
    <w:p>
      <w:pPr>
        <w:pStyle w:val="Heading2"/>
        <w:keepNext/>
        <w:spacing w:after="140" w:before="300"/>
      </w:pPr>
      <w:r>
        <w:rPr>
          <w:rFonts w:ascii="맑은 고딕" w:cs="맑은 고딕" w:eastAsia="맑은 고딕" w:hAnsi="맑은 고딕"/>
          <w:b/>
          <w:bCs/>
          <w:color w:val="1A1A1A"/>
          <w:sz w:val="23"/>
          <w:szCs w:val="23"/>
        </w:rPr>
        <w:t xml:space="preserve">6.1 설계 원칙</w:t>
      </w:r>
    </w:p>
    <w:p>
      <w:pPr>
        <w:keepNext w:val="false"/>
        <w:spacing w:after="130" w:before="60" w:line="310"/>
        <w:jc w:val="both"/>
      </w:pPr>
      <w:r>
        <w:rPr>
          <w:rFonts w:ascii="맑은 고딕" w:cs="맑은 고딕" w:eastAsia="맑은 고딕" w:hAnsi="맑은 고딕"/>
          <w:b w:val="false"/>
          <w:bCs w:val="false"/>
          <w:i w:val="false"/>
          <w:iCs w:val="false"/>
          <w:color w:val="1A1A1A"/>
          <w:sz w:val="20"/>
          <w:szCs w:val="20"/>
        </w:rPr>
        <w:t xml:space="preserve">판매 논리 설계는 전통적 대행 구조에 존재하지 않는 단계입니다. 대행 구조에서는 분석 없이 광고 문구가 작성되므로, 문구는 혜택·입지·마감의 반복으로 수렴합니다(제3장). 본 체계에서는 광고 집행 전에 이 단계가 반드시 선행됩니다.</w:t>
      </w:r>
    </w:p>
    <w:p>
      <w:pPr>
        <w:keepNext/>
        <w:spacing w:after="90" w:before="220"/>
      </w:pPr>
      <w:r>
        <w:rPr>
          <w:rFonts w:ascii="맑은 고딕" w:cs="맑은 고딕" w:eastAsia="맑은 고딕" w:hAnsi="맑은 고딕"/>
          <w:b/>
          <w:bCs/>
          <w:color w:val="1F3864"/>
          <w:sz w:val="18"/>
          <w:szCs w:val="18"/>
        </w:rPr>
        <w:t xml:space="preserve">[표 6-2] 판매 논리의 세 가지 설계 원칙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7838"/>
      </w:tblGrid>
      <w:tr>
        <w:trPr>
          <w:cantSplit/>
          <w:tblHeader/>
        </w:trPr>
        <w:tc>
          <w:tcPr>
            <w:tcW w:type="dxa" w:w="1800"/>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원칙</w:t>
            </w:r>
          </w:p>
        </w:tc>
        <w:tc>
          <w:tcPr>
            <w:tcW w:type="dxa" w:w="7838"/>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내용</w:t>
            </w:r>
          </w:p>
        </w:tc>
      </w:tr>
      <w:tr>
        <w:trPr>
          <w:cantSplit/>
          <w:tblHeader w:val="false"/>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질문 대응</w:t>
            </w:r>
          </w:p>
        </w:tc>
        <w:tc>
          <w:tcPr>
            <w:tcW w:type="dxa" w:w="783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장점을 나열하지 않고, 고객이 실제로 묻는 질문에 근거와 비교로 답한다</w:t>
            </w:r>
          </w:p>
        </w:tc>
      </w:tr>
      <w:tr>
        <w:trPr>
          <w:cantSplit/>
          <w:tblHeader w:val="false"/>
        </w:trPr>
        <w:tc>
          <w:tcPr>
            <w:tcW w:type="dxa" w:w="180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반대근거 병기</w:t>
            </w:r>
          </w:p>
        </w:tc>
        <w:tc>
          <w:tcPr>
            <w:tcW w:type="dxa" w:w="7838"/>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유리한 근거만이 아니라 5.4.4에서 탐색된 반대근거를 함께 배치한다</w:t>
            </w:r>
          </w:p>
        </w:tc>
      </w:tr>
      <w:tr>
        <w:trPr>
          <w:cantSplit/>
          <w:tblHeader w:val="false"/>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사용 통제</w:t>
            </w:r>
          </w:p>
        </w:tc>
        <w:tc>
          <w:tcPr>
            <w:tcW w:type="dxa" w:w="783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모든 문장에 광고 사용 등급을 지정하여, 검증되지 않은 표현의 유입을 차단한다</w:t>
            </w:r>
          </w:p>
        </w:tc>
      </w:tr>
    </w:tbl>
    <w:p>
      <w:pPr>
        <w:spacing w:after="200" w:before="0"/>
      </w:pPr>
    </w:p>
    <w:p>
      <w:pPr>
        <w:keepNext w:val="false"/>
        <w:spacing w:after="130" w:before="60" w:line="310"/>
        <w:jc w:val="both"/>
      </w:pPr>
      <w:r>
        <w:rPr>
          <w:rFonts w:ascii="맑은 고딕" w:cs="맑은 고딕" w:eastAsia="맑은 고딕" w:hAnsi="맑은 고딕"/>
          <w:b w:val="false"/>
          <w:bCs w:val="false"/>
          <w:i w:val="false"/>
          <w:iCs w:val="false"/>
          <w:color w:val="1A1A1A"/>
          <w:sz w:val="20"/>
          <w:szCs w:val="20"/>
        </w:rPr>
        <w:t xml:space="preserve">두 번째 원칙은 윤리 이전에 전환율의 문제입니다. 광고에서 과장된 기대를 형성한 고객은 상담 단계에서 이탈하고, 광고에서 검증된 기준을 확인한 고객은 상담을 신뢰 위에서 시작합니다. </w:t>
      </w:r>
      <w:r>
        <w:rPr>
          <w:rFonts w:ascii="맑은 고딕" w:cs="맑은 고딕" w:eastAsia="맑은 고딕" w:hAnsi="맑은 고딕"/>
          <w:b/>
          <w:bCs/>
          <w:i w:val="false"/>
          <w:iCs w:val="false"/>
          <w:color w:val="1A1A1A"/>
          <w:sz w:val="20"/>
          <w:szCs w:val="20"/>
        </w:rPr>
        <w:t xml:space="preserve">판매 논리가 상담 단계에서 유지되려면, 설계 단계에서 반론을 먼저 통과해야 합니다.</w:t>
      </w:r>
    </w:p>
    <w:p>
      <w:pPr>
        <w:pStyle w:val="Heading2"/>
        <w:keepNext/>
        <w:spacing w:after="140" w:before="300"/>
      </w:pPr>
      <w:r>
        <w:rPr>
          <w:rFonts w:ascii="맑은 고딕" w:cs="맑은 고딕" w:eastAsia="맑은 고딕" w:hAnsi="맑은 고딕"/>
          <w:b/>
          <w:bCs/>
          <w:color w:val="1A1A1A"/>
          <w:sz w:val="23"/>
          <w:szCs w:val="23"/>
        </w:rPr>
        <w:t xml:space="preserve">6.2 고객 질문 6축 메시지맵</w:t>
      </w:r>
    </w:p>
    <w:p>
      <w:pPr>
        <w:keepNext/>
        <w:spacing w:after="90" w:before="220"/>
      </w:pPr>
      <w:r>
        <w:rPr>
          <w:rFonts w:ascii="맑은 고딕" w:cs="맑은 고딕" w:eastAsia="맑은 고딕" w:hAnsi="맑은 고딕"/>
          <w:b/>
          <w:bCs/>
          <w:color w:val="1F3864"/>
          <w:sz w:val="18"/>
          <w:szCs w:val="18"/>
        </w:rPr>
        <w:t xml:space="preserve">[표 6-3] 고객 질문과 분석 근거의 대응</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7"/>
        <w:gridCol w:w="3625"/>
        <w:gridCol w:w="3706"/>
      </w:tblGrid>
      <w:tr>
        <w:trPr>
          <w:cantSplit/>
          <w:tblHeader/>
        </w:trPr>
        <w:tc>
          <w:tcPr>
            <w:tcW w:type="dxa" w:w="2307"/>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고객 질문</w:t>
            </w:r>
          </w:p>
        </w:tc>
        <w:tc>
          <w:tcPr>
            <w:tcW w:type="dxa" w:w="3625"/>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분석 근거 (제5장)</w:t>
            </w:r>
          </w:p>
        </w:tc>
        <w:tc>
          <w:tcPr>
            <w:tcW w:type="dxa" w:w="3706"/>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설득 방향</w:t>
            </w:r>
          </w:p>
        </w:tc>
      </w:tr>
      <w:tr>
        <w:trPr>
          <w:cantSplit/>
          <w:tblHeader w:val="false"/>
        </w:trPr>
        <w:tc>
          <w:tcPr>
            <w:tcW w:type="dxa" w:w="230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분양가가 비싼 것 아닌가?</w:t>
            </w:r>
          </w:p>
        </w:tc>
        <w:tc>
          <w:tcPr>
            <w:tcW w:type="dxa" w:w="3625"/>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총취득원가·비교단지·품질조정 가격 (5.5)</w:t>
            </w:r>
          </w:p>
        </w:tc>
        <w:tc>
          <w:tcPr>
            <w:tcW w:type="dxa" w:w="370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"같은 가격"이 아니라 "같은 조건"으로 비교</w:t>
            </w:r>
          </w:p>
        </w:tc>
      </w:tr>
      <w:tr>
        <w:trPr>
          <w:cantSplit/>
          <w:tblHeader w:val="false"/>
        </w:trPr>
        <w:tc>
          <w:tcPr>
            <w:tcW w:type="dxa" w:w="2307"/>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입주 시점에도 수요가 있는가?</w:t>
            </w:r>
          </w:p>
        </w:tc>
        <w:tc>
          <w:tcPr>
            <w:tcW w:type="dxa" w:w="3625"/>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상주·근무·이동 수요, 청약·전세 (C1·C2·C3·C5)</w:t>
            </w:r>
          </w:p>
        </w:tc>
        <w:tc>
          <w:tcPr>
            <w:tcW w:type="dxa" w:w="3706"/>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어떤 고객층이 왜 필요한지를 데이터로 설명</w:t>
            </w:r>
          </w:p>
        </w:tc>
      </w:tr>
      <w:tr>
        <w:trPr>
          <w:cantSplit/>
          <w:tblHeader w:val="false"/>
        </w:trPr>
        <w:tc>
          <w:tcPr>
            <w:tcW w:type="dxa" w:w="230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공급이 많아지지 않는가?</w:t>
            </w:r>
          </w:p>
        </w:tc>
        <w:tc>
          <w:tcPr>
            <w:tcW w:type="dxa" w:w="3625"/>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입주예정·착공·미분양·확률조정 공급 (C6)</w:t>
            </w:r>
          </w:p>
        </w:tc>
        <w:tc>
          <w:tcPr>
            <w:tcW w:type="dxa" w:w="370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공급 위험과 흡수 조건을 함께 제시</w:t>
            </w:r>
          </w:p>
        </w:tc>
      </w:tr>
      <w:tr>
        <w:trPr>
          <w:cantSplit/>
          <w:tblHeader w:val="false"/>
        </w:trPr>
        <w:tc>
          <w:tcPr>
            <w:tcW w:type="dxa" w:w="2307"/>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교통호재가 실제로 되는가?</w:t>
            </w:r>
          </w:p>
        </w:tc>
        <w:tc>
          <w:tcPr>
            <w:tcW w:type="dxa" w:w="3625"/>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성숙도 단계·예산·계약·시간 변화 (5.6)</w:t>
            </w:r>
          </w:p>
        </w:tc>
        <w:tc>
          <w:tcPr>
            <w:tcW w:type="dxa" w:w="3706"/>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추진 단계와 현장 효과를 분리하여 제시</w:t>
            </w:r>
          </w:p>
        </w:tc>
      </w:tr>
      <w:tr>
        <w:trPr>
          <w:cantSplit/>
          <w:tblHeader w:val="false"/>
        </w:trPr>
        <w:tc>
          <w:tcPr>
            <w:tcW w:type="dxa" w:w="230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나중에 팔 수 있는가?</w:t>
            </w:r>
          </w:p>
        </w:tc>
        <w:tc>
          <w:tcPr>
            <w:tcW w:type="dxa" w:w="3625"/>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거래량·회전율·전세·매도 소요기간 (L11)</w:t>
            </w:r>
          </w:p>
        </w:tc>
        <w:tc>
          <w:tcPr>
            <w:tcW w:type="dxa" w:w="370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환금성의 근거와 제약을 함께 설명</w:t>
            </w:r>
          </w:p>
        </w:tc>
      </w:tr>
      <w:tr>
        <w:trPr>
          <w:cantSplit/>
          <w:tblHeader w:val="false"/>
        </w:trPr>
        <w:tc>
          <w:tcPr>
            <w:tcW w:type="dxa" w:w="2307"/>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왜 지금 검토해야 하는가?</w:t>
            </w:r>
          </w:p>
        </w:tc>
        <w:tc>
          <w:tcPr>
            <w:tcW w:type="dxa" w:w="3625"/>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분양조건·시장 위치·공급 일정·촉매 상태</w:t>
            </w:r>
          </w:p>
        </w:tc>
        <w:tc>
          <w:tcPr>
            <w:tcW w:type="dxa" w:w="3706"/>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과장된 긴급성 대신 확인 가능한 판단 시점 제시</w:t>
            </w:r>
          </w:p>
        </w:tc>
      </w:tr>
    </w:tbl>
    <w:p>
      <w:pPr>
        <w:spacing w:after="200" w:before="0"/>
      </w:pPr>
    </w:p>
    <w:p>
      <w:pPr>
        <w:keepNext w:val="false"/>
        <w:spacing w:after="130" w:before="60" w:line="310"/>
        <w:jc w:val="both"/>
      </w:pPr>
      <w:r>
        <w:rPr>
          <w:rFonts w:ascii="맑은 고딕" w:cs="맑은 고딕" w:eastAsia="맑은 고딕" w:hAnsi="맑은 고딕"/>
          <w:b w:val="false"/>
          <w:bCs w:val="false"/>
          <w:i w:val="false"/>
          <w:iCs w:val="false"/>
          <w:color w:val="1A1A1A"/>
          <w:sz w:val="20"/>
          <w:szCs w:val="20"/>
        </w:rPr>
        <w:t xml:space="preserve">일곱 번째 축은 운영 중에 생성됩니다. </w:t>
      </w:r>
      <w:r>
        <w:rPr>
          <w:rFonts w:ascii="맑은 고딕" w:cs="맑은 고딕" w:eastAsia="맑은 고딕" w:hAnsi="맑은 고딕"/>
          <w:b/>
          <w:bCs/>
          <w:i w:val="false"/>
          <w:iCs w:val="false"/>
          <w:color w:val="1A1A1A"/>
          <w:sz w:val="20"/>
          <w:szCs w:val="20"/>
        </w:rPr>
        <w:t xml:space="preserve">상담 거절 사유</w:t>
      </w:r>
      <w:r>
        <w:rPr>
          <w:rFonts w:ascii="맑은 고딕" w:cs="맑은 고딕" w:eastAsia="맑은 고딕" w:hAnsi="맑은 고딕"/>
          <w:b w:val="false"/>
          <w:bCs w:val="false"/>
          <w:i w:val="false"/>
          <w:iCs w:val="false"/>
          <w:color w:val="1A1A1A"/>
          <w:sz w:val="20"/>
          <w:szCs w:val="20"/>
        </w:rPr>
        <w:t xml:space="preserve">입니다. "다른 고객은 무엇을 우려했는가"를 분석하여 FAQ·후속 메시지·리타기팅 논리로 전환합니다(제10장).</w:t>
      </w:r>
    </w:p>
    <w:p>
      <w:pPr>
        <w:keepNext w:val="false"/>
        <w:spacing w:after="130" w:before="60" w:line="310"/>
        <w:jc w:val="both"/>
      </w:pPr>
      <w:r>
        <w:rPr>
          <w:rFonts w:ascii="맑은 고딕" w:cs="맑은 고딕" w:eastAsia="맑은 고딕" w:hAnsi="맑은 고딕"/>
          <w:b w:val="false"/>
          <w:bCs w:val="false"/>
          <w:i w:val="false"/>
          <w:iCs w:val="false"/>
          <w:color w:val="1A1A1A"/>
          <w:sz w:val="20"/>
          <w:szCs w:val="20"/>
        </w:rPr>
        <w:t xml:space="preserve">판매 논리의 원천은 착수 시점의 분석만이 아니라, </w:t>
      </w:r>
      <w:r>
        <w:rPr>
          <w:rFonts w:ascii="맑은 고딕" w:cs="맑은 고딕" w:eastAsia="맑은 고딕" w:hAnsi="맑은 고딕"/>
          <w:b/>
          <w:bCs/>
          <w:i w:val="false"/>
          <w:iCs w:val="false"/>
          <w:color w:val="1A1A1A"/>
          <w:sz w:val="20"/>
          <w:szCs w:val="20"/>
        </w:rPr>
        <w:t xml:space="preserve">운영 중 축적되는 현장의 실제 반응</w:t>
      </w:r>
      <w:r>
        <w:rPr>
          <w:rFonts w:ascii="맑은 고딕" w:cs="맑은 고딕" w:eastAsia="맑은 고딕" w:hAnsi="맑은 고딕"/>
          <w:b w:val="false"/>
          <w:bCs w:val="false"/>
          <w:i w:val="false"/>
          <w:iCs w:val="false"/>
          <w:color w:val="1A1A1A"/>
          <w:sz w:val="20"/>
          <w:szCs w:val="20"/>
        </w:rPr>
        <w:t xml:space="preserve">입니다.</w:t>
      </w:r>
    </w:p>
    <w:p>
      <w:pPr>
        <w:pStyle w:val="Heading2"/>
        <w:keepNext/>
        <w:spacing w:after="140" w:before="300"/>
      </w:pPr>
      <w:r>
        <w:rPr>
          <w:rFonts w:ascii="맑은 고딕" w:cs="맑은 고딕" w:eastAsia="맑은 고딕" w:hAnsi="맑은 고딕"/>
          <w:b/>
          <w:bCs/>
          <w:color w:val="1A1A1A"/>
          <w:sz w:val="23"/>
          <w:szCs w:val="23"/>
        </w:rPr>
        <w:t xml:space="preserve">6.3 상담 조직을 위한 산출물</w:t>
      </w:r>
    </w:p>
    <w:p>
      <w:pPr>
        <w:keepNext w:val="false"/>
        <w:spacing w:after="130" w:before="60" w:line="310"/>
        <w:jc w:val="both"/>
      </w:pPr>
      <w:r>
        <w:rPr>
          <w:rFonts w:ascii="맑은 고딕" w:cs="맑은 고딕" w:eastAsia="맑은 고딕" w:hAnsi="맑은 고딕"/>
          <w:b w:val="false"/>
          <w:bCs w:val="false"/>
          <w:i w:val="false"/>
          <w:iCs w:val="false"/>
          <w:color w:val="1A1A1A"/>
          <w:sz w:val="20"/>
          <w:szCs w:val="20"/>
        </w:rPr>
        <w:t xml:space="preserve">판매 논리는 광고만이 아니라 상담 현장을 위해 설계됩니다.</w:t>
      </w:r>
    </w:p>
    <w:p>
      <w:pPr>
        <w:keepNext/>
        <w:spacing w:after="90" w:before="220"/>
      </w:pPr>
      <w:r>
        <w:rPr>
          <w:rFonts w:ascii="맑은 고딕" w:cs="맑은 고딕" w:eastAsia="맑은 고딕" w:hAnsi="맑은 고딕"/>
          <w:b/>
          <w:bCs/>
          <w:color w:val="1F3864"/>
          <w:sz w:val="18"/>
          <w:szCs w:val="18"/>
        </w:rPr>
        <w:t xml:space="preserve">[표 6-4] 영업 지원 산출물</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63"/>
        <w:gridCol w:w="5817"/>
        <w:gridCol w:w="2258"/>
      </w:tblGrid>
      <w:tr>
        <w:trPr>
          <w:cantSplit/>
          <w:tblHeader/>
        </w:trPr>
        <w:tc>
          <w:tcPr>
            <w:tcW w:type="dxa" w:w="1563"/>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산출물</w:t>
            </w:r>
          </w:p>
        </w:tc>
        <w:tc>
          <w:tcPr>
            <w:tcW w:type="dxa" w:w="5817"/>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내용</w:t>
            </w:r>
          </w:p>
        </w:tc>
        <w:tc>
          <w:tcPr>
            <w:tcW w:type="dxa" w:w="2258"/>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사용 주체</w:t>
            </w:r>
          </w:p>
        </w:tc>
      </w:tr>
      <w:tr>
        <w:trPr>
          <w:cantSplit/>
          <w:tblHeader w:val="false"/>
        </w:trPr>
        <w:tc>
          <w:tcPr>
            <w:tcW w:type="dxa" w:w="156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고객용 요약 리포트</w:t>
            </w:r>
          </w:p>
        </w:tc>
        <w:tc>
          <w:tcPr>
            <w:tcW w:type="dxa" w:w="581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진단 결과를 고객이 이해할 수 있는 형태로 정리한 근거카드 모음</w:t>
            </w:r>
          </w:p>
        </w:tc>
        <w:tc>
          <w:tcPr>
            <w:tcW w:type="dxa" w:w="225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상담 시 고객 제시</w:t>
            </w:r>
          </w:p>
        </w:tc>
      </w:tr>
      <w:tr>
        <w:trPr>
          <w:cantSplit/>
          <w:tblHeader w:val="false"/>
        </w:trPr>
        <w:tc>
          <w:tcPr>
            <w:tcW w:type="dxa" w:w="1563"/>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상담 근거팩</w:t>
            </w:r>
          </w:p>
        </w:tc>
        <w:tc>
          <w:tcPr>
            <w:tcW w:type="dxa" w:w="5817"/>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질문 축별 표준 답변, 비교표, 근거 출처</w:t>
            </w:r>
          </w:p>
        </w:tc>
        <w:tc>
          <w:tcPr>
            <w:tcW w:type="dxa" w:w="2258"/>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상담원</w:t>
            </w:r>
          </w:p>
        </w:tc>
      </w:tr>
      <w:tr>
        <w:trPr>
          <w:cantSplit/>
          <w:tblHeader w:val="false"/>
        </w:trPr>
        <w:tc>
          <w:tcPr>
            <w:tcW w:type="dxa" w:w="156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거절 대응 자료</w:t>
            </w:r>
          </w:p>
        </w:tc>
        <w:tc>
          <w:tcPr>
            <w:tcW w:type="dxa" w:w="581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빈출 거절 사유(가격·대출·가족 협의·경쟁 현장)별 사실 기반 대응 논리</w:t>
            </w:r>
          </w:p>
        </w:tc>
        <w:tc>
          <w:tcPr>
            <w:tcW w:type="dxa" w:w="225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상담원</w:t>
            </w:r>
          </w:p>
        </w:tc>
      </w:tr>
      <w:tr>
        <w:trPr>
          <w:cantSplit/>
          <w:tblHeader w:val="false"/>
        </w:trPr>
        <w:tc>
          <w:tcPr>
            <w:tcW w:type="dxa" w:w="1563"/>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메시지맵</w:t>
            </w:r>
          </w:p>
        </w:tc>
        <w:tc>
          <w:tcPr>
            <w:tcW w:type="dxa" w:w="5817"/>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고객 유형·질문·근거·표현등급의 대응표</w:t>
            </w:r>
          </w:p>
        </w:tc>
        <w:tc>
          <w:tcPr>
            <w:tcW w:type="dxa" w:w="2258"/>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광고·허브·상담의 공통 기준</w:t>
            </w:r>
          </w:p>
        </w:tc>
      </w:tr>
    </w:tbl>
    <w:p>
      <w:pPr>
        <w:spacing w:after="200" w:before="0"/>
      </w:pPr>
    </w:p>
    <w:p>
      <w:pPr>
        <w:keepNext w:val="false"/>
        <w:spacing w:after="130" w:before="60" w:line="310"/>
        <w:jc w:val="both"/>
      </w:pPr>
      <w:r>
        <w:rPr>
          <w:rFonts w:ascii="맑은 고딕" w:cs="맑은 고딕" w:eastAsia="맑은 고딕" w:hAnsi="맑은 고딕"/>
          <w:b w:val="false"/>
          <w:bCs w:val="false"/>
          <w:i w:val="false"/>
          <w:iCs w:val="false"/>
          <w:color w:val="1A1A1A"/>
          <w:sz w:val="20"/>
          <w:szCs w:val="20"/>
        </w:rPr>
        <w:t xml:space="preserve">상담원마다 조건 안내가 다른 현장은 신뢰를 즉시 상실합니다. 분양조건과 표현의 단일 기준은 시행사 승인으로 확정되며, </w:t>
      </w:r>
      <w:r>
        <w:rPr>
          <w:rFonts w:ascii="맑은 고딕" w:cs="맑은 고딕" w:eastAsia="맑은 고딕" w:hAnsi="맑은 고딕"/>
          <w:b/>
          <w:bCs/>
          <w:i w:val="false"/>
          <w:iCs w:val="false"/>
          <w:color w:val="1A1A1A"/>
          <w:sz w:val="20"/>
          <w:szCs w:val="20"/>
        </w:rPr>
        <w:t xml:space="preserve">조건 변경 시 광고·정보 허브·상담자료가 동시에 갱신</w:t>
      </w:r>
      <w:r>
        <w:rPr>
          <w:rFonts w:ascii="맑은 고딕" w:cs="맑은 고딕" w:eastAsia="맑은 고딕" w:hAnsi="맑은 고딕"/>
          <w:b w:val="false"/>
          <w:bCs w:val="false"/>
          <w:i w:val="false"/>
          <w:iCs w:val="false"/>
          <w:color w:val="1A1A1A"/>
          <w:sz w:val="20"/>
          <w:szCs w:val="20"/>
        </w:rPr>
        <w:t xml:space="preserve">됩니다.</w:t>
      </w:r>
    </w:p>
    <w:p>
      <w:pPr>
        <w:keepNext w:val="false"/>
        <w:spacing w:after="130" w:before="60" w:line="310"/>
        <w:jc w:val="both"/>
      </w:pPr>
      <w:r>
        <w:rPr>
          <w:rFonts w:ascii="맑은 고딕" w:cs="맑은 고딕" w:eastAsia="맑은 고딕" w:hAnsi="맑은 고딕"/>
          <w:b/>
          <w:bCs/>
          <w:i w:val="false"/>
          <w:iCs w:val="false"/>
          <w:color w:val="1A1A1A"/>
          <w:sz w:val="20"/>
          <w:szCs w:val="20"/>
        </w:rPr>
        <w:t xml:space="preserve">생성 방식.</w:t>
      </w:r>
      <w:r>
        <w:rPr>
          <w:rFonts w:ascii="맑은 고딕" w:cs="맑은 고딕" w:eastAsia="맑은 고딕" w:hAnsi="맑은 고딕"/>
          <w:b w:val="false"/>
          <w:bCs w:val="false"/>
          <w:i w:val="false"/>
          <w:iCs w:val="false"/>
          <w:color w:val="1A1A1A"/>
          <w:sz w:val="20"/>
          <w:szCs w:val="20"/>
        </w:rPr>
        <w:t xml:space="preserve"> 위 산출물은 분석 결과에서 </w:t>
      </w:r>
      <w:r>
        <w:rPr>
          <w:rFonts w:ascii="맑은 고딕" w:cs="맑은 고딕" w:eastAsia="맑은 고딕" w:hAnsi="맑은 고딕"/>
          <w:b/>
          <w:bCs/>
          <w:i w:val="false"/>
          <w:iCs w:val="false"/>
          <w:color w:val="1A1A1A"/>
          <w:sz w:val="20"/>
          <w:szCs w:val="20"/>
        </w:rPr>
        <w:t xml:space="preserve">직접 생성</w:t>
      </w:r>
      <w:r>
        <w:rPr>
          <w:rFonts w:ascii="맑은 고딕" w:cs="맑은 고딕" w:eastAsia="맑은 고딕" w:hAnsi="맑은 고딕"/>
          <w:b w:val="false"/>
          <w:bCs w:val="false"/>
          <w:i w:val="false"/>
          <w:iCs w:val="false"/>
          <w:color w:val="1A1A1A"/>
          <w:sz w:val="20"/>
          <w:szCs w:val="20"/>
        </w:rPr>
        <w:t xml:space="preserve">됩니다. 사람이 리포트를 읽고 옮겨 적는 방식이 아니므로, 리포트의 수치가 갱신되면 상담 자료도 같은 근거로 함께 갱신되며 둘이 어긋날 경로가 없습니다. 생성된 모든 문장은 표현 린트(6.4)를 통과해야 하고, 차단된 문장은 산출물에 실리지 않습니다.</w:t>
      </w:r>
    </w:p>
    <w:p>
      <w:pPr>
        <w:keepNext/>
        <w:spacing w:after="90" w:before="220"/>
      </w:pPr>
      <w:r>
        <w:rPr>
          <w:rFonts w:ascii="맑은 고딕" w:cs="맑은 고딕" w:eastAsia="맑은 고딕" w:hAnsi="맑은 고딕"/>
          <w:b/>
          <w:bCs/>
          <w:color w:val="1F3864"/>
          <w:sz w:val="18"/>
          <w:szCs w:val="18"/>
        </w:rPr>
        <w:t xml:space="preserve">[표 6-4-1] 질문 축별 답변 생성 조건</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0"/>
        <w:gridCol w:w="4961"/>
        <w:gridCol w:w="3527"/>
      </w:tblGrid>
      <w:tr>
        <w:trPr>
          <w:cantSplit/>
          <w:tblHeader/>
        </w:trPr>
        <w:tc>
          <w:tcPr>
            <w:tcW w:type="dxa" w:w="1150"/>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축</w:t>
            </w:r>
          </w:p>
        </w:tc>
        <w:tc>
          <w:tcPr>
            <w:tcW w:type="dxa" w:w="4961"/>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답변이 생성되는 조건</w:t>
            </w:r>
          </w:p>
        </w:tc>
        <w:tc>
          <w:tcPr>
            <w:tcW w:type="dxa" w:w="3527"/>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조건 미충족 시</w:t>
            </w:r>
          </w:p>
        </w:tc>
      </w:tr>
      <w:tr>
        <w:trPr>
          <w:cantSplit/>
          <w:tblHeader w:val="false"/>
        </w:trPr>
        <w:tc>
          <w:tcPr>
            <w:tcW w:type="dxa" w:w="115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Q1 분양가</w:t>
            </w:r>
          </w:p>
        </w:tc>
        <w:tc>
          <w:tcPr>
            <w:tcW w:type="dxa" w:w="496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품질조정 밴드가 산출됨</w:t>
            </w:r>
          </w:p>
        </w:tc>
        <w:tc>
          <w:tcPr>
            <w:tcW w:type="dxa" w:w="352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"비교 표본 부족"</w:t>
            </w:r>
          </w:p>
        </w:tc>
      </w:tr>
      <w:tr>
        <w:trPr>
          <w:cantSplit/>
          <w:tblHeader w:val="false"/>
        </w:trPr>
        <w:tc>
          <w:tcPr>
            <w:tcW w:type="dxa" w:w="115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Q2 수요</w:t>
            </w:r>
          </w:p>
        </w:tc>
        <w:tc>
          <w:tcPr>
            <w:tcW w:type="dxa" w:w="4961"/>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수요 레이어 또는 실부담·청약 중 하나 이상 산출됨</w:t>
            </w:r>
          </w:p>
        </w:tc>
        <w:tc>
          <w:tcPr>
            <w:tcW w:type="dxa" w:w="3527"/>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"수요 레이어 미수집"</w:t>
            </w:r>
          </w:p>
        </w:tc>
      </w:tr>
      <w:tr>
        <w:trPr>
          <w:cantSplit/>
          <w:tblHeader w:val="false"/>
        </w:trPr>
        <w:tc>
          <w:tcPr>
            <w:tcW w:type="dxa" w:w="115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Q3 공급</w:t>
            </w:r>
          </w:p>
        </w:tc>
        <w:tc>
          <w:tcPr>
            <w:tcW w:type="dxa" w:w="496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공급 목록과 현장 세대수 입력됨</w:t>
            </w:r>
          </w:p>
        </w:tc>
        <w:tc>
          <w:tcPr>
            <w:tcW w:type="dxa" w:w="352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"공급 목록 미입력"</w:t>
            </w:r>
          </w:p>
        </w:tc>
      </w:tr>
      <w:tr>
        <w:trPr>
          <w:cantSplit/>
          <w:tblHeader w:val="false"/>
        </w:trPr>
        <w:tc>
          <w:tcPr>
            <w:tcW w:type="dxa" w:w="115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Q4 호재</w:t>
            </w:r>
          </w:p>
        </w:tc>
        <w:tc>
          <w:tcPr>
            <w:tcW w:type="dxa" w:w="4961"/>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등록 계획 중 </w:t>
            </w:r>
            <w:r>
              <w:rPr>
                <w:rFonts w:ascii="맑은 고딕" w:cs="맑은 고딕" w:eastAsia="맑은 고딕" w:hAnsi="맑은 고딕"/>
                <w:b/>
                <w:bCs/>
                <w:color w:val="1A1A1A"/>
                <w:sz w:val="18"/>
                <w:szCs w:val="18"/>
              </w:rPr>
              <w:t xml:space="preserve">검토 단계를 넘은 것이 하나 이상</w:t>
            </w:r>
            <w:r>
              <w:rPr>
                <w:rFonts w:ascii="맑은 고딕" w:cs="맑은 고딕" w:eastAsia="맑은 고딕" w:hAnsi="맑은 고딕"/>
                <w:color w:val="1A1A1A"/>
                <w:sz w:val="18"/>
                <w:szCs w:val="18"/>
              </w:rPr>
              <w:t xml:space="preserve"> 존재</w:t>
            </w:r>
          </w:p>
        </w:tc>
        <w:tc>
          <w:tcPr>
            <w:tcW w:type="dxa" w:w="3527"/>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"모두 검토 단계로 확정적 언급 불가"</w:t>
            </w:r>
          </w:p>
        </w:tc>
      </w:tr>
      <w:tr>
        <w:trPr>
          <w:cantSplit/>
          <w:tblHeader w:val="false"/>
        </w:trPr>
        <w:tc>
          <w:tcPr>
            <w:tcW w:type="dxa" w:w="115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Q5 환금성</w:t>
            </w:r>
          </w:p>
        </w:tc>
        <w:tc>
          <w:tcPr>
            <w:tcW w:type="dxa" w:w="496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회전율 산출됨 (비교단지 세대수 필요)</w:t>
            </w:r>
          </w:p>
        </w:tc>
        <w:tc>
          <w:tcPr>
            <w:tcW w:type="dxa" w:w="352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"회전율 미산출"</w:t>
            </w:r>
          </w:p>
        </w:tc>
      </w:tr>
      <w:tr>
        <w:trPr>
          <w:cantSplit/>
          <w:tblHeader w:val="false"/>
        </w:trPr>
        <w:tc>
          <w:tcPr>
            <w:tcW w:type="dxa" w:w="115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Q6 시점</w:t>
            </w:r>
          </w:p>
        </w:tc>
        <w:tc>
          <w:tcPr>
            <w:tcW w:type="dxa" w:w="4961"/>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공급·계획·경보 중 하나 이상의 신호 존재</w:t>
            </w:r>
          </w:p>
        </w:tc>
        <w:tc>
          <w:tcPr>
            <w:tcW w:type="dxa" w:w="3527"/>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"판단 시점을 지지할 근거 없음"</w:t>
            </w:r>
          </w:p>
        </w:tc>
      </w:tr>
    </w:tbl>
    <w:p>
      <w:pPr>
        <w:spacing w:after="200" w:before="0"/>
      </w:pPr>
    </w:p>
    <w:p>
      <w:pPr>
        <w:keepNext w:val="false"/>
        <w:spacing w:after="130" w:before="60" w:line="310"/>
        <w:jc w:val="both"/>
      </w:pPr>
      <w:r>
        <w:rPr>
          <w:rFonts w:ascii="맑은 고딕" w:cs="맑은 고딕" w:eastAsia="맑은 고딕" w:hAnsi="맑은 고딕"/>
          <w:b/>
          <w:bCs/>
          <w:i w:val="false"/>
          <w:iCs w:val="false"/>
          <w:color w:val="1A1A1A"/>
          <w:sz w:val="20"/>
          <w:szCs w:val="20"/>
        </w:rPr>
        <w:t xml:space="preserve">답하지 않는 것이 설계의 핵심입니다.</w:t>
      </w:r>
      <w:r>
        <w:rPr>
          <w:rFonts w:ascii="맑은 고딕" w:cs="맑은 고딕" w:eastAsia="맑은 고딕" w:hAnsi="맑은 고딕"/>
          <w:b w:val="false"/>
          <w:bCs w:val="false"/>
          <w:i w:val="false"/>
          <w:iCs w:val="false"/>
          <w:color w:val="1A1A1A"/>
          <w:sz w:val="20"/>
          <w:szCs w:val="20"/>
        </w:rPr>
        <w:t xml:space="preserve"> 근거가 산출되지 않은 축에서 그럴듯한 문장을 만들어 내면, 상담원은 근거 없는 말을 손에 쥔 채 고객을 만나게 됩니다. 그 축은 답변 대신 </w:t>
      </w:r>
      <w:r>
        <w:rPr>
          <w:rFonts w:ascii="맑은 고딕" w:cs="맑은 고딕" w:eastAsia="맑은 고딕" w:hAnsi="맑은 고딕"/>
          <w:b/>
          <w:bCs/>
          <w:i w:val="false"/>
          <w:iCs w:val="false"/>
          <w:color w:val="1A1A1A"/>
          <w:sz w:val="20"/>
          <w:szCs w:val="20"/>
        </w:rPr>
        <w:t xml:space="preserve">"확인 후 회신"</w:t>
      </w:r>
      <w:r>
        <w:rPr>
          <w:rFonts w:ascii="맑은 고딕" w:cs="맑은 고딕" w:eastAsia="맑은 고딕" w:hAnsi="맑은 고딕"/>
          <w:b w:val="false"/>
          <w:bCs w:val="false"/>
          <w:i w:val="false"/>
          <w:iCs w:val="false"/>
          <w:color w:val="1A1A1A"/>
          <w:sz w:val="20"/>
          <w:szCs w:val="20"/>
        </w:rPr>
        <w:t xml:space="preserve"> 원칙이 지정되며, 근거가 확보되면 재생성됩니다.</w:t>
      </w:r>
    </w:p>
    <w:p>
      <w:pPr>
        <w:keepNext w:val="false"/>
        <w:spacing w:after="130" w:before="60" w:line="310"/>
        <w:jc w:val="both"/>
      </w:pPr>
      <w:r>
        <w:rPr>
          <w:rFonts w:ascii="맑은 고딕" w:cs="맑은 고딕" w:eastAsia="맑은 고딕" w:hAnsi="맑은 고딕"/>
          <w:b w:val="false"/>
          <w:bCs w:val="false"/>
          <w:i w:val="false"/>
          <w:iCs w:val="false"/>
          <w:color w:val="1A1A1A"/>
          <w:sz w:val="20"/>
          <w:szCs w:val="20"/>
        </w:rPr>
        <w:t xml:space="preserve">같은 규율이 거절 대응에도 적용됩니다. 예컨대 가격 거절에 대한 대응 논리는 Q1의 근거에 기대므로, Q1이 답변 불가 상태라면 대응 문구도 "사실 기반 대응 불가 — 확인 후 회신"으로 낮춰집니다. 근거 없는 방어 논리를 상담원에게 주지 않기 위해서입니다.</w:t>
      </w:r>
    </w:p>
    <w:p>
      <w:pPr>
        <w:keepNext w:val="false"/>
        <w:spacing w:after="130" w:before="60" w:line="310"/>
        <w:jc w:val="both"/>
      </w:pPr>
      <w:r>
        <w:rPr>
          <w:rFonts w:ascii="맑은 고딕" w:cs="맑은 고딕" w:eastAsia="맑은 고딕" w:hAnsi="맑은 고딕"/>
          <w:b/>
          <w:bCs/>
          <w:i w:val="false"/>
          <w:iCs w:val="false"/>
          <w:color w:val="1A1A1A"/>
          <w:sz w:val="20"/>
          <w:szCs w:val="20"/>
        </w:rPr>
        <w:t xml:space="preserve">근거가 있어도 단정할 수 없는 경우가 있습니다.</w:t>
      </w:r>
      <w:r>
        <w:rPr>
          <w:rFonts w:ascii="맑은 고딕" w:cs="맑은 고딕" w:eastAsia="맑은 고딕" w:hAnsi="맑은 고딕"/>
          <w:b w:val="false"/>
          <w:bCs w:val="false"/>
          <w:i w:val="false"/>
          <w:iCs w:val="false"/>
          <w:color w:val="1A1A1A"/>
          <w:sz w:val="20"/>
          <w:szCs w:val="20"/>
        </w:rPr>
        <w:t xml:space="preserve"> 강건성 검사(5.8.1)에서 해당 축의 판정이 가정 하나로 뒤집힌다고 확인되면, 답변은 생성되되 </w:t>
      </w:r>
      <w:r>
        <w:rPr>
          <w:rFonts w:ascii="맑은 고딕" w:cs="맑은 고딕" w:eastAsia="맑은 고딕" w:hAnsi="맑은 고딕"/>
          <w:b/>
          <w:bCs/>
          <w:i w:val="false"/>
          <w:iCs w:val="false"/>
          <w:color w:val="1A1A1A"/>
          <w:sz w:val="20"/>
          <w:szCs w:val="20"/>
        </w:rPr>
        <w:t xml:space="preserve">단정형 사용이 차단</w:t>
      </w:r>
      <w:r>
        <w:rPr>
          <w:rFonts w:ascii="맑은 고딕" w:cs="맑은 고딕" w:eastAsia="맑은 고딕" w:hAnsi="맑은 고딕"/>
          <w:b w:val="false"/>
          <w:bCs w:val="false"/>
          <w:i w:val="false"/>
          <w:iCs w:val="false"/>
          <w:color w:val="1A1A1A"/>
          <w:sz w:val="20"/>
          <w:szCs w:val="20"/>
        </w:rPr>
        <w:t xml:space="preserve">되고 "현재 가정 기준"이라는 조건이 병기됩니다. 상담 자료에는 어느 가정이 결론을 좌우하는지가 그대로 적힙니다 — 예: "① 가격 위치 판정은 연식 조정계수 가정이 바뀌면 방향이 뒤집힙니다. 확언 대신 조건과 함께 제시." 분석이 스스로 불확실하다고 밝힌 결론을 상담 조직이 확언으로 사용하는 것은, 근거 없는 문장을 쓰는 것과 같은 종류의 위험이기 때문입니다.</w:t>
      </w:r>
    </w:p>
    <w:p>
      <w:pPr>
        <w:pStyle w:val="Heading2"/>
        <w:keepNext/>
        <w:spacing w:after="140" w:before="300"/>
      </w:pPr>
      <w:r>
        <w:rPr>
          <w:rFonts w:ascii="맑은 고딕" w:cs="맑은 고딕" w:eastAsia="맑은 고딕" w:hAnsi="맑은 고딕"/>
          <w:b/>
          <w:bCs/>
          <w:color w:val="1A1A1A"/>
          <w:sz w:val="23"/>
          <w:szCs w:val="23"/>
        </w:rPr>
        <w:t xml:space="preserve">6.4 표현 통제와의 연결</w:t>
      </w:r>
    </w:p>
    <w:p>
      <w:pPr>
        <w:keepNext w:val="false"/>
        <w:spacing w:after="130" w:before="60" w:line="310"/>
        <w:jc w:val="both"/>
      </w:pPr>
      <w:r>
        <w:rPr>
          <w:rFonts w:ascii="맑은 고딕" w:cs="맑은 고딕" w:eastAsia="맑은 고딕" w:hAnsi="맑은 고딕"/>
          <w:b w:val="false"/>
          <w:bCs w:val="false"/>
          <w:i w:val="false"/>
          <w:iCs w:val="false"/>
          <w:color w:val="1A1A1A"/>
          <w:sz w:val="20"/>
          <w:szCs w:val="20"/>
        </w:rPr>
        <w:t xml:space="preserve">메시지맵의 모든 문장에는 광고 사용 등급(사용 가능·조건부 사용·사용 금지)이 지정됩니다.</w:t>
      </w:r>
    </w:p>
    <w:p>
      <w:pPr>
        <w:keepNext w:val="false"/>
        <w:spacing w:after="130" w:before="60" w:line="310"/>
        <w:jc w:val="both"/>
      </w:pPr>
      <w:r>
        <w:rPr>
          <w:rFonts w:ascii="맑은 고딕" w:cs="맑은 고딕" w:eastAsia="맑은 고딕" w:hAnsi="맑은 고딕"/>
          <w:b w:val="false"/>
          <w:bCs w:val="false"/>
          <w:i w:val="false"/>
          <w:iCs w:val="false"/>
          <w:color w:val="1A1A1A"/>
          <w:sz w:val="20"/>
          <w:szCs w:val="20"/>
        </w:rPr>
        <w:t xml:space="preserve">등급의 판정 기준과 검수 체크리스트는 제14장 14.5에서 단일 기준으로 정의하며, 광고 표현의 최종 승인권은 시행사가 보유합니다. 이로써 "영업 현장에서 무엇을 말해도 되는가"가 개인의 판단이 아닌 문서화된 기준이 되고, 검증되지 않은 문장이 광고와 상담에 유입되는 경로가 설계 단계에서 차단됩니다.</w:t>
      </w:r>
    </w:p>
    <w:p>
      <w:pPr>
        <w:pStyle w:val="Heading2"/>
        <w:keepNext/>
        <w:spacing w:after="140" w:before="300"/>
      </w:pPr>
      <w:r>
        <w:rPr>
          <w:rFonts w:ascii="맑은 고딕" w:cs="맑은 고딕" w:eastAsia="맑은 고딕" w:hAnsi="맑은 고딕"/>
          <w:b/>
          <w:bCs/>
          <w:color w:val="1A1A1A"/>
          <w:sz w:val="23"/>
          <w:szCs w:val="23"/>
        </w:rPr>
        <w:t xml:space="preserve">6.5 소결</w:t>
      </w:r>
    </w:p>
    <w:p>
      <w:pPr>
        <w:keepNext w:val="false"/>
        <w:spacing w:after="130" w:before="60" w:line="310"/>
        <w:jc w:val="both"/>
      </w:pPr>
      <w:r>
        <w:rPr>
          <w:rFonts w:ascii="맑은 고딕" w:cs="맑은 고딕" w:eastAsia="맑은 고딕" w:hAnsi="맑은 고딕"/>
          <w:b w:val="false"/>
          <w:bCs w:val="false"/>
          <w:i w:val="false"/>
          <w:iCs w:val="false"/>
          <w:color w:val="1A1A1A"/>
          <w:sz w:val="20"/>
          <w:szCs w:val="20"/>
        </w:rPr>
        <w:t xml:space="preserve">판매 논리 설계는 분석(제5장)과 실행(제7~9장)을 연결하는 통제 지점입니다.</w:t>
      </w:r>
    </w:p>
    <w:p>
      <w:pPr>
        <w:keepNext w:val="false"/>
        <w:spacing w:after="130" w:before="60" w:line="310"/>
        <w:jc w:val="both"/>
      </w:pPr>
      <w:r>
        <w:rPr>
          <w:rFonts w:ascii="맑은 고딕" w:cs="맑은 고딕" w:eastAsia="맑은 고딕" w:hAnsi="맑은 고딕"/>
          <w:b w:val="false"/>
          <w:bCs w:val="false"/>
          <w:i w:val="false"/>
          <w:iCs w:val="false"/>
          <w:color w:val="1A1A1A"/>
          <w:sz w:val="20"/>
          <w:szCs w:val="20"/>
        </w:rPr>
        <w:t xml:space="preserve">이 단계를 통과한 문장만 콘텐츠 제작과 상담에 사용되며, 운영 중 축적되는 거절 사유(제10장)가 이 단계로 환류되어 논리가 갱신됩니다. 확정된 판매 논리가 어떤 형태로 고객에게 전달되는지가 제7장의 주제입니다.</w:t>
      </w:r>
    </w:p>
    <w:p>
      <w:pPr>
        <w:pStyle w:val="Heading1"/>
        <w:pageBreakBefore/>
        <w:pBdr>
          <w:bottom w:val="single" w:color="1F3864" w:sz="10" w:space="8"/>
        </w:pBdr>
        <w:spacing w:after="240" w:before="0"/>
      </w:pPr>
      <w:r>
        <w:rPr>
          <w:rFonts w:ascii="맑은 고딕" w:cs="맑은 고딕" w:eastAsia="맑은 고딕" w:hAnsi="맑은 고딕"/>
          <w:b/>
          <w:bCs/>
          <w:color w:val="1F3864"/>
          <w:sz w:val="30"/>
          <w:szCs w:val="30"/>
        </w:rPr>
        <w:t xml:space="preserve">제7장. 콘텐츠 전략</w:t>
      </w:r>
    </w:p>
    <w:p>
      <w:pPr>
        <w:keepNext w:val="false"/>
        <w:spacing w:after="130" w:before="60" w:line="310"/>
        <w:jc w:val="both"/>
      </w:pPr>
      <w:r>
        <w:rPr>
          <w:rFonts w:ascii="맑은 고딕" w:cs="맑은 고딕" w:eastAsia="맑은 고딕" w:hAnsi="맑은 고딕"/>
          <w:b/>
          <w:bCs/>
          <w:i w:val="false"/>
          <w:iCs w:val="false"/>
          <w:color w:val="1A1A1A"/>
          <w:sz w:val="20"/>
          <w:szCs w:val="20"/>
        </w:rPr>
        <w:t xml:space="preserve">헤드라인.</w:t>
      </w:r>
      <w:r>
        <w:rPr>
          <w:rFonts w:ascii="맑은 고딕" w:cs="맑은 고딕" w:eastAsia="맑은 고딕" w:hAnsi="맑은 고딕"/>
          <w:b w:val="false"/>
          <w:bCs w:val="false"/>
          <w:i w:val="false"/>
          <w:iCs w:val="false"/>
          <w:color w:val="1A1A1A"/>
          <w:sz w:val="20"/>
          <w:szCs w:val="20"/>
        </w:rPr>
        <w:t xml:space="preserve"> 콘텐츠는 혜택의 확대가 아니라 고객 질문의 해소를 기준으로 제작합니다.</w:t>
      </w:r>
    </w:p>
    <w:p>
      <w:pPr>
        <w:keepNext/>
        <w:spacing w:after="90" w:before="220"/>
      </w:pPr>
      <w:r>
        <w:rPr>
          <w:rFonts w:ascii="맑은 고딕" w:cs="맑은 고딕" w:eastAsia="맑은 고딕" w:hAnsi="맑은 고딕"/>
          <w:b/>
          <w:bCs/>
          <w:color w:val="1F3864"/>
          <w:sz w:val="18"/>
          <w:szCs w:val="18"/>
        </w:rPr>
        <w:t xml:space="preserve">[표 7-1] 장 요약</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7838"/>
      </w:tblGrid>
      <w:tr>
        <w:trPr>
          <w:cantSplit/>
          <w:tblHeader/>
        </w:trPr>
        <w:tc>
          <w:tcPr>
            <w:tcW w:type="dxa" w:w="1800"/>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구분</w:t>
            </w:r>
          </w:p>
        </w:tc>
        <w:tc>
          <w:tcPr>
            <w:tcW w:type="dxa" w:w="7838"/>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내용</w:t>
            </w:r>
          </w:p>
        </w:tc>
      </w:tr>
      <w:tr>
        <w:trPr>
          <w:cantSplit/>
          <w:tblHeader w:val="false"/>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문제 (Problem)</w:t>
            </w:r>
          </w:p>
        </w:tc>
        <w:tc>
          <w:tcPr>
            <w:tcW w:type="dxa" w:w="783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범용 이미지·이벤트 중심 콘텐츠는 검토 단계 고객의 질문에 답하지 못한다</w:t>
            </w:r>
          </w:p>
        </w:tc>
      </w:tr>
      <w:tr>
        <w:trPr>
          <w:cantSplit/>
          <w:tblHeader w:val="false"/>
        </w:trPr>
        <w:tc>
          <w:tcPr>
            <w:tcW w:type="dxa" w:w="180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원인 (Reason)</w:t>
            </w:r>
          </w:p>
        </w:tc>
        <w:tc>
          <w:tcPr>
            <w:tcW w:type="dxa" w:w="7838"/>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콘텐츠가 분석·판매 논리와 분리되어 제작되기 때문이다</w:t>
            </w:r>
          </w:p>
        </w:tc>
      </w:tr>
      <w:tr>
        <w:trPr>
          <w:cantSplit/>
          <w:tblHeader w:val="false"/>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방법 (Method)</w:t>
            </w:r>
          </w:p>
        </w:tc>
        <w:tc>
          <w:tcPr>
            <w:tcW w:type="dxa" w:w="783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질문형 콘텐츠 설계(7.1)와 GEO 현장 정보 허브(7.2)로 광고·리포트·상담이 동일한 근거를 참조하게 한다</w:t>
            </w:r>
          </w:p>
        </w:tc>
      </w:tr>
      <w:tr>
        <w:trPr>
          <w:cantSplit/>
          <w:tblHeader w:val="false"/>
        </w:trPr>
        <w:tc>
          <w:tcPr>
            <w:tcW w:type="dxa" w:w="180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기대 효과 (Effect)</w:t>
            </w:r>
          </w:p>
        </w:tc>
        <w:tc>
          <w:tcPr>
            <w:tcW w:type="dxa" w:w="7838"/>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클릭 후 이탈이 감소하고, 채널 간 메시지 불일치와 설명 누락이 구조적으로 감소한다</w:t>
            </w:r>
          </w:p>
        </w:tc>
      </w:tr>
    </w:tbl>
    <w:p>
      <w:pPr>
        <w:spacing w:after="200" w:before="0"/>
      </w:pPr>
    </w:p>
    <w:p>
      <w:pPr>
        <w:pStyle w:val="Heading2"/>
        <w:keepNext/>
        <w:spacing w:after="140" w:before="300"/>
      </w:pPr>
      <w:r>
        <w:rPr>
          <w:rFonts w:ascii="맑은 고딕" w:cs="맑은 고딕" w:eastAsia="맑은 고딕" w:hAnsi="맑은 고딕"/>
          <w:b/>
          <w:bCs/>
          <w:color w:val="1A1A1A"/>
          <w:sz w:val="23"/>
          <w:szCs w:val="23"/>
        </w:rPr>
        <w:t xml:space="preserve">7.1 질문형 콘텐츠 설계</w:t>
      </w:r>
    </w:p>
    <w:p>
      <w:pPr>
        <w:keepNext w:val="false"/>
        <w:spacing w:after="130" w:before="60" w:line="310"/>
        <w:jc w:val="both"/>
      </w:pPr>
      <w:r>
        <w:rPr>
          <w:rFonts w:ascii="맑은 고딕" w:cs="맑은 고딕" w:eastAsia="맑은 고딕" w:hAnsi="맑은 고딕"/>
          <w:b w:val="false"/>
          <w:bCs w:val="false"/>
          <w:i w:val="false"/>
          <w:iCs w:val="false"/>
          <w:color w:val="1A1A1A"/>
          <w:sz w:val="20"/>
          <w:szCs w:val="20"/>
        </w:rPr>
        <w:t xml:space="preserve">제6장 메시지맵의 질문 축은 다음 콘텐츠 형식으로 전환됩니다. 질문과 분석 근거의 대응은 6.2를 기준으로 하며 여기서 반복하지 않습니다.</w:t>
      </w:r>
    </w:p>
    <w:p>
      <w:pPr>
        <w:keepNext/>
        <w:spacing w:after="90" w:before="220"/>
      </w:pPr>
      <w:r>
        <w:rPr>
          <w:rFonts w:ascii="맑은 고딕" w:cs="맑은 고딕" w:eastAsia="맑은 고딕" w:hAnsi="맑은 고딕"/>
          <w:b/>
          <w:bCs/>
          <w:color w:val="1F3864"/>
          <w:sz w:val="18"/>
          <w:szCs w:val="18"/>
        </w:rPr>
        <w:t xml:space="preserve">[표 7-2] 질문 축별 콘텐츠 형식</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152"/>
        <w:gridCol w:w="5486"/>
      </w:tblGrid>
      <w:tr>
        <w:trPr>
          <w:cantSplit/>
          <w:tblHeader/>
        </w:trPr>
        <w:tc>
          <w:tcPr>
            <w:tcW w:type="dxa" w:w="4152"/>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질문 축 (6.2)</w:t>
            </w:r>
          </w:p>
        </w:tc>
        <w:tc>
          <w:tcPr>
            <w:tcW w:type="dxa" w:w="5486"/>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콘텐츠 형식</w:t>
            </w:r>
          </w:p>
        </w:tc>
      </w:tr>
      <w:tr>
        <w:trPr>
          <w:cantSplit/>
          <w:tblHeader w:val="false"/>
        </w:trPr>
        <w:tc>
          <w:tcPr>
            <w:tcW w:type="dxa" w:w="4152"/>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가격 적정성</w:t>
            </w:r>
          </w:p>
        </w:tc>
        <w:tc>
          <w:tcPr>
            <w:tcW w:type="dxa" w:w="548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가격 비교형 광고 소재·리포트</w:t>
            </w:r>
          </w:p>
        </w:tc>
      </w:tr>
      <w:tr>
        <w:trPr>
          <w:cantSplit/>
          <w:tblHeader w:val="false"/>
        </w:trPr>
        <w:tc>
          <w:tcPr>
            <w:tcW w:type="dxa" w:w="4152"/>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공급 위험</w:t>
            </w:r>
          </w:p>
        </w:tc>
        <w:tc>
          <w:tcPr>
            <w:tcW w:type="dxa" w:w="5486"/>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리스크 설명형 카드뉴스·영상</w:t>
            </w:r>
          </w:p>
        </w:tc>
      </w:tr>
      <w:tr>
        <w:trPr>
          <w:cantSplit/>
          <w:tblHeader w:val="false"/>
        </w:trPr>
        <w:tc>
          <w:tcPr>
            <w:tcW w:type="dxa" w:w="4152"/>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개발호재 실현성</w:t>
            </w:r>
          </w:p>
        </w:tc>
        <w:tc>
          <w:tcPr>
            <w:tcW w:type="dxa" w:w="548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촉매 검증형 콘텐츠 (성숙도 단계 표시)</w:t>
            </w:r>
          </w:p>
        </w:tc>
      </w:tr>
      <w:tr>
        <w:trPr>
          <w:cantSplit/>
          <w:tblHeader w:val="false"/>
        </w:trPr>
        <w:tc>
          <w:tcPr>
            <w:tcW w:type="dxa" w:w="4152"/>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실수요 존재</w:t>
            </w:r>
          </w:p>
        </w:tc>
        <w:tc>
          <w:tcPr>
            <w:tcW w:type="dxa" w:w="5486"/>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생활권·출퇴근 콘텐츠</w:t>
            </w:r>
          </w:p>
        </w:tc>
      </w:tr>
      <w:tr>
        <w:trPr>
          <w:cantSplit/>
          <w:tblHeader w:val="false"/>
        </w:trPr>
        <w:tc>
          <w:tcPr>
            <w:tcW w:type="dxa" w:w="4152"/>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환금성</w:t>
            </w:r>
          </w:p>
        </w:tc>
        <w:tc>
          <w:tcPr>
            <w:tcW w:type="dxa" w:w="548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거래 데이터 기반 설명 자료</w:t>
            </w:r>
          </w:p>
        </w:tc>
      </w:tr>
      <w:tr>
        <w:trPr>
          <w:cantSplit/>
          <w:tblHeader w:val="false"/>
        </w:trPr>
        <w:tc>
          <w:tcPr>
            <w:tcW w:type="dxa" w:w="4152"/>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상담 거절사유 (운영 중 축적)</w:t>
            </w:r>
          </w:p>
        </w:tc>
        <w:tc>
          <w:tcPr>
            <w:tcW w:type="dxa" w:w="5486"/>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FAQ·후속 메시지·리타기팅 소재</w:t>
            </w:r>
          </w:p>
        </w:tc>
      </w:tr>
    </w:tbl>
    <w:p>
      <w:pPr>
        <w:spacing w:after="200" w:before="0"/>
      </w:pPr>
    </w:p>
    <w:p>
      <w:pPr>
        <w:keepNext/>
        <w:spacing w:after="90" w:before="220"/>
      </w:pPr>
      <w:r>
        <w:rPr>
          <w:rFonts w:ascii="맑은 고딕" w:cs="맑은 고딕" w:eastAsia="맑은 고딕" w:hAnsi="맑은 고딕"/>
          <w:b/>
          <w:bCs/>
          <w:color w:val="1F3864"/>
          <w:sz w:val="18"/>
          <w:szCs w:val="18"/>
        </w:rPr>
        <w:t xml:space="preserve">[표 7-3] 콘텐츠 제작 체계</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7838"/>
      </w:tblGrid>
      <w:tr>
        <w:trPr>
          <w:cantSplit/>
          <w:tblHeader/>
        </w:trPr>
        <w:tc>
          <w:tcPr>
            <w:tcW w:type="dxa" w:w="1800"/>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유형</w:t>
            </w:r>
          </w:p>
        </w:tc>
        <w:tc>
          <w:tcPr>
            <w:tcW w:type="dxa" w:w="7838"/>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내용</w:t>
            </w:r>
          </w:p>
        </w:tc>
      </w:tr>
      <w:tr>
        <w:trPr>
          <w:cantSplit/>
          <w:tblHeader w:val="false"/>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리포트</w:t>
            </w:r>
          </w:p>
        </w:tc>
        <w:tc>
          <w:tcPr>
            <w:tcW w:type="dxa" w:w="783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AI 현장 진단리포트 요약본, 고객용 근거카드</w:t>
            </w:r>
          </w:p>
        </w:tc>
      </w:tr>
      <w:tr>
        <w:trPr>
          <w:cantSplit/>
          <w:tblHeader w:val="false"/>
        </w:trPr>
        <w:tc>
          <w:tcPr>
            <w:tcW w:type="dxa" w:w="180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이미지</w:t>
            </w:r>
          </w:p>
        </w:tc>
        <w:tc>
          <w:tcPr>
            <w:tcW w:type="dxa" w:w="7838"/>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가격 비교, 미래가치, 위험요인, 생활권 분석</w:t>
            </w:r>
          </w:p>
        </w:tc>
      </w:tr>
      <w:tr>
        <w:trPr>
          <w:cantSplit/>
          <w:tblHeader w:val="false"/>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영상</w:t>
            </w:r>
          </w:p>
        </w:tc>
        <w:tc>
          <w:tcPr>
            <w:tcW w:type="dxa" w:w="783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현장·세대·커뮤니티·동선·생활편의 설명</w:t>
            </w:r>
          </w:p>
        </w:tc>
      </w:tr>
      <w:tr>
        <w:trPr>
          <w:cantSplit/>
          <w:tblHeader w:val="false"/>
        </w:trPr>
        <w:tc>
          <w:tcPr>
            <w:tcW w:type="dxa" w:w="180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숏폼</w:t>
            </w:r>
          </w:p>
        </w:tc>
        <w:tc>
          <w:tcPr>
            <w:tcW w:type="dxa" w:w="7838"/>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30~60초 질문형 Shorts·Reels, 세로형 광고영상</w:t>
            </w:r>
          </w:p>
        </w:tc>
      </w:tr>
      <w:tr>
        <w:trPr>
          <w:cantSplit/>
          <w:tblHeader w:val="false"/>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상담 자료</w:t>
            </w:r>
          </w:p>
        </w:tc>
        <w:tc>
          <w:tcPr>
            <w:tcW w:type="dxa" w:w="783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비교표, FAQ, 거절 대응 자료</w:t>
            </w:r>
          </w:p>
        </w:tc>
      </w:tr>
      <w:tr>
        <w:trPr>
          <w:cantSplit/>
          <w:tblHeader w:val="false"/>
        </w:trPr>
        <w:tc>
          <w:tcPr>
            <w:tcW w:type="dxa" w:w="180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갱신</w:t>
            </w:r>
          </w:p>
        </w:tc>
        <w:tc>
          <w:tcPr>
            <w:tcW w:type="dxa" w:w="7838"/>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정부계획·예산·공정 변경에 따른 콘텐츠 업데이트</w:t>
            </w:r>
          </w:p>
        </w:tc>
      </w:tr>
    </w:tbl>
    <w:p>
      <w:pPr>
        <w:spacing w:after="200" w:before="0"/>
      </w:pPr>
    </w:p>
    <w:p>
      <w:pPr>
        <w:pStyle w:val="Heading2"/>
        <w:keepNext/>
        <w:spacing w:after="140" w:before="300"/>
      </w:pPr>
      <w:r>
        <w:rPr>
          <w:rFonts w:ascii="맑은 고딕" w:cs="맑은 고딕" w:eastAsia="맑은 고딕" w:hAnsi="맑은 고딕"/>
          <w:b/>
          <w:bCs/>
          <w:color w:val="1A1A1A"/>
          <w:sz w:val="23"/>
          <w:szCs w:val="23"/>
        </w:rPr>
        <w:t xml:space="preserve">7.2 GEO 현장 정보 허브</w:t>
      </w:r>
    </w:p>
    <w:p>
      <w:pPr>
        <w:keepNext w:val="false"/>
        <w:spacing w:after="130" w:before="60" w:line="310"/>
        <w:jc w:val="both"/>
      </w:pPr>
      <w:r>
        <w:rPr>
          <w:rFonts w:ascii="맑은 고딕" w:cs="맑은 고딕" w:eastAsia="맑은 고딕" w:hAnsi="맑은 고딕"/>
          <w:b w:val="false"/>
          <w:bCs w:val="false"/>
          <w:i w:val="false"/>
          <w:iCs w:val="false"/>
          <w:color w:val="1A1A1A"/>
          <w:sz w:val="20"/>
          <w:szCs w:val="20"/>
        </w:rPr>
        <w:t xml:space="preserve">정보 허브는 관심고객 등록만 받는 랜딩페이지가 아니라, 현장 정보를 주제별로 구조화한 </w:t>
      </w:r>
      <w:r>
        <w:rPr>
          <w:rFonts w:ascii="맑은 고딕" w:cs="맑은 고딕" w:eastAsia="맑은 고딕" w:hAnsi="맑은 고딕"/>
          <w:b/>
          <w:bCs/>
          <w:i w:val="false"/>
          <w:iCs w:val="false"/>
          <w:color w:val="1A1A1A"/>
          <w:sz w:val="20"/>
          <w:szCs w:val="20"/>
        </w:rPr>
        <w:t xml:space="preserve">검증형 정보 허브</w:t>
      </w:r>
      <w:r>
        <w:rPr>
          <w:rFonts w:ascii="맑은 고딕" w:cs="맑은 고딕" w:eastAsia="맑은 고딕" w:hAnsi="맑은 고딕"/>
          <w:b w:val="false"/>
          <w:bCs w:val="false"/>
          <w:i w:val="false"/>
          <w:iCs w:val="false"/>
          <w:color w:val="1A1A1A"/>
          <w:sz w:val="20"/>
          <w:szCs w:val="20"/>
        </w:rPr>
        <w:t xml:space="preserve">입니다.</w:t>
      </w:r>
    </w:p>
    <w:p>
      <w:pPr>
        <w:keepNext/>
        <w:spacing w:after="90" w:before="220"/>
      </w:pPr>
      <w:r>
        <w:rPr>
          <w:rFonts w:ascii="맑은 고딕" w:cs="맑은 고딕" w:eastAsia="맑은 고딕" w:hAnsi="맑은 고딕"/>
          <w:b/>
          <w:bCs/>
          <w:color w:val="1F3864"/>
          <w:sz w:val="18"/>
          <w:szCs w:val="18"/>
        </w:rPr>
        <w:t xml:space="preserve">[표 7-4] 정보 허브 표준 구성</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7838"/>
      </w:tblGrid>
      <w:tr>
        <w:trPr>
          <w:cantSplit/>
          <w:tblHeader/>
        </w:trPr>
        <w:tc>
          <w:tcPr>
            <w:tcW w:type="dxa" w:w="1800"/>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구성요소</w:t>
            </w:r>
          </w:p>
        </w:tc>
        <w:tc>
          <w:tcPr>
            <w:tcW w:type="dxa" w:w="7838"/>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적용 내용</w:t>
            </w:r>
          </w:p>
        </w:tc>
      </w:tr>
      <w:tr>
        <w:trPr>
          <w:cantSplit/>
          <w:tblHeader w:val="false"/>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정보 구조</w:t>
            </w:r>
          </w:p>
        </w:tc>
        <w:tc>
          <w:tcPr>
            <w:tcW w:type="dxa" w:w="783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현장·세대·가격·생활권·교통·공급·청약·개발계획·FAQ를 독립 주제로 구성</w:t>
            </w:r>
          </w:p>
        </w:tc>
      </w:tr>
      <w:tr>
        <w:trPr>
          <w:cantSplit/>
          <w:tblHeader w:val="false"/>
        </w:trPr>
        <w:tc>
          <w:tcPr>
            <w:tcW w:type="dxa" w:w="180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근거 표시</w:t>
            </w:r>
          </w:p>
        </w:tc>
        <w:tc>
          <w:tcPr>
            <w:tcW w:type="dxa" w:w="7838"/>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수치·주장별 기준일, 출처, 공간 범위, 계산 방식, 한계 표시</w:t>
            </w:r>
          </w:p>
        </w:tc>
      </w:tr>
      <w:tr>
        <w:trPr>
          <w:cantSplit/>
          <w:tblHeader w:val="false"/>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구조화</w:t>
            </w:r>
          </w:p>
        </w:tc>
        <w:tc>
          <w:tcPr>
            <w:tcW w:type="dxa" w:w="783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제목 체계, 요약, 표, 내부 링크, 구조화 데이터, 이미지 대체텍스트</w:t>
            </w:r>
          </w:p>
        </w:tc>
      </w:tr>
      <w:tr>
        <w:trPr>
          <w:cantSplit/>
          <w:tblHeader w:val="false"/>
        </w:trPr>
        <w:tc>
          <w:tcPr>
            <w:tcW w:type="dxa" w:w="180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전환 장치</w:t>
            </w:r>
          </w:p>
        </w:tc>
        <w:tc>
          <w:tcPr>
            <w:tcW w:type="dxa" w:w="7838"/>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전화·상담 신청·방문 예약·리포트 조회·관심정보 선택·후속 메시지 연결</w:t>
            </w:r>
          </w:p>
        </w:tc>
      </w:tr>
      <w:tr>
        <w:trPr>
          <w:cantSplit/>
          <w:tblHeader w:val="false"/>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분석 추적</w:t>
            </w:r>
          </w:p>
        </w:tc>
        <w:tc>
          <w:tcPr>
            <w:tcW w:type="dxa" w:w="783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유입 경로·조회 주제·버튼 행동·상담 신청을 캠페인 및 고객 DB와 연결</w:t>
            </w:r>
          </w:p>
        </w:tc>
      </w:tr>
      <w:tr>
        <w:trPr>
          <w:cantSplit/>
          <w:tblHeader w:val="false"/>
        </w:trPr>
        <w:tc>
          <w:tcPr>
            <w:tcW w:type="dxa" w:w="180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운영 통제</w:t>
            </w:r>
          </w:p>
        </w:tc>
        <w:tc>
          <w:tcPr>
            <w:tcW w:type="dxa" w:w="7838"/>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분양조건·광고 표현·정부계획 변경 시 버전과 승인 기록 관리</w:t>
            </w:r>
          </w:p>
        </w:tc>
      </w:tr>
    </w:tbl>
    <w:p>
      <w:pPr>
        <w:spacing w:after="200" w:before="0"/>
      </w:pPr>
    </w:p>
    <w:p>
      <w:pPr>
        <w:keepNext/>
        <w:spacing w:after="90" w:before="220"/>
      </w:pPr>
      <w:r>
        <w:rPr>
          <w:rFonts w:ascii="맑은 고딕" w:cs="맑은 고딕" w:eastAsia="맑은 고딕" w:hAnsi="맑은 고딕"/>
          <w:b/>
          <w:bCs/>
          <w:color w:val="1F3864"/>
          <w:sz w:val="18"/>
          <w:szCs w:val="18"/>
        </w:rPr>
        <w:t xml:space="preserve">[표 7-5] 정보 허브의 두 가지 전략적 기능</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7838"/>
      </w:tblGrid>
      <w:tr>
        <w:trPr>
          <w:cantSplit/>
          <w:tblHeader/>
        </w:trPr>
        <w:tc>
          <w:tcPr>
            <w:tcW w:type="dxa" w:w="1800"/>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기능</w:t>
            </w:r>
          </w:p>
        </w:tc>
        <w:tc>
          <w:tcPr>
            <w:tcW w:type="dxa" w:w="7838"/>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내용</w:t>
            </w:r>
          </w:p>
        </w:tc>
      </w:tr>
      <w:tr>
        <w:trPr>
          <w:cantSplit/>
          <w:tblHeader w:val="false"/>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근거의 단일화</w:t>
            </w:r>
          </w:p>
        </w:tc>
        <w:tc>
          <w:tcPr>
            <w:tcW w:type="dxa" w:w="783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광고·리포트·상담이 동일한 근거 페이지를 참조하므로 메시지 불일치와 설명 누락이 구조적으로 감소</w:t>
            </w:r>
          </w:p>
        </w:tc>
      </w:tr>
      <w:tr>
        <w:trPr>
          <w:cantSplit/>
          <w:tblHeader w:val="false"/>
        </w:trPr>
        <w:tc>
          <w:tcPr>
            <w:tcW w:type="dxa" w:w="180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정보 구조의 개선</w:t>
            </w:r>
          </w:p>
        </w:tc>
        <w:tc>
          <w:tcPr>
            <w:tcW w:type="dxa" w:w="7838"/>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검색엔진과 생성형 AI가 현장 정보를 이해·인용하기 쉬운 구조를 갖추어, 고객의 능동적 탐색 경로에서 정확한 정보로 발견되게 함</w:t>
            </w:r>
          </w:p>
        </w:tc>
      </w:tr>
    </w:tbl>
    <w:p>
      <w:pPr>
        <w:spacing w:after="200" w:before="0"/>
      </w:pPr>
    </w:p>
    <w:p>
      <w:pPr>
        <w:keepNext w:val="false"/>
        <w:spacing w:after="160" w:before="20" w:line="310"/>
        <w:jc w:val="left"/>
      </w:pPr>
      <w:r>
        <w:rPr>
          <w:rFonts w:ascii="맑은 고딕" w:cs="맑은 고딕" w:eastAsia="맑은 고딕" w:hAnsi="맑은 고딕"/>
          <w:b w:val="false"/>
          <w:bCs w:val="false"/>
          <w:i/>
          <w:iCs/>
          <w:color w:val="5A5A5A"/>
          <w:sz w:val="17"/>
          <w:szCs w:val="17"/>
        </w:rPr>
        <w:t xml:space="preserve">유의사항: 생성형 AI의 인용·노출은 외부 플랫폼의 정책과 모델에 따라 결정되며, 당사는 이를 보장하지 않습니다. GEO는 "AI 추천을 보장하는 활동"이 아니라 정보의 구조·출처·접근성을 개선하는 활동입니다.</w:t>
      </w:r>
    </w:p>
    <w:p>
      <w:pPr>
        <w:pStyle w:val="Heading2"/>
        <w:keepNext/>
        <w:spacing w:after="140" w:before="300"/>
      </w:pPr>
      <w:r>
        <w:rPr>
          <w:rFonts w:ascii="맑은 고딕" w:cs="맑은 고딕" w:eastAsia="맑은 고딕" w:hAnsi="맑은 고딕"/>
          <w:b/>
          <w:bCs/>
          <w:color w:val="1A1A1A"/>
          <w:sz w:val="23"/>
          <w:szCs w:val="23"/>
        </w:rPr>
        <w:t xml:space="preserve">7.3 제작 범위와 비용 구분</w:t>
      </w:r>
    </w:p>
    <w:p>
      <w:pPr>
        <w:keepNext/>
        <w:spacing w:after="90" w:before="220"/>
      </w:pPr>
      <w:r>
        <w:rPr>
          <w:rFonts w:ascii="맑은 고딕" w:cs="맑은 고딕" w:eastAsia="맑은 고딕" w:hAnsi="맑은 고딕"/>
          <w:b/>
          <w:bCs/>
          <w:color w:val="1F3864"/>
          <w:sz w:val="18"/>
          <w:szCs w:val="18"/>
        </w:rPr>
        <w:t xml:space="preserve">[표 7-6] 운영 포함 항목과 별도 견적 항목</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7838"/>
      </w:tblGrid>
      <w:tr>
        <w:trPr>
          <w:cantSplit/>
          <w:tblHeader/>
        </w:trPr>
        <w:tc>
          <w:tcPr>
            <w:tcW w:type="dxa" w:w="1800"/>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구분</w:t>
            </w:r>
          </w:p>
        </w:tc>
        <w:tc>
          <w:tcPr>
            <w:tcW w:type="dxa" w:w="7838"/>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항목</w:t>
            </w:r>
          </w:p>
        </w:tc>
      </w:tr>
      <w:tr>
        <w:trPr>
          <w:cantSplit/>
          <w:tblHeader w:val="false"/>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운영에 포함</w:t>
            </w:r>
          </w:p>
        </w:tc>
        <w:tc>
          <w:tcPr>
            <w:tcW w:type="dxa" w:w="783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콘텐츠 방향 설계(질문·콘셉트·매체별 활용안, 초기 3~5개 방향), 소재 운영·테스트, 분석 기반 문안의 근거 검수</w:t>
            </w:r>
          </w:p>
        </w:tc>
      </w:tr>
      <w:tr>
        <w:trPr>
          <w:cantSplit/>
          <w:tblHeader w:val="false"/>
        </w:trPr>
        <w:tc>
          <w:tcPr>
            <w:tcW w:type="dxa" w:w="180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별도 견적</w:t>
            </w:r>
          </w:p>
        </w:tc>
        <w:tc>
          <w:tcPr>
            <w:tcW w:type="dxa" w:w="7838"/>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이미지 광고 소재, 영상 콘텐츠·편집, 현장·모델·드론 촬영, 리포트 디자인, 정보 허브 제작, 추가 디자인·인쇄물</w:t>
            </w:r>
          </w:p>
        </w:tc>
      </w:tr>
    </w:tbl>
    <w:p>
      <w:pPr>
        <w:spacing w:after="200" w:before="0"/>
      </w:pPr>
    </w:p>
    <w:p>
      <w:pPr>
        <w:keepNext w:val="false"/>
        <w:spacing w:after="130" w:before="60" w:line="310"/>
        <w:jc w:val="both"/>
      </w:pPr>
      <w:r>
        <w:rPr>
          <w:rFonts w:ascii="맑은 고딕" w:cs="맑은 고딕" w:eastAsia="맑은 고딕" w:hAnsi="맑은 고딕"/>
          <w:b w:val="false"/>
          <w:bCs w:val="false"/>
          <w:i w:val="false"/>
          <w:iCs w:val="false"/>
          <w:color w:val="1A1A1A"/>
          <w:sz w:val="20"/>
          <w:szCs w:val="20"/>
        </w:rPr>
        <w:t xml:space="preserve">별도 제작은 품목·수량·수정 횟수·납기·저작권 범위를 견적서로 사전 승인받은 후 착수하며, "콘텐츠 일체"와 같은 범위 불명확한 표현은 사용하지 않습니다. 비용 분리의 원칙은 제11장 11.3에서, 계약 시 확정 항목은 제13장 13.4에서 각각 정의합니다.</w:t>
      </w:r>
    </w:p>
    <w:p>
      <w:pPr>
        <w:pStyle w:val="Heading2"/>
        <w:keepNext/>
        <w:spacing w:after="140" w:before="300"/>
      </w:pPr>
      <w:r>
        <w:rPr>
          <w:rFonts w:ascii="맑은 고딕" w:cs="맑은 고딕" w:eastAsia="맑은 고딕" w:hAnsi="맑은 고딕"/>
          <w:b/>
          <w:bCs/>
          <w:color w:val="1A1A1A"/>
          <w:sz w:val="23"/>
          <w:szCs w:val="23"/>
        </w:rPr>
        <w:t xml:space="preserve">7.4 소결</w:t>
      </w:r>
    </w:p>
    <w:p>
      <w:pPr>
        <w:keepNext w:val="false"/>
        <w:spacing w:after="130" w:before="60" w:line="310"/>
        <w:jc w:val="both"/>
      </w:pPr>
      <w:r>
        <w:rPr>
          <w:rFonts w:ascii="맑은 고딕" w:cs="맑은 고딕" w:eastAsia="맑은 고딕" w:hAnsi="맑은 고딕"/>
          <w:b w:val="false"/>
          <w:bCs w:val="false"/>
          <w:i w:val="false"/>
          <w:iCs w:val="false"/>
          <w:color w:val="1A1A1A"/>
          <w:sz w:val="20"/>
          <w:szCs w:val="20"/>
        </w:rPr>
        <w:t xml:space="preserve">콘텐츠의 품질 기준은 시각적 완성도 이전에 근거 정합성입니다.</w:t>
      </w:r>
    </w:p>
    <w:p>
      <w:pPr>
        <w:keepNext w:val="false"/>
        <w:spacing w:after="130" w:before="60" w:line="310"/>
        <w:jc w:val="both"/>
      </w:pPr>
      <w:r>
        <w:rPr>
          <w:rFonts w:ascii="맑은 고딕" w:cs="맑은 고딕" w:eastAsia="맑은 고딕" w:hAnsi="맑은 고딕"/>
          <w:b w:val="false"/>
          <w:bCs w:val="false"/>
          <w:i w:val="false"/>
          <w:iCs w:val="false"/>
          <w:color w:val="1A1A1A"/>
          <w:sz w:val="20"/>
          <w:szCs w:val="20"/>
        </w:rPr>
        <w:t xml:space="preserve">모든 콘텐츠는 판매 논리(제6장)의 표현 등급을 통과한 문장으로 제작됩니다. 이 콘텐츠가 어떤 매체에서 어떤 역할로 노출되는지가 제8장의 주제입니다.</w:t>
      </w:r>
    </w:p>
    <w:p>
      <w:pPr>
        <w:pStyle w:val="Heading1"/>
        <w:pageBreakBefore/>
        <w:pBdr>
          <w:bottom w:val="single" w:color="1F3864" w:sz="10" w:space="8"/>
        </w:pBdr>
        <w:spacing w:after="240" w:before="0"/>
      </w:pPr>
      <w:r>
        <w:rPr>
          <w:rFonts w:ascii="맑은 고딕" w:cs="맑은 고딕" w:eastAsia="맑은 고딕" w:hAnsi="맑은 고딕"/>
          <w:b/>
          <w:bCs/>
          <w:color w:val="1F3864"/>
          <w:sz w:val="30"/>
          <w:szCs w:val="30"/>
        </w:rPr>
        <w:t xml:space="preserve">제8장. 광고 운영</w:t>
      </w:r>
    </w:p>
    <w:p>
      <w:pPr>
        <w:keepNext w:val="false"/>
        <w:spacing w:after="130" w:before="60" w:line="310"/>
        <w:jc w:val="both"/>
      </w:pPr>
      <w:r>
        <w:rPr>
          <w:rFonts w:ascii="맑은 고딕" w:cs="맑은 고딕" w:eastAsia="맑은 고딕" w:hAnsi="맑은 고딕"/>
          <w:b/>
          <w:bCs/>
          <w:i w:val="false"/>
          <w:iCs w:val="false"/>
          <w:color w:val="1A1A1A"/>
          <w:sz w:val="20"/>
          <w:szCs w:val="20"/>
        </w:rPr>
        <w:t xml:space="preserve">헤드라인.</w:t>
      </w:r>
      <w:r>
        <w:rPr>
          <w:rFonts w:ascii="맑은 고딕" w:cs="맑은 고딕" w:eastAsia="맑은 고딕" w:hAnsi="맑은 고딕"/>
          <w:b w:val="false"/>
          <w:bCs w:val="false"/>
          <w:i w:val="false"/>
          <w:iCs w:val="false"/>
          <w:color w:val="1A1A1A"/>
          <w:sz w:val="20"/>
          <w:szCs w:val="20"/>
        </w:rPr>
        <w:t xml:space="preserve"> 매체는 나열하지 않고, 고객 여정 단계별 역할로 분담하여 운영합니다.</w:t>
      </w:r>
    </w:p>
    <w:p>
      <w:pPr>
        <w:keepNext/>
        <w:spacing w:after="90" w:before="220"/>
      </w:pPr>
      <w:r>
        <w:rPr>
          <w:rFonts w:ascii="맑은 고딕" w:cs="맑은 고딕" w:eastAsia="맑은 고딕" w:hAnsi="맑은 고딕"/>
          <w:b/>
          <w:bCs/>
          <w:color w:val="1F3864"/>
          <w:sz w:val="18"/>
          <w:szCs w:val="18"/>
        </w:rPr>
        <w:t xml:space="preserve">[표 8-1] 장 요약</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7838"/>
      </w:tblGrid>
      <w:tr>
        <w:trPr>
          <w:cantSplit/>
          <w:tblHeader/>
        </w:trPr>
        <w:tc>
          <w:tcPr>
            <w:tcW w:type="dxa" w:w="1800"/>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구분</w:t>
            </w:r>
          </w:p>
        </w:tc>
        <w:tc>
          <w:tcPr>
            <w:tcW w:type="dxa" w:w="7838"/>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내용</w:t>
            </w:r>
          </w:p>
        </w:tc>
      </w:tr>
      <w:tr>
        <w:trPr>
          <w:cantSplit/>
          <w:tblHeader w:val="false"/>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문제 (Problem)</w:t>
            </w:r>
          </w:p>
        </w:tc>
        <w:tc>
          <w:tcPr>
            <w:tcW w:type="dxa" w:w="783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매체별 개별 운영은 평가 기준의 혼동(단일 DB 단가 일괄 평가)과 증빙 편향(특정 매체 집중)을 유발한다</w:t>
            </w:r>
          </w:p>
        </w:tc>
      </w:tr>
      <w:tr>
        <w:trPr>
          <w:cantSplit/>
          <w:tblHeader w:val="false"/>
        </w:trPr>
        <w:tc>
          <w:tcPr>
            <w:tcW w:type="dxa" w:w="180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원인 (Reason)</w:t>
            </w:r>
          </w:p>
        </w:tc>
        <w:tc>
          <w:tcPr>
            <w:tcW w:type="dxa" w:w="7838"/>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매체마다 고객 여정에서 담당하는 역할이 다른데, 역할 구분 없이 동일한 지표로 평가되기 때문이다</w:t>
            </w:r>
          </w:p>
        </w:tc>
      </w:tr>
      <w:tr>
        <w:trPr>
          <w:cantSplit/>
          <w:tblHeader w:val="false"/>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방법 (Method)</w:t>
            </w:r>
          </w:p>
        </w:tc>
        <w:tc>
          <w:tcPr>
            <w:tcW w:type="dxa" w:w="783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단계별 역할 분담(8.1), 매체별 공개 항목 표준화(8.2), 후속 매체 운영 원칙(8.3), 집행 전 검수(8.4)를 적용한다</w:t>
            </w:r>
          </w:p>
        </w:tc>
      </w:tr>
      <w:tr>
        <w:trPr>
          <w:cantSplit/>
          <w:tblHeader w:val="false"/>
        </w:trPr>
        <w:tc>
          <w:tcPr>
            <w:tcW w:type="dxa" w:w="180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기대 효과 (Effect)</w:t>
            </w:r>
          </w:p>
        </w:tc>
        <w:tc>
          <w:tcPr>
            <w:tcW w:type="dxa" w:w="7838"/>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각 매체가 담당 역할의 지표로 평가되고, 모든 유입이 캠페인·소재 단위로 계약까지 추적된다</w:t>
            </w:r>
          </w:p>
        </w:tc>
      </w:tr>
    </w:tbl>
    <w:p>
      <w:pPr>
        <w:spacing w:after="200" w:before="0"/>
      </w:pPr>
    </w:p>
    <w:p>
      <w:pPr>
        <w:pStyle w:val="Heading2"/>
        <w:keepNext/>
        <w:spacing w:after="140" w:before="300"/>
      </w:pPr>
      <w:r>
        <w:rPr>
          <w:rFonts w:ascii="맑은 고딕" w:cs="맑은 고딕" w:eastAsia="맑은 고딕" w:hAnsi="맑은 고딕"/>
          <w:b/>
          <w:bCs/>
          <w:color w:val="1A1A1A"/>
          <w:sz w:val="23"/>
          <w:szCs w:val="23"/>
        </w:rPr>
        <w:t xml:space="preserve">8.1 고객 단계별 매체 역할</w:t>
      </w:r>
    </w:p>
    <w:p>
      <w:pPr>
        <w:keepNext/>
        <w:spacing w:after="90" w:before="220"/>
      </w:pPr>
      <w:r>
        <w:rPr>
          <w:rFonts w:ascii="맑은 고딕" w:cs="맑은 고딕" w:eastAsia="맑은 고딕" w:hAnsi="맑은 고딕"/>
          <w:b/>
          <w:bCs/>
          <w:color w:val="1F3864"/>
          <w:sz w:val="18"/>
          <w:szCs w:val="18"/>
        </w:rPr>
        <w:t xml:space="preserve">[표 8-2] 고객 여정과 매체 역할 분담</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87"/>
        <w:gridCol w:w="2835"/>
        <w:gridCol w:w="5216"/>
      </w:tblGrid>
      <w:tr>
        <w:trPr>
          <w:cantSplit/>
          <w:tblHeader/>
        </w:trPr>
        <w:tc>
          <w:tcPr>
            <w:tcW w:type="dxa" w:w="1587"/>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고객 단계</w:t>
            </w:r>
          </w:p>
        </w:tc>
        <w:tc>
          <w:tcPr>
            <w:tcW w:type="dxa" w:w="2835"/>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주요 매체</w:t>
            </w:r>
          </w:p>
        </w:tc>
        <w:tc>
          <w:tcPr>
            <w:tcW w:type="dxa" w:w="5216"/>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역할</w:t>
            </w:r>
          </w:p>
        </w:tc>
      </w:tr>
      <w:tr>
        <w:trPr>
          <w:cantSplit/>
          <w:tblHeader w:val="false"/>
        </w:trPr>
        <w:tc>
          <w:tcPr>
            <w:tcW w:type="dxa" w:w="158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신규 관심 형성</w:t>
            </w:r>
          </w:p>
        </w:tc>
        <w:tc>
          <w:tcPr>
            <w:tcW w:type="dxa" w:w="2835"/>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Meta·Instagram·Demand Gen</w:t>
            </w:r>
          </w:p>
        </w:tc>
        <w:tc>
          <w:tcPr>
            <w:tcW w:type="dxa" w:w="521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가격·비교·질문형 콘텐츠로 잠재 수요 발굴</w:t>
            </w:r>
          </w:p>
        </w:tc>
      </w:tr>
      <w:tr>
        <w:trPr>
          <w:cantSplit/>
          <w:tblHeader w:val="false"/>
        </w:trPr>
        <w:tc>
          <w:tcPr>
            <w:tcW w:type="dxa" w:w="1587"/>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영상 신뢰 형성</w:t>
            </w:r>
          </w:p>
        </w:tc>
        <w:tc>
          <w:tcPr>
            <w:tcW w:type="dxa" w:w="2835"/>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YouTube·Shorts·Reels</w:t>
            </w:r>
          </w:p>
        </w:tc>
        <w:tc>
          <w:tcPr>
            <w:tcW w:type="dxa" w:w="5216"/>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현장과 분석 근거의 시각적 전달</w:t>
            </w:r>
          </w:p>
        </w:tc>
      </w:tr>
      <w:tr>
        <w:trPr>
          <w:cantSplit/>
          <w:tblHeader w:val="false"/>
        </w:trPr>
        <w:tc>
          <w:tcPr>
            <w:tcW w:type="dxa" w:w="158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적극 검색 수요</w:t>
            </w:r>
          </w:p>
        </w:tc>
        <w:tc>
          <w:tcPr>
            <w:tcW w:type="dxa" w:w="2835"/>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Google 검색광고</w:t>
            </w:r>
          </w:p>
        </w:tc>
        <w:tc>
          <w:tcPr>
            <w:tcW w:type="dxa" w:w="521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현장명·지역·가격·비교·청약 등 명시적 수요 포착</w:t>
            </w:r>
          </w:p>
        </w:tc>
      </w:tr>
      <w:tr>
        <w:trPr>
          <w:cantSplit/>
          <w:tblHeader w:val="false"/>
        </w:trPr>
        <w:tc>
          <w:tcPr>
            <w:tcW w:type="dxa" w:w="1587"/>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상담 전환 확대</w:t>
            </w:r>
          </w:p>
        </w:tc>
        <w:tc>
          <w:tcPr>
            <w:tcW w:type="dxa" w:w="2835"/>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Performance Max</w:t>
            </w:r>
          </w:p>
        </w:tc>
        <w:tc>
          <w:tcPr>
            <w:tcW w:type="dxa" w:w="5216"/>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사이트 행동·전화·상담 신청의 통합 최적화</w:t>
            </w:r>
          </w:p>
        </w:tc>
      </w:tr>
      <w:tr>
        <w:trPr>
          <w:cantSplit/>
          <w:tblHeader w:val="false"/>
        </w:trPr>
        <w:tc>
          <w:tcPr>
            <w:tcW w:type="dxa" w:w="158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기존 DB 재접촉</w:t>
            </w:r>
          </w:p>
        </w:tc>
        <w:tc>
          <w:tcPr>
            <w:tcW w:type="dxa" w:w="2835"/>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LMS</w:t>
            </w:r>
          </w:p>
        </w:tc>
        <w:tc>
          <w:tcPr>
            <w:tcW w:type="dxa" w:w="521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상담 상태와 관심 주제에 맞춘 후속 정보 제공</w:t>
            </w:r>
          </w:p>
        </w:tc>
      </w:tr>
      <w:tr>
        <w:trPr>
          <w:cantSplit/>
          <w:tblHeader w:val="false"/>
        </w:trPr>
        <w:tc>
          <w:tcPr>
            <w:tcW w:type="dxa" w:w="1587"/>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정보 확인</w:t>
            </w:r>
          </w:p>
        </w:tc>
        <w:tc>
          <w:tcPr>
            <w:tcW w:type="dxa" w:w="2835"/>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GEO 정보 허브</w:t>
            </w:r>
          </w:p>
        </w:tc>
        <w:tc>
          <w:tcPr>
            <w:tcW w:type="dxa" w:w="5216"/>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광고와 상담의 공통 근거 허브 (제7장)</w:t>
            </w:r>
          </w:p>
        </w:tc>
      </w:tr>
      <w:tr>
        <w:trPr>
          <w:cantSplit/>
          <w:tblHeader w:val="false"/>
        </w:trPr>
        <w:tc>
          <w:tcPr>
            <w:tcW w:type="dxa" w:w="158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방문·상담 관리</w:t>
            </w:r>
          </w:p>
        </w:tc>
        <w:tc>
          <w:tcPr>
            <w:tcW w:type="dxa" w:w="2835"/>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분양 업무툴</w:t>
            </w:r>
          </w:p>
        </w:tc>
        <w:tc>
          <w:tcPr>
            <w:tcW w:type="dxa" w:w="521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담당자·연락·감도·일정·계약 상태 관리 (제9장)</w:t>
            </w:r>
          </w:p>
        </w:tc>
      </w:tr>
    </w:tbl>
    <w:p>
      <w:pPr>
        <w:spacing w:after="200" w:before="0"/>
      </w:pPr>
    </w:p>
    <w:p>
      <w:pPr>
        <w:keepNext w:val="false"/>
        <w:spacing w:after="130" w:before="60" w:line="310"/>
        <w:jc w:val="both"/>
      </w:pPr>
      <w:r>
        <w:rPr>
          <w:rFonts w:ascii="맑은 고딕" w:cs="맑은 고딕" w:eastAsia="맑은 고딕" w:hAnsi="맑은 고딕"/>
          <w:b w:val="false"/>
          <w:bCs w:val="false"/>
          <w:i w:val="false"/>
          <w:iCs w:val="false"/>
          <w:color w:val="1A1A1A"/>
          <w:sz w:val="20"/>
          <w:szCs w:val="20"/>
        </w:rPr>
        <w:t xml:space="preserve">역할 분담의 실익은 </w:t>
      </w:r>
      <w:r>
        <w:rPr>
          <w:rFonts w:ascii="맑은 고딕" w:cs="맑은 고딕" w:eastAsia="맑은 고딕" w:hAnsi="맑은 고딕"/>
          <w:b/>
          <w:bCs/>
          <w:i w:val="false"/>
          <w:iCs w:val="false"/>
          <w:color w:val="1A1A1A"/>
          <w:sz w:val="20"/>
          <w:szCs w:val="20"/>
        </w:rPr>
        <w:t xml:space="preserve">평가 기준의 정확성</w:t>
      </w:r>
      <w:r>
        <w:rPr>
          <w:rFonts w:ascii="맑은 고딕" w:cs="맑은 고딕" w:eastAsia="맑은 고딕" w:hAnsi="맑은 고딕"/>
          <w:b w:val="false"/>
          <w:bCs w:val="false"/>
          <w:i w:val="false"/>
          <w:iCs w:val="false"/>
          <w:color w:val="1A1A1A"/>
          <w:sz w:val="20"/>
          <w:szCs w:val="20"/>
        </w:rPr>
        <w:t xml:space="preserve">입니다. 각 매체가 담당 역할의 지표로 평가되므로, 단일 DB 단가로 전체 매체를 일괄 평가하는 오류(3.4)가 발생하지 않습니다.</w:t>
      </w:r>
    </w:p>
    <w:p>
      <w:pPr>
        <w:pStyle w:val="Heading2"/>
        <w:keepNext/>
        <w:spacing w:after="140" w:before="300"/>
      </w:pPr>
      <w:r>
        <w:rPr>
          <w:rFonts w:ascii="맑은 고딕" w:cs="맑은 고딕" w:eastAsia="맑은 고딕" w:hAnsi="맑은 고딕"/>
          <w:b/>
          <w:bCs/>
          <w:color w:val="1A1A1A"/>
          <w:sz w:val="23"/>
          <w:szCs w:val="23"/>
        </w:rPr>
        <w:t xml:space="preserve">8.2 매체별 운영·공개 항목</w:t>
      </w:r>
    </w:p>
    <w:p>
      <w:pPr>
        <w:keepNext/>
        <w:spacing w:after="90" w:before="220"/>
      </w:pPr>
      <w:r>
        <w:rPr>
          <w:rFonts w:ascii="맑은 고딕" w:cs="맑은 고딕" w:eastAsia="맑은 고딕" w:hAnsi="맑은 고딕"/>
          <w:b/>
          <w:bCs/>
          <w:color w:val="1F3864"/>
          <w:sz w:val="18"/>
          <w:szCs w:val="18"/>
        </w:rPr>
        <w:t xml:space="preserve">[표 8-3] 매체별 목적과 확인 지표</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75"/>
        <w:gridCol w:w="3049"/>
        <w:gridCol w:w="5114"/>
      </w:tblGrid>
      <w:tr>
        <w:trPr>
          <w:cantSplit/>
          <w:tblHeader/>
        </w:trPr>
        <w:tc>
          <w:tcPr>
            <w:tcW w:type="dxa" w:w="1475"/>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매체</w:t>
            </w:r>
          </w:p>
        </w:tc>
        <w:tc>
          <w:tcPr>
            <w:tcW w:type="dxa" w:w="3049"/>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주요 목적</w:t>
            </w:r>
          </w:p>
        </w:tc>
        <w:tc>
          <w:tcPr>
            <w:tcW w:type="dxa" w:w="5114"/>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확인 지표</w:t>
            </w:r>
          </w:p>
        </w:tc>
      </w:tr>
      <w:tr>
        <w:trPr>
          <w:cantSplit/>
          <w:tblHeader w:val="false"/>
        </w:trPr>
        <w:tc>
          <w:tcPr>
            <w:tcW w:type="dxa" w:w="1475"/>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Meta</w:t>
            </w:r>
          </w:p>
        </w:tc>
        <w:tc>
          <w:tcPr>
            <w:tcW w:type="dxa" w:w="3049"/>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관심 형성·리드·리타기팅</w:t>
            </w:r>
          </w:p>
        </w:tc>
        <w:tc>
          <w:tcPr>
            <w:tcW w:type="dxa" w:w="5114"/>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캠페인·광고세트·소재·지출·노출·클릭·리드·리드당 비용</w:t>
            </w:r>
          </w:p>
        </w:tc>
      </w:tr>
      <w:tr>
        <w:trPr>
          <w:cantSplit/>
          <w:tblHeader w:val="false"/>
        </w:trPr>
        <w:tc>
          <w:tcPr>
            <w:tcW w:type="dxa" w:w="1475"/>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Google 검색</w:t>
            </w:r>
          </w:p>
        </w:tc>
        <w:tc>
          <w:tcPr>
            <w:tcW w:type="dxa" w:w="3049"/>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명시적 지역·현장·가격 수요 포착</w:t>
            </w:r>
          </w:p>
        </w:tc>
        <w:tc>
          <w:tcPr>
            <w:tcW w:type="dxa" w:w="5114"/>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검색어·클릭·전화·상담·전환·비용</w:t>
            </w:r>
          </w:p>
        </w:tc>
      </w:tr>
      <w:tr>
        <w:trPr>
          <w:cantSplit/>
          <w:tblHeader w:val="false"/>
        </w:trPr>
        <w:tc>
          <w:tcPr>
            <w:tcW w:type="dxa" w:w="1475"/>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Performance Max</w:t>
            </w:r>
          </w:p>
        </w:tc>
        <w:tc>
          <w:tcPr>
            <w:tcW w:type="dxa" w:w="3049"/>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여러 Google 지면의 전환 확대</w:t>
            </w:r>
          </w:p>
        </w:tc>
        <w:tc>
          <w:tcPr>
            <w:tcW w:type="dxa" w:w="5114"/>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자산그룹·지출·전환·전화·상담·가치</w:t>
            </w:r>
          </w:p>
        </w:tc>
      </w:tr>
      <w:tr>
        <w:trPr>
          <w:cantSplit/>
          <w:tblHeader w:val="false"/>
        </w:trPr>
        <w:tc>
          <w:tcPr>
            <w:tcW w:type="dxa" w:w="1475"/>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Demand Gen</w:t>
            </w:r>
          </w:p>
        </w:tc>
        <w:tc>
          <w:tcPr>
            <w:tcW w:type="dxa" w:w="3049"/>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발견형 시각 콘텐츠로 관심 확대</w:t>
            </w:r>
          </w:p>
        </w:tc>
        <w:tc>
          <w:tcPr>
            <w:tcW w:type="dxa" w:w="5114"/>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소재·노출·클릭·사이트 행동·리드</w:t>
            </w:r>
          </w:p>
        </w:tc>
      </w:tr>
      <w:tr>
        <w:trPr>
          <w:cantSplit/>
          <w:tblHeader w:val="false"/>
        </w:trPr>
        <w:tc>
          <w:tcPr>
            <w:tcW w:type="dxa" w:w="1475"/>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YouTube</w:t>
            </w:r>
          </w:p>
        </w:tc>
        <w:tc>
          <w:tcPr>
            <w:tcW w:type="dxa" w:w="3049"/>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영상 신뢰와 재접촉 풀 확보</w:t>
            </w:r>
          </w:p>
        </w:tc>
        <w:tc>
          <w:tcPr>
            <w:tcW w:type="dxa" w:w="5114"/>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조회·시청시간·사이트 유입·보조 전환</w:t>
            </w:r>
          </w:p>
        </w:tc>
      </w:tr>
      <w:tr>
        <w:trPr>
          <w:cantSplit/>
          <w:tblHeader w:val="false"/>
        </w:trPr>
        <w:tc>
          <w:tcPr>
            <w:tcW w:type="dxa" w:w="1475"/>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LMS</w:t>
            </w:r>
          </w:p>
        </w:tc>
        <w:tc>
          <w:tcPr>
            <w:tcW w:type="dxa" w:w="3049"/>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기존 DB의 상태별 후속 접촉</w:t>
            </w:r>
          </w:p>
        </w:tc>
        <w:tc>
          <w:tcPr>
            <w:tcW w:type="dxa" w:w="5114"/>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대상·발송·성공·클릭·상담 연결·방문 전환</w:t>
            </w:r>
          </w:p>
        </w:tc>
      </w:tr>
    </w:tbl>
    <w:p>
      <w:pPr>
        <w:spacing w:after="200" w:before="0"/>
      </w:pPr>
    </w:p>
    <w:p>
      <w:pPr>
        <w:keepNext w:val="false"/>
        <w:spacing w:after="130" w:before="60" w:line="310"/>
        <w:jc w:val="both"/>
      </w:pPr>
      <w:r>
        <w:rPr>
          <w:rFonts w:ascii="맑은 고딕" w:cs="맑은 고딕" w:eastAsia="맑은 고딕" w:hAnsi="맑은 고딕"/>
          <w:b w:val="false"/>
          <w:bCs w:val="false"/>
          <w:i w:val="false"/>
          <w:iCs w:val="false"/>
          <w:color w:val="1A1A1A"/>
          <w:sz w:val="20"/>
          <w:szCs w:val="20"/>
        </w:rPr>
        <w:t xml:space="preserve">공통으로 기간·일별 비용·전환 정의·어트리뷰션·계정 화면(또는 리포트)이 공개됩니다. 유입 추적 체계(UTM·리드 ID)는 업무툴까지 보존되어 소재별 계약 기여 분석의 기반이 됩니다.</w:t>
      </w:r>
    </w:p>
    <w:p>
      <w:pPr>
        <w:pStyle w:val="Heading2"/>
        <w:keepNext/>
        <w:spacing w:after="140" w:before="300"/>
      </w:pPr>
      <w:r>
        <w:rPr>
          <w:rFonts w:ascii="맑은 고딕" w:cs="맑은 고딕" w:eastAsia="맑은 고딕" w:hAnsi="맑은 고딕"/>
          <w:b/>
          <w:bCs/>
          <w:color w:val="1A1A1A"/>
          <w:sz w:val="23"/>
          <w:szCs w:val="23"/>
        </w:rPr>
        <w:t xml:space="preserve">8.3 LMS 운영 원칙</w:t>
      </w:r>
    </w:p>
    <w:p>
      <w:pPr>
        <w:keepNext w:val="false"/>
        <w:spacing w:after="130" w:before="60" w:line="310"/>
        <w:jc w:val="both"/>
      </w:pPr>
      <w:r>
        <w:rPr>
          <w:rFonts w:ascii="맑은 고딕" w:cs="맑은 고딕" w:eastAsia="맑은 고딕" w:hAnsi="맑은 고딕"/>
          <w:b w:val="false"/>
          <w:bCs w:val="false"/>
          <w:i w:val="false"/>
          <w:iCs w:val="false"/>
          <w:color w:val="1A1A1A"/>
          <w:sz w:val="20"/>
          <w:szCs w:val="20"/>
        </w:rPr>
        <w:t xml:space="preserve">LMS는 발송 건수와 단가의 확인이 용이하여 증빙 편향(2.5)이 발생하기 쉬운 매체입니다. 당사의 원칙은 다음과 같습니다.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1F3864" w:sz="18"/>
              <w:bottom w:val="none" w:color="FFFFFF" w:sz="0"/>
              <w:right w:val="none" w:color="FFFFFF" w:sz="0"/>
            </w:tcBorders>
            <w:shd w:fill="F0F3F8" w:color="auto" w:val="clear"/>
            <w:tcMar>
              <w:top w:type="dxa" w:w="150"/>
              <w:left w:type="dxa" w:w="220"/>
              <w:bottom w:type="dxa" w:w="150"/>
              <w:right w:type="dxa" w:w="180"/>
            </w:tcMar>
          </w:tcPr>
          <w:p>
            <w:pPr>
              <w:spacing w:after="0" w:before="0" w:line="300"/>
            </w:pPr>
            <w:r>
              <w:rPr>
                <w:rFonts w:ascii="맑은 고딕" w:cs="맑은 고딕" w:eastAsia="맑은 고딕" w:hAnsi="맑은 고딕"/>
                <w:b/>
                <w:bCs/>
                <w:color w:val="1A1A1A"/>
                <w:sz w:val="19"/>
                <w:szCs w:val="19"/>
              </w:rPr>
              <w:t xml:space="preserve">신규 수요 확보는 발견·검색·영상 매체가 담당하고, LMS는 이미 수집된 고객을 상담 상태와 관심 주제에 맞춰 재접촉하는 후속 매체로만 사용합니다.</w:t>
            </w:r>
          </w:p>
        </w:tc>
      </w:tr>
    </w:tbl>
    <w:p>
      <w:pPr>
        <w:spacing w:after="180" w:before="0"/>
      </w:pPr>
    </w:p>
    <w:p>
      <w:pPr>
        <w:keepNext/>
        <w:spacing w:after="90" w:before="220"/>
      </w:pPr>
      <w:r>
        <w:rPr>
          <w:rFonts w:ascii="맑은 고딕" w:cs="맑은 고딕" w:eastAsia="맑은 고딕" w:hAnsi="맑은 고딕"/>
          <w:b/>
          <w:bCs/>
          <w:color w:val="1F3864"/>
          <w:sz w:val="18"/>
          <w:szCs w:val="18"/>
        </w:rPr>
        <w:t xml:space="preserve">[표 8-4] 상담 상태별 후속 메시지 설계</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14"/>
        <w:gridCol w:w="2608"/>
        <w:gridCol w:w="5216"/>
      </w:tblGrid>
      <w:tr>
        <w:trPr>
          <w:cantSplit/>
          <w:tblHeader/>
        </w:trPr>
        <w:tc>
          <w:tcPr>
            <w:tcW w:type="dxa" w:w="1814"/>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고객 상태</w:t>
            </w:r>
          </w:p>
        </w:tc>
        <w:tc>
          <w:tcPr>
            <w:tcW w:type="dxa" w:w="2608"/>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메시지 목적</w:t>
            </w:r>
          </w:p>
        </w:tc>
        <w:tc>
          <w:tcPr>
            <w:tcW w:type="dxa" w:w="5216"/>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내용</w:t>
            </w:r>
          </w:p>
        </w:tc>
      </w:tr>
      <w:tr>
        <w:trPr>
          <w:cantSplit/>
          <w:tblHeader w:val="false"/>
        </w:trPr>
        <w:tc>
          <w:tcPr>
            <w:tcW w:type="dxa" w:w="1814"/>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미연락·연락 실패</w:t>
            </w:r>
          </w:p>
        </w:tc>
        <w:tc>
          <w:tcPr>
            <w:tcW w:type="dxa" w:w="260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재접촉 경로 확보</w:t>
            </w:r>
          </w:p>
        </w:tc>
        <w:tc>
          <w:tcPr>
            <w:tcW w:type="dxa" w:w="521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통화 가능 시간 선택, 간단 자료 확인 링크</w:t>
            </w:r>
          </w:p>
        </w:tc>
      </w:tr>
      <w:tr>
        <w:trPr>
          <w:cantSplit/>
          <w:tblHeader w:val="false"/>
        </w:trPr>
        <w:tc>
          <w:tcPr>
            <w:tcW w:type="dxa" w:w="1814"/>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가격 관심</w:t>
            </w:r>
          </w:p>
        </w:tc>
        <w:tc>
          <w:tcPr>
            <w:tcW w:type="dxa" w:w="2608"/>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총비용과 비교 기준 제시</w:t>
            </w:r>
          </w:p>
        </w:tc>
        <w:tc>
          <w:tcPr>
            <w:tcW w:type="dxa" w:w="5216"/>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분양가·옵션·세금·비교단지 요약</w:t>
            </w:r>
          </w:p>
        </w:tc>
      </w:tr>
      <w:tr>
        <w:trPr>
          <w:cantSplit/>
          <w:tblHeader w:val="false"/>
        </w:trPr>
        <w:tc>
          <w:tcPr>
            <w:tcW w:type="dxa" w:w="1814"/>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교통 관심</w:t>
            </w:r>
          </w:p>
        </w:tc>
        <w:tc>
          <w:tcPr>
            <w:tcW w:type="dxa" w:w="260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현재와 계획의 분리</w:t>
            </w:r>
          </w:p>
        </w:tc>
        <w:tc>
          <w:tcPr>
            <w:tcW w:type="dxa" w:w="521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현재 이동시간, 공식 추진 단계, 조건부 개선</w:t>
            </w:r>
          </w:p>
        </w:tc>
      </w:tr>
      <w:tr>
        <w:trPr>
          <w:cantSplit/>
          <w:tblHeader w:val="false"/>
        </w:trPr>
        <w:tc>
          <w:tcPr>
            <w:tcW w:type="dxa" w:w="1814"/>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고감도·방문 전</w:t>
            </w:r>
          </w:p>
        </w:tc>
        <w:tc>
          <w:tcPr>
            <w:tcW w:type="dxa" w:w="2608"/>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불확실성 해소</w:t>
            </w:r>
          </w:p>
        </w:tc>
        <w:tc>
          <w:tcPr>
            <w:tcW w:type="dxa" w:w="5216"/>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방문 체크포인트, 세대·주차·상담 준비자료</w:t>
            </w:r>
          </w:p>
        </w:tc>
      </w:tr>
      <w:tr>
        <w:trPr>
          <w:cantSplit/>
          <w:tblHeader w:val="false"/>
        </w:trPr>
        <w:tc>
          <w:tcPr>
            <w:tcW w:type="dxa" w:w="1814"/>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방문 후 미결정</w:t>
            </w:r>
          </w:p>
        </w:tc>
        <w:tc>
          <w:tcPr>
            <w:tcW w:type="dxa" w:w="260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거절 사유별 보완</w:t>
            </w:r>
          </w:p>
        </w:tc>
        <w:tc>
          <w:tcPr>
            <w:tcW w:type="dxa" w:w="521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가격·대출·가족 협의·경쟁 현장 비교자료</w:t>
            </w:r>
          </w:p>
        </w:tc>
      </w:tr>
      <w:tr>
        <w:trPr>
          <w:cantSplit/>
          <w:tblHeader w:val="false"/>
        </w:trPr>
        <w:tc>
          <w:tcPr>
            <w:tcW w:type="dxa" w:w="1814"/>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장기 보류</w:t>
            </w:r>
          </w:p>
        </w:tc>
        <w:tc>
          <w:tcPr>
            <w:tcW w:type="dxa" w:w="2608"/>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과도한 반복 회피</w:t>
            </w:r>
          </w:p>
        </w:tc>
        <w:tc>
          <w:tcPr>
            <w:tcW w:type="dxa" w:w="5216"/>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분양조건·공정·공식 계획의 실질 변경사항만 발송</w:t>
            </w:r>
          </w:p>
        </w:tc>
      </w:tr>
    </w:tbl>
    <w:p>
      <w:pPr>
        <w:spacing w:after="200" w:before="0"/>
      </w:pPr>
    </w:p>
    <w:p>
      <w:pPr>
        <w:keepNext w:val="false"/>
        <w:spacing w:after="130" w:before="60" w:line="310"/>
        <w:jc w:val="both"/>
      </w:pPr>
      <w:r>
        <w:rPr>
          <w:rFonts w:ascii="맑은 고딕" w:cs="맑은 고딕" w:eastAsia="맑은 고딕" w:hAnsi="맑은 고딕"/>
          <w:b w:val="false"/>
          <w:bCs w:val="false"/>
          <w:i w:val="false"/>
          <w:iCs w:val="false"/>
          <w:color w:val="1A1A1A"/>
          <w:sz w:val="20"/>
          <w:szCs w:val="20"/>
        </w:rPr>
        <w:t xml:space="preserve">발송은 수신 동의 범위와 광고성 정보 표시 기준을 준수하며(제14장), 발송 건수가 아니라 </w:t>
      </w:r>
      <w:r>
        <w:rPr>
          <w:rFonts w:ascii="맑은 고딕" w:cs="맑은 고딕" w:eastAsia="맑은 고딕" w:hAnsi="맑은 고딕"/>
          <w:b/>
          <w:bCs/>
          <w:i w:val="false"/>
          <w:iCs w:val="false"/>
          <w:color w:val="1A1A1A"/>
          <w:sz w:val="20"/>
          <w:szCs w:val="20"/>
        </w:rPr>
        <w:t xml:space="preserve">상담 연결·방문 전환</w:t>
      </w:r>
      <w:r>
        <w:rPr>
          <w:rFonts w:ascii="맑은 고딕" w:cs="맑은 고딕" w:eastAsia="맑은 고딕" w:hAnsi="맑은 고딕"/>
          <w:b w:val="false"/>
          <w:bCs w:val="false"/>
          <w:i w:val="false"/>
          <w:iCs w:val="false"/>
          <w:color w:val="1A1A1A"/>
          <w:sz w:val="20"/>
          <w:szCs w:val="20"/>
        </w:rPr>
        <w:t xml:space="preserve">으로 평가됩니다.</w:t>
      </w:r>
    </w:p>
    <w:p>
      <w:pPr>
        <w:pStyle w:val="Heading2"/>
        <w:keepNext/>
        <w:spacing w:after="140" w:before="300"/>
      </w:pPr>
      <w:r>
        <w:rPr>
          <w:rFonts w:ascii="맑은 고딕" w:cs="맑은 고딕" w:eastAsia="맑은 고딕" w:hAnsi="맑은 고딕"/>
          <w:b/>
          <w:bCs/>
          <w:color w:val="1A1A1A"/>
          <w:sz w:val="23"/>
          <w:szCs w:val="23"/>
        </w:rPr>
        <w:t xml:space="preserve">8.4 집행 전 검수와 운영 통제</w:t>
      </w:r>
    </w:p>
    <w:p>
      <w:pPr>
        <w:keepNext/>
        <w:spacing w:after="90" w:before="220"/>
      </w:pPr>
      <w:r>
        <w:rPr>
          <w:rFonts w:ascii="맑은 고딕" w:cs="맑은 고딕" w:eastAsia="맑은 고딕" w:hAnsi="맑은 고딕"/>
          <w:b/>
          <w:bCs/>
          <w:color w:val="1F3864"/>
          <w:sz w:val="18"/>
          <w:szCs w:val="18"/>
        </w:rPr>
        <w:t xml:space="preserve">[표 8-5] 캠페인 개시 전 검수 항목</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7838"/>
      </w:tblGrid>
      <w:tr>
        <w:trPr>
          <w:cantSplit/>
          <w:tblHeader/>
        </w:trPr>
        <w:tc>
          <w:tcPr>
            <w:tcW w:type="dxa" w:w="1800"/>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영역</w:t>
            </w:r>
          </w:p>
        </w:tc>
        <w:tc>
          <w:tcPr>
            <w:tcW w:type="dxa" w:w="7838"/>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검수 내용</w:t>
            </w:r>
          </w:p>
        </w:tc>
      </w:tr>
      <w:tr>
        <w:trPr>
          <w:cantSplit/>
          <w:tblHeader w:val="false"/>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광고계정</w:t>
            </w:r>
          </w:p>
        </w:tc>
        <w:tc>
          <w:tcPr>
            <w:tcW w:type="dxa" w:w="783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소유·권한·결제·전환 설정·명명 규칙</w:t>
            </w:r>
          </w:p>
        </w:tc>
      </w:tr>
      <w:tr>
        <w:trPr>
          <w:cantSplit/>
          <w:tblHeader w:val="false"/>
        </w:trPr>
        <w:tc>
          <w:tcPr>
            <w:tcW w:type="dxa" w:w="180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유입 추적</w:t>
            </w:r>
          </w:p>
        </w:tc>
        <w:tc>
          <w:tcPr>
            <w:tcW w:type="dxa" w:w="7838"/>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전환 이벤트 정의, 중복 제거, 업무툴 연동</w:t>
            </w:r>
          </w:p>
        </w:tc>
      </w:tr>
      <w:tr>
        <w:trPr>
          <w:cantSplit/>
          <w:tblHeader w:val="false"/>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표현 승인</w:t>
            </w:r>
          </w:p>
        </w:tc>
        <w:tc>
          <w:tcPr>
            <w:tcW w:type="dxa" w:w="783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제6장 등급 지정 완료 및 시행사 승인</w:t>
            </w:r>
          </w:p>
        </w:tc>
      </w:tr>
    </w:tbl>
    <w:p>
      <w:pPr>
        <w:spacing w:after="200" w:before="0"/>
      </w:pPr>
    </w:p>
    <w:p>
      <w:pPr>
        <w:keepNext w:val="false"/>
        <w:spacing w:after="130" w:before="60" w:line="310"/>
        <w:jc w:val="both"/>
      </w:pPr>
      <w:r>
        <w:rPr>
          <w:rFonts w:ascii="맑은 고딕" w:cs="맑은 고딕" w:eastAsia="맑은 고딕" w:hAnsi="맑은 고딕"/>
          <w:b w:val="false"/>
          <w:bCs w:val="false"/>
          <w:i w:val="false"/>
          <w:iCs w:val="false"/>
          <w:color w:val="1A1A1A"/>
          <w:sz w:val="20"/>
          <w:szCs w:val="20"/>
        </w:rPr>
        <w:t xml:space="preserve">운영 중에는 예산 이상·급격한 소진·미집행이 알림으로 관리되고, 매체·소재·타깃의 조정은 주간 운영 사이클(제12장)의 승인 절차를 따릅니다. 근거 미확정 문구의 광고 사용 금지 원칙(12.1)은 집행 기간 전체에 적용됩니다.</w:t>
      </w:r>
    </w:p>
    <w:p>
      <w:pPr>
        <w:pStyle w:val="Heading2"/>
        <w:keepNext/>
        <w:spacing w:after="140" w:before="300"/>
      </w:pPr>
      <w:r>
        <w:rPr>
          <w:rFonts w:ascii="맑은 고딕" w:cs="맑은 고딕" w:eastAsia="맑은 고딕" w:hAnsi="맑은 고딕"/>
          <w:b/>
          <w:bCs/>
          <w:color w:val="1A1A1A"/>
          <w:sz w:val="23"/>
          <w:szCs w:val="23"/>
        </w:rPr>
        <w:t xml:space="preserve">8.5 소결</w:t>
      </w:r>
    </w:p>
    <w:p>
      <w:pPr>
        <w:keepNext w:val="false"/>
        <w:spacing w:after="130" w:before="60" w:line="310"/>
        <w:jc w:val="both"/>
      </w:pPr>
      <w:r>
        <w:rPr>
          <w:rFonts w:ascii="맑은 고딕" w:cs="맑은 고딕" w:eastAsia="맑은 고딕" w:hAnsi="맑은 고딕"/>
          <w:b w:val="false"/>
          <w:bCs w:val="false"/>
          <w:i w:val="false"/>
          <w:iCs w:val="false"/>
          <w:color w:val="1A1A1A"/>
          <w:sz w:val="20"/>
          <w:szCs w:val="20"/>
        </w:rPr>
        <w:t xml:space="preserve">전통적 대행 구조에서 광고 집행은 업무의 전부이지만, 본 운영체계에서는 열 단계 중 네 번째 단계입니다. 광고 앞의 세 단계가 집행의 품질을 결정하고, 광고 뒤의 여섯 단계가 집행의 성과를 회수합니다.</w:t>
      </w:r>
    </w:p>
    <w:p>
      <w:pPr>
        <w:keepNext w:val="false"/>
        <w:spacing w:after="130" w:before="60" w:line="310"/>
        <w:jc w:val="both"/>
      </w:pPr>
      <w:r>
        <w:rPr>
          <w:rFonts w:ascii="맑은 고딕" w:cs="맑은 고딕" w:eastAsia="맑은 고딕" w:hAnsi="맑은 고딕"/>
          <w:b w:val="false"/>
          <w:bCs w:val="false"/>
          <w:i w:val="false"/>
          <w:iCs w:val="false"/>
          <w:color w:val="1A1A1A"/>
          <w:sz w:val="20"/>
          <w:szCs w:val="20"/>
        </w:rPr>
        <w:t xml:space="preserve">매체 운영의 최종 평가는 매체 내부 지표가 아니라 업무툴로 이어지는 전환 데이터로 수행됩니다. 그 관리 체계가 제9장의 주제입니다.</w:t>
      </w:r>
    </w:p>
    <w:p>
      <w:pPr>
        <w:pStyle w:val="Heading1"/>
        <w:pageBreakBefore/>
        <w:pBdr>
          <w:bottom w:val="single" w:color="1F3864" w:sz="10" w:space="8"/>
        </w:pBdr>
        <w:spacing w:after="240" w:before="0"/>
      </w:pPr>
      <w:r>
        <w:rPr>
          <w:rFonts w:ascii="맑은 고딕" w:cs="맑은 고딕" w:eastAsia="맑은 고딕" w:hAnsi="맑은 고딕"/>
          <w:b/>
          <w:bCs/>
          <w:color w:val="1F3864"/>
          <w:sz w:val="30"/>
          <w:szCs w:val="30"/>
        </w:rPr>
        <w:t xml:space="preserve">제9장. CRM·고객관리</w:t>
      </w:r>
    </w:p>
    <w:p>
      <w:pPr>
        <w:keepNext w:val="false"/>
        <w:spacing w:after="130" w:before="60" w:line="310"/>
        <w:jc w:val="both"/>
      </w:pPr>
      <w:r>
        <w:rPr>
          <w:rFonts w:ascii="맑은 고딕" w:cs="맑은 고딕" w:eastAsia="맑은 고딕" w:hAnsi="맑은 고딕"/>
          <w:b/>
          <w:bCs/>
          <w:i w:val="false"/>
          <w:iCs w:val="false"/>
          <w:color w:val="1A1A1A"/>
          <w:sz w:val="20"/>
          <w:szCs w:val="20"/>
        </w:rPr>
        <w:t xml:space="preserve">헤드라인.</w:t>
      </w:r>
      <w:r>
        <w:rPr>
          <w:rFonts w:ascii="맑은 고딕" w:cs="맑은 고딕" w:eastAsia="맑은 고딕" w:hAnsi="맑은 고딕"/>
          <w:b w:val="false"/>
          <w:bCs w:val="false"/>
          <w:i w:val="false"/>
          <w:iCs w:val="false"/>
          <w:color w:val="1A1A1A"/>
          <w:sz w:val="20"/>
          <w:szCs w:val="20"/>
        </w:rPr>
        <w:t xml:space="preserve"> DB 전달은 운영의 종료가 아니라 전환관리의 시작입니다.</w:t>
      </w:r>
    </w:p>
    <w:p>
      <w:pPr>
        <w:keepNext/>
        <w:spacing w:after="90" w:before="220"/>
      </w:pPr>
      <w:r>
        <w:rPr>
          <w:rFonts w:ascii="맑은 고딕" w:cs="맑은 고딕" w:eastAsia="맑은 고딕" w:hAnsi="맑은 고딕"/>
          <w:b/>
          <w:bCs/>
          <w:color w:val="1F3864"/>
          <w:sz w:val="18"/>
          <w:szCs w:val="18"/>
        </w:rPr>
        <w:t xml:space="preserve">[표 9-1] 장 요약</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7838"/>
      </w:tblGrid>
      <w:tr>
        <w:trPr>
          <w:cantSplit/>
          <w:tblHeader/>
        </w:trPr>
        <w:tc>
          <w:tcPr>
            <w:tcW w:type="dxa" w:w="1800"/>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구분</w:t>
            </w:r>
          </w:p>
        </w:tc>
        <w:tc>
          <w:tcPr>
            <w:tcW w:type="dxa" w:w="7838"/>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내용</w:t>
            </w:r>
          </w:p>
        </w:tc>
      </w:tr>
      <w:tr>
        <w:trPr>
          <w:cantSplit/>
          <w:tblHeader w:val="false"/>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문제 (Problem)</w:t>
            </w:r>
          </w:p>
        </w:tc>
        <w:tc>
          <w:tcPr>
            <w:tcW w:type="dxa" w:w="783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DB를 다수 확보해도 최초 연락 지연·배정 불명확·후속 부재로 전환 기회가 소멸한다</w:t>
            </w:r>
          </w:p>
        </w:tc>
      </w:tr>
      <w:tr>
        <w:trPr>
          <w:cantSplit/>
          <w:tblHeader w:val="false"/>
        </w:trPr>
        <w:tc>
          <w:tcPr>
            <w:tcW w:type="dxa" w:w="180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원인 (Reason)</w:t>
            </w:r>
          </w:p>
        </w:tc>
        <w:tc>
          <w:tcPr>
            <w:tcW w:type="dxa" w:w="7838"/>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DB 처리 상태가 담당자 개인에게 귀속되어 관리 사각지대가 발생하기 때문이다</w:t>
            </w:r>
          </w:p>
        </w:tc>
      </w:tr>
      <w:tr>
        <w:trPr>
          <w:cantSplit/>
          <w:tblHeader w:val="false"/>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방법 (Method)</w:t>
            </w:r>
          </w:p>
        </w:tc>
        <w:tc>
          <w:tcPr>
            <w:tcW w:type="dxa" w:w="783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10단계 표준 고객 상태(9.2), 규칙 기반 배정과 연락 지연 알림(9.3), 관리자 대시보드(9.4)를 운영한다</w:t>
            </w:r>
          </w:p>
        </w:tc>
      </w:tr>
      <w:tr>
        <w:trPr>
          <w:cantSplit/>
          <w:tblHeader w:val="false"/>
        </w:trPr>
        <w:tc>
          <w:tcPr>
            <w:tcW w:type="dxa" w:w="180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기대 효과 (Effect)</w:t>
            </w:r>
          </w:p>
        </w:tc>
        <w:tc>
          <w:tcPr>
            <w:tcW w:type="dxa" w:w="7838"/>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본부가 별도 보고 없이 병목을 상시 확인하고, 거절 사유가 조직의 데이터로 축적된다</w:t>
            </w:r>
          </w:p>
        </w:tc>
      </w:tr>
    </w:tbl>
    <w:p>
      <w:pPr>
        <w:spacing w:after="200" w:before="0"/>
      </w:pPr>
    </w:p>
    <w:p>
      <w:pPr>
        <w:pStyle w:val="Heading2"/>
        <w:keepNext/>
        <w:spacing w:after="140" w:before="300"/>
      </w:pPr>
      <w:r>
        <w:rPr>
          <w:rFonts w:ascii="맑은 고딕" w:cs="맑은 고딕" w:eastAsia="맑은 고딕" w:hAnsi="맑은 고딕"/>
          <w:b/>
          <w:bCs/>
          <w:color w:val="1A1A1A"/>
          <w:sz w:val="23"/>
          <w:szCs w:val="23"/>
        </w:rPr>
        <w:t xml:space="preserve">9.1 두 구조가 갈라지는 지점</w:t>
      </w:r>
    </w:p>
    <w:p>
      <w:pPr>
        <w:keepNext/>
        <w:spacing w:after="90" w:before="220"/>
      </w:pPr>
      <w:r>
        <w:rPr>
          <w:rFonts w:ascii="맑은 고딕" w:cs="맑은 고딕" w:eastAsia="맑은 고딕" w:hAnsi="맑은 고딕"/>
          <w:b/>
          <w:bCs/>
          <w:color w:val="1F3864"/>
          <w:sz w:val="18"/>
          <w:szCs w:val="18"/>
        </w:rPr>
        <w:t xml:space="preserve">[그림 9-1] DB 전달 지점에서의 구조 분기</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BFBFBF" w:sz="4"/>
              <w:left w:val="single" w:color="BFBFBF" w:sz="4"/>
              <w:bottom w:val="single" w:color="BFBFBF" w:sz="4"/>
              <w:right w:val="single" w:color="BFBFBF" w:sz="4"/>
            </w:tcBorders>
            <w:shd w:fill="F4F5F7" w:color="auto" w:val="clear"/>
            <w:tcMar>
              <w:top w:type="dxa" w:w="160"/>
              <w:left w:type="dxa" w:w="200"/>
              <w:bottom w:type="dxa" w:w="160"/>
              <w:right w:type="dxa" w:w="160"/>
            </w:tcMar>
          </w:tcPr>
          <w:p>
            <w:pPr>
              <w:spacing w:after="0" w:before="0" w:line="240"/>
              <w:jc w:val="left"/>
            </w:pPr>
            <w:r>
              <w:rPr>
                <w:rFonts w:ascii="굴림체" w:cs="굴림체" w:eastAsia="굴림체" w:hAnsi="굴림체"/>
                <w:color w:val="1A1A1A"/>
                <w:sz w:val="16"/>
                <w:szCs w:val="16"/>
              </w:rPr>
              <w:t xml:space="preserve">전통적 대행:  광고 집행 → DB 수집 → DB 전달 → 종료</w:t>
            </w:r>
          </w:p>
          <w:p>
            <w:pPr>
              <w:spacing w:after="0" w:before="0" w:line="240"/>
              <w:jc w:val="left"/>
            </w:pPr>
            <w:r>
              <w:rPr>
                <w:rFonts w:ascii="굴림체" w:cs="굴림체" w:eastAsia="굴림체" w:hAnsi="굴림체"/>
                <w:color w:val="1A1A1A"/>
                <w:sz w:val="16"/>
                <w:szCs w:val="16"/>
              </w:rPr>
              <w:t xml:space="preserve">                                      │</w:t>
            </w:r>
          </w:p>
          <w:p>
            <w:pPr>
              <w:spacing w:after="0" w:before="0" w:line="240"/>
              <w:jc w:val="left"/>
            </w:pPr>
            <w:r>
              <w:rPr>
                <w:rFonts w:ascii="굴림체" w:cs="굴림체" w:eastAsia="굴림체" w:hAnsi="굴림체"/>
                <w:color w:val="1A1A1A"/>
                <w:sz w:val="16"/>
                <w:szCs w:val="16"/>
              </w:rPr>
              <w:t xml:space="preserve">분양하마:                             └→ CRM 연동 → 고객관리 → 방문 → 계약 → 학습 → 최적화</w:t>
            </w:r>
          </w:p>
        </w:tc>
      </w:tr>
    </w:tbl>
    <w:p>
      <w:pPr>
        <w:spacing w:after="160" w:before="0"/>
      </w:pPr>
    </w:p>
    <w:p>
      <w:pPr>
        <w:keepNext w:val="false"/>
        <w:spacing w:after="130" w:before="60" w:line="310"/>
        <w:jc w:val="both"/>
      </w:pPr>
      <w:r>
        <w:rPr>
          <w:rFonts w:ascii="맑은 고딕" w:cs="맑은 고딕" w:eastAsia="맑은 고딕" w:hAnsi="맑은 고딕"/>
          <w:b w:val="false"/>
          <w:bCs w:val="false"/>
          <w:i w:val="false"/>
          <w:iCs w:val="false"/>
          <w:color w:val="1A1A1A"/>
          <w:sz w:val="20"/>
          <w:szCs w:val="20"/>
        </w:rPr>
        <w:t xml:space="preserve">광고의 책임이 DB 전달에서 종료되는 구조에서는, 그 이후의 모든 손실(연락 누락, 배정 불명확, 후속 부재)이 관리 사각지대에서 발생합니다.</w:t>
      </w:r>
    </w:p>
    <w:p>
      <w:pPr>
        <w:keepNext w:val="false"/>
        <w:spacing w:after="130" w:before="60" w:line="310"/>
        <w:jc w:val="both"/>
      </w:pPr>
      <w:r>
        <w:rPr>
          <w:rFonts w:ascii="맑은 고딕" w:cs="맑은 고딕" w:eastAsia="맑은 고딕" w:hAnsi="맑은 고딕"/>
          <w:b w:val="false"/>
          <w:bCs w:val="false"/>
          <w:i w:val="false"/>
          <w:iCs w:val="false"/>
          <w:color w:val="1A1A1A"/>
          <w:sz w:val="20"/>
          <w:szCs w:val="20"/>
        </w:rPr>
        <w:t xml:space="preserve">당사는 DB 전달을 </w:t>
      </w:r>
      <w:r>
        <w:rPr>
          <w:rFonts w:ascii="맑은 고딕" w:cs="맑은 고딕" w:eastAsia="맑은 고딕" w:hAnsi="맑은 고딕"/>
          <w:b/>
          <w:bCs/>
          <w:i w:val="false"/>
          <w:iCs w:val="false"/>
          <w:color w:val="1A1A1A"/>
          <w:sz w:val="20"/>
          <w:szCs w:val="20"/>
        </w:rPr>
        <w:t xml:space="preserve">전환관리의 시작</w:t>
      </w:r>
      <w:r>
        <w:rPr>
          <w:rFonts w:ascii="맑은 고딕" w:cs="맑은 고딕" w:eastAsia="맑은 고딕" w:hAnsi="맑은 고딕"/>
          <w:b w:val="false"/>
          <w:bCs w:val="false"/>
          <w:i w:val="false"/>
          <w:iCs w:val="false"/>
          <w:color w:val="1A1A1A"/>
          <w:sz w:val="20"/>
          <w:szCs w:val="20"/>
        </w:rPr>
        <w:t xml:space="preserve">으로 정의합니다. 광고·정보 허브·전화·LMS에서 유입된 DB는 업무툴에 자동(또는 규칙 기반) 연동되며, 유입 시각·캠페인·소재·동의 정보가 보존된 상태로 담당자에게 배정됩니다. 중복 DB는 식별·병합되고 연락처는 정규화됩니다.</w:t>
      </w:r>
    </w:p>
    <w:p>
      <w:pPr>
        <w:pStyle w:val="Heading2"/>
        <w:keepNext/>
        <w:spacing w:after="140" w:before="300"/>
      </w:pPr>
      <w:r>
        <w:rPr>
          <w:rFonts w:ascii="맑은 고딕" w:cs="맑은 고딕" w:eastAsia="맑은 고딕" w:hAnsi="맑은 고딕"/>
          <w:b/>
          <w:bCs/>
          <w:color w:val="1A1A1A"/>
          <w:sz w:val="23"/>
          <w:szCs w:val="23"/>
        </w:rPr>
        <w:t xml:space="preserve">9.2 표준 고객 상태 10단계</w:t>
      </w:r>
    </w:p>
    <w:p>
      <w:pPr>
        <w:keepNext w:val="false"/>
        <w:spacing w:after="130" w:before="60" w:line="310"/>
        <w:jc w:val="both"/>
      </w:pPr>
      <w:r>
        <w:rPr>
          <w:rFonts w:ascii="맑은 고딕" w:cs="맑은 고딕" w:eastAsia="맑은 고딕" w:hAnsi="맑은 고딕"/>
          <w:b w:val="false"/>
          <w:bCs w:val="false"/>
          <w:i w:val="false"/>
          <w:iCs w:val="false"/>
          <w:color w:val="1A1A1A"/>
          <w:sz w:val="20"/>
          <w:szCs w:val="20"/>
        </w:rPr>
        <w:t xml:space="preserve">고객의 상태는 담당자의 기억이 아니라 표준 단계로 관리됩니다.</w:t>
      </w:r>
    </w:p>
    <w:p>
      <w:pPr>
        <w:keepNext/>
        <w:spacing w:after="90" w:before="220"/>
      </w:pPr>
      <w:r>
        <w:rPr>
          <w:rFonts w:ascii="맑은 고딕" w:cs="맑은 고딕" w:eastAsia="맑은 고딕" w:hAnsi="맑은 고딕"/>
          <w:b/>
          <w:bCs/>
          <w:color w:val="1F3864"/>
          <w:sz w:val="18"/>
          <w:szCs w:val="18"/>
        </w:rPr>
        <w:t xml:space="preserve">[표 9-2] 고객 퍼널 10단계와 필수 기록</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66"/>
        <w:gridCol w:w="4337"/>
        <w:gridCol w:w="3735"/>
      </w:tblGrid>
      <w:tr>
        <w:trPr>
          <w:cantSplit/>
          <w:tblHeader/>
        </w:trPr>
        <w:tc>
          <w:tcPr>
            <w:tcW w:type="dxa" w:w="1566"/>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단계</w:t>
            </w:r>
          </w:p>
        </w:tc>
        <w:tc>
          <w:tcPr>
            <w:tcW w:type="dxa" w:w="4337"/>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정의</w:t>
            </w:r>
          </w:p>
        </w:tc>
        <w:tc>
          <w:tcPr>
            <w:tcW w:type="dxa" w:w="3735"/>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필수 기록</w:t>
            </w:r>
          </w:p>
        </w:tc>
      </w:tr>
      <w:tr>
        <w:trPr>
          <w:cantSplit/>
          <w:tblHeader w:val="false"/>
        </w:trPr>
        <w:tc>
          <w:tcPr>
            <w:tcW w:type="dxa" w:w="156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1. 신규 DB</w:t>
            </w:r>
          </w:p>
        </w:tc>
        <w:tc>
          <w:tcPr>
            <w:tcW w:type="dxa" w:w="433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광고·전화·LMS·현장 등에서 신규 유입</w:t>
            </w:r>
          </w:p>
        </w:tc>
        <w:tc>
          <w:tcPr>
            <w:tcW w:type="dxa" w:w="3735"/>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유입 시각·캠페인·소재·동의 정보</w:t>
            </w:r>
          </w:p>
        </w:tc>
      </w:tr>
      <w:tr>
        <w:trPr>
          <w:cantSplit/>
          <w:tblHeader w:val="false"/>
        </w:trPr>
        <w:tc>
          <w:tcPr>
            <w:tcW w:type="dxa" w:w="1566"/>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2. 미연락</w:t>
            </w:r>
          </w:p>
        </w:tc>
        <w:tc>
          <w:tcPr>
            <w:tcW w:type="dxa" w:w="4337"/>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담당자 배정 후 연락 시도 없음</w:t>
            </w:r>
          </w:p>
        </w:tc>
        <w:tc>
          <w:tcPr>
            <w:tcW w:type="dxa" w:w="3735"/>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담당자·배정 시각·기준시간</w:t>
            </w:r>
          </w:p>
        </w:tc>
      </w:tr>
      <w:tr>
        <w:trPr>
          <w:cantSplit/>
          <w:tblHeader w:val="false"/>
        </w:trPr>
        <w:tc>
          <w:tcPr>
            <w:tcW w:type="dxa" w:w="156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3. 연락 시도</w:t>
            </w:r>
          </w:p>
        </w:tc>
        <w:tc>
          <w:tcPr>
            <w:tcW w:type="dxa" w:w="433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전화·문자 등 접촉 시도</w:t>
            </w:r>
          </w:p>
        </w:tc>
        <w:tc>
          <w:tcPr>
            <w:tcW w:type="dxa" w:w="3735"/>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시도 시각·채널·결과·다음 연락</w:t>
            </w:r>
          </w:p>
        </w:tc>
      </w:tr>
      <w:tr>
        <w:trPr>
          <w:cantSplit/>
          <w:tblHeader w:val="false"/>
        </w:trPr>
        <w:tc>
          <w:tcPr>
            <w:tcW w:type="dxa" w:w="1566"/>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4. 상담 완료</w:t>
            </w:r>
          </w:p>
        </w:tc>
        <w:tc>
          <w:tcPr>
            <w:tcW w:type="dxa" w:w="4337"/>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기본 니즈·예산·관심 주제 확인</w:t>
            </w:r>
          </w:p>
        </w:tc>
        <w:tc>
          <w:tcPr>
            <w:tcW w:type="dxa" w:w="3735"/>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상담 요약·거절 요인·고객 감도</w:t>
            </w:r>
          </w:p>
        </w:tc>
      </w:tr>
      <w:tr>
        <w:trPr>
          <w:cantSplit/>
          <w:tblHeader w:val="false"/>
        </w:trPr>
        <w:tc>
          <w:tcPr>
            <w:tcW w:type="dxa" w:w="156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5. 고감도</w:t>
            </w:r>
          </w:p>
        </w:tc>
        <w:tc>
          <w:tcPr>
            <w:tcW w:type="dxa" w:w="433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방문 또는 구체 조건 검토 가능성 높음</w:t>
            </w:r>
          </w:p>
        </w:tc>
        <w:tc>
          <w:tcPr>
            <w:tcW w:type="dxa" w:w="3735"/>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판정 사유·후속 일정·필요 자료</w:t>
            </w:r>
          </w:p>
        </w:tc>
      </w:tr>
      <w:tr>
        <w:trPr>
          <w:cantSplit/>
          <w:tblHeader w:val="false"/>
        </w:trPr>
        <w:tc>
          <w:tcPr>
            <w:tcW w:type="dxa" w:w="1566"/>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6. 방문 예정</w:t>
            </w:r>
          </w:p>
        </w:tc>
        <w:tc>
          <w:tcPr>
            <w:tcW w:type="dxa" w:w="4337"/>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일정과 참여자 합의 완료</w:t>
            </w:r>
          </w:p>
        </w:tc>
        <w:tc>
          <w:tcPr>
            <w:tcW w:type="dxa" w:w="3735"/>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일시·인원·담당자·확인사항</w:t>
            </w:r>
          </w:p>
        </w:tc>
      </w:tr>
      <w:tr>
        <w:trPr>
          <w:cantSplit/>
          <w:tblHeader w:val="false"/>
        </w:trPr>
        <w:tc>
          <w:tcPr>
            <w:tcW w:type="dxa" w:w="156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7. 방문 완료</w:t>
            </w:r>
          </w:p>
        </w:tc>
        <w:tc>
          <w:tcPr>
            <w:tcW w:type="dxa" w:w="433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현장·모델하우스 상담 완료</w:t>
            </w:r>
          </w:p>
        </w:tc>
        <w:tc>
          <w:tcPr>
            <w:tcW w:type="dxa" w:w="3735"/>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방문 결과·관심 호수·보완 과제</w:t>
            </w:r>
          </w:p>
        </w:tc>
      </w:tr>
      <w:tr>
        <w:trPr>
          <w:cantSplit/>
          <w:tblHeader w:val="false"/>
        </w:trPr>
        <w:tc>
          <w:tcPr>
            <w:tcW w:type="dxa" w:w="1566"/>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8. 계약 검토</w:t>
            </w:r>
          </w:p>
        </w:tc>
        <w:tc>
          <w:tcPr>
            <w:tcW w:type="dxa" w:w="4337"/>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청약·가계약·자금계획 등 구체 검토</w:t>
            </w:r>
          </w:p>
        </w:tc>
        <w:tc>
          <w:tcPr>
            <w:tcW w:type="dxa" w:w="3735"/>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의사결정자·자금·기한·쟁점</w:t>
            </w:r>
          </w:p>
        </w:tc>
      </w:tr>
      <w:tr>
        <w:trPr>
          <w:cantSplit/>
          <w:tblHeader w:val="false"/>
        </w:trPr>
        <w:tc>
          <w:tcPr>
            <w:tcW w:type="dxa" w:w="156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9. 계약 완료</w:t>
            </w:r>
          </w:p>
        </w:tc>
        <w:tc>
          <w:tcPr>
            <w:tcW w:type="dxa" w:w="433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계약 기준 충족 및 등록</w:t>
            </w:r>
          </w:p>
        </w:tc>
        <w:tc>
          <w:tcPr>
            <w:tcW w:type="dxa" w:w="3735"/>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계약일·상품·금액·기여 경로</w:t>
            </w:r>
          </w:p>
        </w:tc>
      </w:tr>
      <w:tr>
        <w:trPr>
          <w:cantSplit/>
          <w:tblHeader w:val="false"/>
        </w:trPr>
        <w:tc>
          <w:tcPr>
            <w:tcW w:type="dxa" w:w="1566"/>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10. 보류·거절</w:t>
            </w:r>
          </w:p>
        </w:tc>
        <w:tc>
          <w:tcPr>
            <w:tcW w:type="dxa" w:w="4337"/>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전환 중단 또는 장기 검토</w:t>
            </w:r>
          </w:p>
        </w:tc>
        <w:tc>
          <w:tcPr>
            <w:tcW w:type="dxa" w:w="3735"/>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표준 사유·메모·재접촉 가능일</w:t>
            </w:r>
          </w:p>
        </w:tc>
      </w:tr>
    </w:tbl>
    <w:p>
      <w:pPr>
        <w:spacing w:after="200" w:before="0"/>
      </w:pPr>
    </w:p>
    <w:p>
      <w:pPr>
        <w:keepNext w:val="false"/>
        <w:spacing w:after="130" w:before="60" w:line="310"/>
        <w:jc w:val="both"/>
      </w:pPr>
      <w:r>
        <w:rPr>
          <w:rFonts w:ascii="맑은 고딕" w:cs="맑은 고딕" w:eastAsia="맑은 고딕" w:hAnsi="맑은 고딕"/>
          <w:b w:val="false"/>
          <w:bCs w:val="false"/>
          <w:i w:val="false"/>
          <w:iCs w:val="false"/>
          <w:color w:val="1A1A1A"/>
          <w:sz w:val="20"/>
          <w:szCs w:val="20"/>
        </w:rPr>
        <w:t xml:space="preserve">10단계의 </w:t>
      </w:r>
      <w:r>
        <w:rPr>
          <w:rFonts w:ascii="맑은 고딕" w:cs="맑은 고딕" w:eastAsia="맑은 고딕" w:hAnsi="맑은 고딕"/>
          <w:b/>
          <w:bCs/>
          <w:i w:val="false"/>
          <w:iCs w:val="false"/>
          <w:color w:val="1A1A1A"/>
          <w:sz w:val="20"/>
          <w:szCs w:val="20"/>
        </w:rPr>
        <w:t xml:space="preserve">표준 사유</w:t>
      </w:r>
      <w:r>
        <w:rPr>
          <w:rFonts w:ascii="맑은 고딕" w:cs="맑은 고딕" w:eastAsia="맑은 고딕" w:hAnsi="맑은 고딕"/>
          <w:b w:val="false"/>
          <w:bCs w:val="false"/>
          <w:i w:val="false"/>
          <w:iCs w:val="false"/>
          <w:color w:val="1A1A1A"/>
          <w:sz w:val="20"/>
          <w:szCs w:val="20"/>
        </w:rPr>
        <w:t xml:space="preserve"> 기록이 학습 구조(4.4)의 원료입니다. 가격·대출·가족 협의·경쟁 현장·일정 등 표준 항목으로 기록된 거절 사유는 개인의 인상이 아니라 조직의 데이터가 되어 다음 콘텐츠와 상담 전략에 반영됩니다.</w:t>
      </w:r>
    </w:p>
    <w:p>
      <w:pPr>
        <w:pStyle w:val="Heading2"/>
        <w:keepNext/>
        <w:spacing w:after="140" w:before="300"/>
      </w:pPr>
      <w:r>
        <w:rPr>
          <w:rFonts w:ascii="맑은 고딕" w:cs="맑은 고딕" w:eastAsia="맑은 고딕" w:hAnsi="맑은 고딕"/>
          <w:b/>
          <w:bCs/>
          <w:color w:val="1A1A1A"/>
          <w:sz w:val="23"/>
          <w:szCs w:val="23"/>
        </w:rPr>
        <w:t xml:space="preserve">9.3 배정·연락지연·후속 관리</w:t>
      </w:r>
    </w:p>
    <w:p>
      <w:pPr>
        <w:keepNext w:val="false"/>
        <w:spacing w:after="130" w:before="60" w:line="310"/>
        <w:jc w:val="both"/>
      </w:pPr>
      <w:r>
        <w:rPr>
          <w:rFonts w:ascii="맑은 고딕" w:cs="맑은 고딕" w:eastAsia="맑은 고딕" w:hAnsi="맑은 고딕"/>
          <w:b/>
          <w:bCs/>
          <w:i w:val="false"/>
          <w:iCs w:val="false"/>
          <w:color w:val="1A1A1A"/>
          <w:sz w:val="20"/>
          <w:szCs w:val="20"/>
        </w:rPr>
        <w:t xml:space="preserve">배정.</w:t>
      </w:r>
      <w:r>
        <w:rPr>
          <w:rFonts w:ascii="맑은 고딕" w:cs="맑은 고딕" w:eastAsia="맑은 고딕" w:hAnsi="맑은 고딕"/>
          <w:b w:val="false"/>
          <w:bCs w:val="false"/>
          <w:i w:val="false"/>
          <w:iCs w:val="false"/>
          <w:color w:val="1A1A1A"/>
          <w:sz w:val="20"/>
          <w:szCs w:val="20"/>
        </w:rPr>
        <w:t xml:space="preserve"> 팀·담당자·근무 상태·순번·캠페인에 따른 규칙 기반 배정을 적용합니다. 신규 DB는 실시간으로 담당자에게 알림되며 배정 이력이 저장됩니다.</w:t>
      </w:r>
    </w:p>
    <w:p>
      <w:pPr>
        <w:keepNext w:val="false"/>
        <w:spacing w:after="130" w:before="60" w:line="310"/>
        <w:jc w:val="both"/>
      </w:pPr>
      <w:r>
        <w:rPr>
          <w:rFonts w:ascii="맑은 고딕" w:cs="맑은 고딕" w:eastAsia="맑은 고딕" w:hAnsi="맑은 고딕"/>
          <w:b/>
          <w:bCs/>
          <w:i w:val="false"/>
          <w:iCs w:val="false"/>
          <w:color w:val="1A1A1A"/>
          <w:sz w:val="20"/>
          <w:szCs w:val="20"/>
        </w:rPr>
        <w:t xml:space="preserve">연락지연 관리.</w:t>
      </w:r>
      <w:r>
        <w:rPr>
          <w:rFonts w:ascii="맑은 고딕" w:cs="맑은 고딕" w:eastAsia="맑은 고딕" w:hAnsi="맑은 고딕"/>
          <w:b w:val="false"/>
          <w:bCs w:val="false"/>
          <w:i w:val="false"/>
          <w:iCs w:val="false"/>
          <w:color w:val="1A1A1A"/>
          <w:sz w:val="20"/>
          <w:szCs w:val="20"/>
        </w:rPr>
        <w:t xml:space="preserve"> 최초 연락 기준시간은 현장 근무 체계와 고객 유입 시간을 고려하여 계약 시 확정합니다. 기준 초과 시 담당자와 관리자에게 단계별 알림이 발송되고, 재배정 또는 관리자 개입 규칙을 설정할 수 있습니다.</w:t>
      </w:r>
    </w:p>
    <w:p>
      <w:pPr>
        <w:keepNext/>
        <w:spacing w:after="90" w:before="220"/>
      </w:pPr>
      <w:r>
        <w:rPr>
          <w:rFonts w:ascii="맑은 고딕" w:cs="맑은 고딕" w:eastAsia="맑은 고딕" w:hAnsi="맑은 고딕"/>
          <w:b/>
          <w:bCs/>
          <w:color w:val="1F3864"/>
          <w:sz w:val="18"/>
          <w:szCs w:val="18"/>
        </w:rPr>
        <w:t xml:space="preserve">[표 9-3] 연락 및 후속관리 기준 (예시)</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52"/>
        <w:gridCol w:w="3961"/>
        <w:gridCol w:w="4225"/>
      </w:tblGrid>
      <w:tr>
        <w:trPr>
          <w:cantSplit/>
          <w:tblHeader/>
        </w:trPr>
        <w:tc>
          <w:tcPr>
            <w:tcW w:type="dxa" w:w="1452"/>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관리 항목</w:t>
            </w:r>
          </w:p>
        </w:tc>
        <w:tc>
          <w:tcPr>
            <w:tcW w:type="dxa" w:w="3961"/>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기준</w:t>
            </w:r>
          </w:p>
        </w:tc>
        <w:tc>
          <w:tcPr>
            <w:tcW w:type="dxa" w:w="4225"/>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관리 조치</w:t>
            </w:r>
          </w:p>
        </w:tc>
      </w:tr>
      <w:tr>
        <w:trPr>
          <w:cantSplit/>
          <w:tblHeader w:val="false"/>
        </w:trPr>
        <w:tc>
          <w:tcPr>
            <w:tcW w:type="dxa" w:w="1452"/>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최초 배정</w:t>
            </w:r>
          </w:p>
        </w:tc>
        <w:tc>
          <w:tcPr>
            <w:tcW w:type="dxa" w:w="396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유입 즉시 또는 규칙 실행 후</w:t>
            </w:r>
          </w:p>
        </w:tc>
        <w:tc>
          <w:tcPr>
            <w:tcW w:type="dxa" w:w="4225"/>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담당자 알림, 배정 이력 저장</w:t>
            </w:r>
          </w:p>
        </w:tc>
      </w:tr>
      <w:tr>
        <w:trPr>
          <w:cantSplit/>
          <w:tblHeader w:val="false"/>
        </w:trPr>
        <w:tc>
          <w:tcPr>
            <w:tcW w:type="dxa" w:w="1452"/>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최초 연락</w:t>
            </w:r>
          </w:p>
        </w:tc>
        <w:tc>
          <w:tcPr>
            <w:tcW w:type="dxa" w:w="3961"/>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현장 합의 시간 이내</w:t>
            </w:r>
          </w:p>
        </w:tc>
        <w:tc>
          <w:tcPr>
            <w:tcW w:type="dxa" w:w="4225"/>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지연 알림, 관리자 대시보드 표시</w:t>
            </w:r>
          </w:p>
        </w:tc>
      </w:tr>
      <w:tr>
        <w:trPr>
          <w:cantSplit/>
          <w:tblHeader w:val="false"/>
        </w:trPr>
        <w:tc>
          <w:tcPr>
            <w:tcW w:type="dxa" w:w="1452"/>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연락 실패</w:t>
            </w:r>
          </w:p>
        </w:tc>
        <w:tc>
          <w:tcPr>
            <w:tcW w:type="dxa" w:w="396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표준 횟수·시간대별 시도</w:t>
            </w:r>
          </w:p>
        </w:tc>
        <w:tc>
          <w:tcPr>
            <w:tcW w:type="dxa" w:w="4225"/>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다음 연락 예약, 후속 메시지 보조</w:t>
            </w:r>
          </w:p>
        </w:tc>
      </w:tr>
      <w:tr>
        <w:trPr>
          <w:cantSplit/>
          <w:tblHeader w:val="false"/>
        </w:trPr>
        <w:tc>
          <w:tcPr>
            <w:tcW w:type="dxa" w:w="1452"/>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고감도 고객</w:t>
            </w:r>
          </w:p>
        </w:tc>
        <w:tc>
          <w:tcPr>
            <w:tcW w:type="dxa" w:w="3961"/>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일반 고객보다 단축된 후속 시간</w:t>
            </w:r>
          </w:p>
        </w:tc>
        <w:tc>
          <w:tcPr>
            <w:tcW w:type="dxa" w:w="4225"/>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관리자 알림, 방문 자료 자동 준비</w:t>
            </w:r>
          </w:p>
        </w:tc>
      </w:tr>
      <w:tr>
        <w:trPr>
          <w:cantSplit/>
          <w:tblHeader w:val="false"/>
        </w:trPr>
        <w:tc>
          <w:tcPr>
            <w:tcW w:type="dxa" w:w="1452"/>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방문 예정</w:t>
            </w:r>
          </w:p>
        </w:tc>
        <w:tc>
          <w:tcPr>
            <w:tcW w:type="dxa" w:w="396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전일·당일 확인</w:t>
            </w:r>
          </w:p>
        </w:tc>
        <w:tc>
          <w:tcPr>
            <w:tcW w:type="dxa" w:w="4225"/>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참석 확인, 노쇼 사유, 재예약</w:t>
            </w:r>
          </w:p>
        </w:tc>
      </w:tr>
    </w:tbl>
    <w:p>
      <w:pPr>
        <w:spacing w:after="200" w:before="0"/>
      </w:pPr>
    </w:p>
    <w:p>
      <w:pPr>
        <w:keepNext w:val="false"/>
        <w:spacing w:after="160" w:before="20" w:line="310"/>
        <w:jc w:val="left"/>
      </w:pPr>
      <w:r>
        <w:rPr>
          <w:rFonts w:ascii="맑은 고딕" w:cs="맑은 고딕" w:eastAsia="맑은 고딕" w:hAnsi="맑은 고딕"/>
          <w:b w:val="false"/>
          <w:bCs w:val="false"/>
          <w:i/>
          <w:iCs/>
          <w:color w:val="5A5A5A"/>
          <w:sz w:val="17"/>
          <w:szCs w:val="17"/>
        </w:rPr>
        <w:t xml:space="preserve">상기 시간과 횟수는 확정 SLA가 아니며, 현장 근무시간·인력·유입량을 반영하여 계약 또는 운영계획에서 확정합니다.</w:t>
      </w:r>
    </w:p>
    <w:p>
      <w:pPr>
        <w:keepNext w:val="false"/>
        <w:spacing w:after="130" w:before="60" w:line="310"/>
        <w:jc w:val="both"/>
      </w:pPr>
      <w:r>
        <w:rPr>
          <w:rFonts w:ascii="맑은 고딕" w:cs="맑은 고딕" w:eastAsia="맑은 고딕" w:hAnsi="맑은 고딕"/>
          <w:b w:val="false"/>
          <w:bCs w:val="false"/>
          <w:i w:val="false"/>
          <w:iCs w:val="false"/>
          <w:color w:val="1A1A1A"/>
          <w:sz w:val="20"/>
          <w:szCs w:val="20"/>
        </w:rPr>
        <w:t xml:space="preserve">기록 대상은 "연락했음"의 체크가 아니라 </w:t>
      </w:r>
      <w:r>
        <w:rPr>
          <w:rFonts w:ascii="맑은 고딕" w:cs="맑은 고딕" w:eastAsia="맑은 고딕" w:hAnsi="맑은 고딕"/>
          <w:b/>
          <w:bCs/>
          <w:i w:val="false"/>
          <w:iCs w:val="false"/>
          <w:color w:val="1A1A1A"/>
          <w:sz w:val="20"/>
          <w:szCs w:val="20"/>
        </w:rPr>
        <w:t xml:space="preserve">시도 횟수·연결 여부·다음 행동</w:t>
      </w:r>
      <w:r>
        <w:rPr>
          <w:rFonts w:ascii="맑은 고딕" w:cs="맑은 고딕" w:eastAsia="맑은 고딕" w:hAnsi="맑은 고딕"/>
          <w:b w:val="false"/>
          <w:bCs w:val="false"/>
          <w:i w:val="false"/>
          <w:iCs w:val="false"/>
          <w:color w:val="1A1A1A"/>
          <w:sz w:val="20"/>
          <w:szCs w:val="20"/>
        </w:rPr>
        <w:t xml:space="preserve">입니다.</w:t>
      </w:r>
    </w:p>
    <w:p>
      <w:pPr>
        <w:keepNext/>
        <w:spacing w:after="90" w:before="220"/>
      </w:pPr>
      <w:r>
        <w:rPr>
          <w:rFonts w:ascii="맑은 고딕" w:cs="맑은 고딕" w:eastAsia="맑은 고딕" w:hAnsi="맑은 고딕"/>
          <w:b/>
          <w:bCs/>
          <w:color w:val="1F3864"/>
          <w:sz w:val="18"/>
          <w:szCs w:val="18"/>
        </w:rPr>
        <w:t xml:space="preserve">[표 9-4] 관리자 화면의 고객 상태 표시 (예시)</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2238"/>
        <w:gridCol w:w="1013"/>
        <w:gridCol w:w="1537"/>
        <w:gridCol w:w="2413"/>
        <w:gridCol w:w="1537"/>
      </w:tblGrid>
      <w:tr>
        <w:trPr>
          <w:cantSplit/>
          <w:tblHeader/>
        </w:trPr>
        <w:tc>
          <w:tcPr>
            <w:tcW w:type="dxa" w:w="900"/>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고객</w:t>
            </w:r>
          </w:p>
        </w:tc>
        <w:tc>
          <w:tcPr>
            <w:tcW w:type="dxa" w:w="2238"/>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유입 소재</w:t>
            </w:r>
          </w:p>
        </w:tc>
        <w:tc>
          <w:tcPr>
            <w:tcW w:type="dxa" w:w="1013"/>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담당자</w:t>
            </w:r>
          </w:p>
        </w:tc>
        <w:tc>
          <w:tcPr>
            <w:tcW w:type="dxa" w:w="1537"/>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현재 상태</w:t>
            </w:r>
          </w:p>
        </w:tc>
        <w:tc>
          <w:tcPr>
            <w:tcW w:type="dxa" w:w="2413"/>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후속 조치</w:t>
            </w:r>
          </w:p>
        </w:tc>
        <w:tc>
          <w:tcPr>
            <w:tcW w:type="dxa" w:w="1537"/>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지연 여부</w:t>
            </w:r>
          </w:p>
        </w:tc>
      </w:tr>
      <w:tr>
        <w:trPr>
          <w:cantSplit/>
          <w:tblHeader w:val="false"/>
        </w:trP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A</w:t>
            </w:r>
          </w:p>
        </w:tc>
        <w:tc>
          <w:tcPr>
            <w:tcW w:type="dxa" w:w="223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가격 비교형</w:t>
            </w:r>
          </w:p>
        </w:tc>
        <w:tc>
          <w:tcPr>
            <w:tcW w:type="dxa" w:w="101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담당 1</w:t>
            </w:r>
          </w:p>
        </w:tc>
        <w:tc>
          <w:tcPr>
            <w:tcW w:type="dxa" w:w="153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상담 완료</w:t>
            </w:r>
          </w:p>
        </w:tc>
        <w:tc>
          <w:tcPr>
            <w:tcW w:type="dxa" w:w="241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방문 일정 확인</w:t>
            </w:r>
          </w:p>
        </w:tc>
        <w:tc>
          <w:tcPr>
            <w:tcW w:type="dxa" w:w="153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정상</w:t>
            </w:r>
          </w:p>
        </w:tc>
      </w:tr>
      <w:tr>
        <w:trPr>
          <w:cantSplit/>
          <w:tblHeader w:val="false"/>
        </w:trPr>
        <w:tc>
          <w:tcPr>
            <w:tcW w:type="dxa" w:w="90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B</w:t>
            </w:r>
          </w:p>
        </w:tc>
        <w:tc>
          <w:tcPr>
            <w:tcW w:type="dxa" w:w="2238"/>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교통 분석형</w:t>
            </w:r>
          </w:p>
        </w:tc>
        <w:tc>
          <w:tcPr>
            <w:tcW w:type="dxa" w:w="1013"/>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담당 2</w:t>
            </w:r>
          </w:p>
        </w:tc>
        <w:tc>
          <w:tcPr>
            <w:tcW w:type="dxa" w:w="1537"/>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미연락</w:t>
            </w:r>
          </w:p>
        </w:tc>
        <w:tc>
          <w:tcPr>
            <w:tcW w:type="dxa" w:w="2413"/>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즉시 연락</w:t>
            </w:r>
          </w:p>
        </w:tc>
        <w:tc>
          <w:tcPr>
            <w:tcW w:type="dxa" w:w="1537"/>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지연</w:t>
            </w:r>
          </w:p>
        </w:tc>
      </w:tr>
      <w:tr>
        <w:trPr>
          <w:cantSplit/>
          <w:tblHeader w:val="false"/>
        </w:trP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C</w:t>
            </w:r>
          </w:p>
        </w:tc>
        <w:tc>
          <w:tcPr>
            <w:tcW w:type="dxa" w:w="223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공급 리스크형</w:t>
            </w:r>
          </w:p>
        </w:tc>
        <w:tc>
          <w:tcPr>
            <w:tcW w:type="dxa" w:w="101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담당 3</w:t>
            </w:r>
          </w:p>
        </w:tc>
        <w:tc>
          <w:tcPr>
            <w:tcW w:type="dxa" w:w="153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방문 예정</w:t>
            </w:r>
          </w:p>
        </w:tc>
        <w:tc>
          <w:tcPr>
            <w:tcW w:type="dxa" w:w="241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리마인드 발송</w:t>
            </w:r>
          </w:p>
        </w:tc>
        <w:tc>
          <w:tcPr>
            <w:tcW w:type="dxa" w:w="153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정상</w:t>
            </w:r>
          </w:p>
        </w:tc>
      </w:tr>
      <w:tr>
        <w:trPr>
          <w:cantSplit/>
          <w:tblHeader w:val="false"/>
        </w:trPr>
        <w:tc>
          <w:tcPr>
            <w:tcW w:type="dxa" w:w="90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D</w:t>
            </w:r>
          </w:p>
        </w:tc>
        <w:tc>
          <w:tcPr>
            <w:tcW w:type="dxa" w:w="2238"/>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현장 영상형</w:t>
            </w:r>
          </w:p>
        </w:tc>
        <w:tc>
          <w:tcPr>
            <w:tcW w:type="dxa" w:w="1013"/>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담당 1</w:t>
            </w:r>
          </w:p>
        </w:tc>
        <w:tc>
          <w:tcPr>
            <w:tcW w:type="dxa" w:w="1537"/>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계약 검토</w:t>
            </w:r>
          </w:p>
        </w:tc>
        <w:tc>
          <w:tcPr>
            <w:tcW w:type="dxa" w:w="2413"/>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반론 자료 전달</w:t>
            </w:r>
          </w:p>
        </w:tc>
        <w:tc>
          <w:tcPr>
            <w:tcW w:type="dxa" w:w="1537"/>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정상</w:t>
            </w:r>
          </w:p>
        </w:tc>
      </w:tr>
    </w:tbl>
    <w:p>
      <w:pPr>
        <w:spacing w:after="200" w:before="0"/>
      </w:pPr>
    </w:p>
    <w:p>
      <w:pPr>
        <w:keepNext w:val="false"/>
        <w:spacing w:after="130" w:before="60" w:line="310"/>
        <w:jc w:val="both"/>
      </w:pPr>
      <w:r>
        <w:rPr>
          <w:rFonts w:ascii="맑은 고딕" w:cs="맑은 고딕" w:eastAsia="맑은 고딕" w:hAnsi="맑은 고딕"/>
          <w:b w:val="false"/>
          <w:bCs w:val="false"/>
          <w:i w:val="false"/>
          <w:iCs w:val="false"/>
          <w:color w:val="1A1A1A"/>
          <w:sz w:val="20"/>
          <w:szCs w:val="20"/>
        </w:rPr>
        <w:t xml:space="preserve">"유입 소재" 열이 이 화면의 핵심입니다. 고객 B가 교통 분석형 소재로 유입됐다는 정보가 보존되므로, 담당자는 해당 고객의 관심 축을 파악한 상태로 연락하고, 관리자는 소재별 전환 성과를 계약까지 추적할 수 있습니다. </w:t>
      </w:r>
      <w:r>
        <w:rPr>
          <w:rFonts w:ascii="맑은 고딕" w:cs="맑은 고딕" w:eastAsia="맑은 고딕" w:hAnsi="맑은 고딕"/>
          <w:b/>
          <w:bCs/>
          <w:i w:val="false"/>
          <w:iCs w:val="false"/>
          <w:color w:val="1A1A1A"/>
          <w:sz w:val="20"/>
          <w:szCs w:val="20"/>
        </w:rPr>
        <w:t xml:space="preserve">광고와 상담이 동일한 데이터 위에서 만나는 지점</w:t>
      </w:r>
      <w:r>
        <w:rPr>
          <w:rFonts w:ascii="맑은 고딕" w:cs="맑은 고딕" w:eastAsia="맑은 고딕" w:hAnsi="맑은 고딕"/>
          <w:b w:val="false"/>
          <w:bCs w:val="false"/>
          <w:i w:val="false"/>
          <w:iCs w:val="false"/>
          <w:color w:val="1A1A1A"/>
          <w:sz w:val="20"/>
          <w:szCs w:val="20"/>
        </w:rPr>
        <w:t xml:space="preserve">입니다.</w:t>
      </w:r>
    </w:p>
    <w:p>
      <w:pPr>
        <w:pStyle w:val="Heading2"/>
        <w:keepNext/>
        <w:spacing w:after="140" w:before="300"/>
      </w:pPr>
      <w:r>
        <w:rPr>
          <w:rFonts w:ascii="맑은 고딕" w:cs="맑은 고딕" w:eastAsia="맑은 고딕" w:hAnsi="맑은 고딕"/>
          <w:b/>
          <w:bCs/>
          <w:color w:val="1A1A1A"/>
          <w:sz w:val="23"/>
          <w:szCs w:val="23"/>
        </w:rPr>
        <w:t xml:space="preserve">9.4 관리자 대시보드</w:t>
      </w:r>
    </w:p>
    <w:p>
      <w:pPr>
        <w:keepNext/>
        <w:spacing w:after="90" w:before="220"/>
      </w:pPr>
      <w:r>
        <w:rPr>
          <w:rFonts w:ascii="맑은 고딕" w:cs="맑은 고딕" w:eastAsia="맑은 고딕" w:hAnsi="맑은 고딕"/>
          <w:b/>
          <w:bCs/>
          <w:color w:val="1F3864"/>
          <w:sz w:val="18"/>
          <w:szCs w:val="18"/>
        </w:rPr>
        <w:t xml:space="preserve">[표 9-5] 본부장·총괄 확인 정보</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7838"/>
      </w:tblGrid>
      <w:tr>
        <w:trPr>
          <w:cantSplit/>
          <w:tblHeader/>
        </w:trPr>
        <w:tc>
          <w:tcPr>
            <w:tcW w:type="dxa" w:w="1800"/>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영역</w:t>
            </w:r>
          </w:p>
        </w:tc>
        <w:tc>
          <w:tcPr>
            <w:tcW w:type="dxa" w:w="7838"/>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확인 항목</w:t>
            </w:r>
          </w:p>
        </w:tc>
      </w:tr>
      <w:tr>
        <w:trPr>
          <w:cantSplit/>
          <w:tblHeader w:val="false"/>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고객 현황</w:t>
            </w:r>
          </w:p>
        </w:tc>
        <w:tc>
          <w:tcPr>
            <w:tcW w:type="dxa" w:w="783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전체·신규·미연락·연락지연·상담완료·고감도·방문예정·방문완료·계약검토·계약완료</w:t>
            </w:r>
          </w:p>
        </w:tc>
      </w:tr>
      <w:tr>
        <w:trPr>
          <w:cantSplit/>
          <w:tblHeader w:val="false"/>
        </w:trPr>
        <w:tc>
          <w:tcPr>
            <w:tcW w:type="dxa" w:w="180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담당자 현황</w:t>
            </w:r>
          </w:p>
        </w:tc>
        <w:tc>
          <w:tcPr>
            <w:tcW w:type="dxa" w:w="7838"/>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배정 건수, 최초 연락시간, 상담완료율, 방문예약률, 실방문률, 업데이트 지연</w:t>
            </w:r>
          </w:p>
        </w:tc>
      </w:tr>
      <w:tr>
        <w:trPr>
          <w:cantSplit/>
          <w:tblHeader w:val="false"/>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캠페인 현황</w:t>
            </w:r>
          </w:p>
        </w:tc>
        <w:tc>
          <w:tcPr>
            <w:tcW w:type="dxa" w:w="783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매체·캠페인·소재별 DB·유효 DB·상담·방문·계약</w:t>
            </w:r>
          </w:p>
        </w:tc>
      </w:tr>
      <w:tr>
        <w:trPr>
          <w:cantSplit/>
          <w:tblHeader w:val="false"/>
        </w:trPr>
        <w:tc>
          <w:tcPr>
            <w:tcW w:type="dxa" w:w="180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병목 현황</w:t>
            </w:r>
          </w:p>
        </w:tc>
        <w:tc>
          <w:tcPr>
            <w:tcW w:type="dxa" w:w="7838"/>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중복, 연락 실패, 가격 거절, 가족 협의, 대출, 경쟁 현장, 노쇼</w:t>
            </w:r>
          </w:p>
        </w:tc>
      </w:tr>
      <w:tr>
        <w:trPr>
          <w:cantSplit/>
          <w:tblHeader w:val="false"/>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일정 현황</w:t>
            </w:r>
          </w:p>
        </w:tc>
        <w:tc>
          <w:tcPr>
            <w:tcW w:type="dxa" w:w="783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오늘·주간 방문, 담당자별 일정, 미확인·재예약</w:t>
            </w:r>
          </w:p>
        </w:tc>
      </w:tr>
      <w:tr>
        <w:trPr>
          <w:cantSplit/>
          <w:tblHeader w:val="false"/>
        </w:trPr>
        <w:tc>
          <w:tcPr>
            <w:tcW w:type="dxa" w:w="180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운영 알림</w:t>
            </w:r>
          </w:p>
        </w:tc>
        <w:tc>
          <w:tcPr>
            <w:tcW w:type="dxa" w:w="7838"/>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미연락·지연, 장기 미갱신, 고감도 후속 누락, 상태 미입력, 예산 이상</w:t>
            </w:r>
          </w:p>
        </w:tc>
      </w:tr>
    </w:tbl>
    <w:p>
      <w:pPr>
        <w:spacing w:after="200" w:before="0"/>
      </w:pPr>
    </w:p>
    <w:p>
      <w:pPr>
        <w:keepNext w:val="false"/>
        <w:spacing w:after="130" w:before="60" w:line="310"/>
        <w:jc w:val="both"/>
      </w:pPr>
      <w:r>
        <w:rPr>
          <w:rFonts w:ascii="맑은 고딕" w:cs="맑은 고딕" w:eastAsia="맑은 고딕" w:hAnsi="맑은 고딕"/>
          <w:b w:val="false"/>
          <w:bCs w:val="false"/>
          <w:i w:val="false"/>
          <w:iCs w:val="false"/>
          <w:color w:val="1A1A1A"/>
          <w:sz w:val="20"/>
          <w:szCs w:val="20"/>
        </w:rPr>
        <w:t xml:space="preserve">대시보드의 의미는 정보량이 아니라 </w:t>
      </w:r>
      <w:r>
        <w:rPr>
          <w:rFonts w:ascii="맑은 고딕" w:cs="맑은 고딕" w:eastAsia="맑은 고딕" w:hAnsi="맑은 고딕"/>
          <w:b/>
          <w:bCs/>
          <w:i w:val="false"/>
          <w:iCs w:val="false"/>
          <w:color w:val="1A1A1A"/>
          <w:sz w:val="20"/>
          <w:szCs w:val="20"/>
        </w:rPr>
        <w:t xml:space="preserve">질문의 즉답성</w:t>
      </w:r>
      <w:r>
        <w:rPr>
          <w:rFonts w:ascii="맑은 고딕" w:cs="맑은 고딕" w:eastAsia="맑은 고딕" w:hAnsi="맑은 고딕"/>
          <w:b w:val="false"/>
          <w:bCs w:val="false"/>
          <w:i w:val="false"/>
          <w:iCs w:val="false"/>
          <w:color w:val="1A1A1A"/>
          <w:sz w:val="20"/>
          <w:szCs w:val="20"/>
        </w:rPr>
        <w:t xml:space="preserve">입니다. "이번 주 방문 몇 건인가", "미연락 고객이 몇 명인가", "어느 소재에서 계약이 발생했는가" 등 별도 보고를 요청해야 답을 얻던 질문이 상시 조회로 전환됩니다.</w:t>
      </w:r>
    </w:p>
    <w:p>
      <w:pPr>
        <w:pStyle w:val="Heading2"/>
        <w:keepNext/>
        <w:spacing w:after="140" w:before="300"/>
      </w:pPr>
      <w:r>
        <w:rPr>
          <w:rFonts w:ascii="맑은 고딕" w:cs="맑은 고딕" w:eastAsia="맑은 고딕" w:hAnsi="맑은 고딕"/>
          <w:b/>
          <w:bCs/>
          <w:color w:val="1A1A1A"/>
          <w:sz w:val="23"/>
          <w:szCs w:val="23"/>
        </w:rPr>
        <w:t xml:space="preserve">9.5 제공 조건과 운영 전제</w:t>
      </w:r>
    </w:p>
    <w:p>
      <w:pPr>
        <w:keepNext w:val="false"/>
        <w:spacing w:after="130" w:before="60" w:line="310"/>
        <w:jc w:val="both"/>
      </w:pPr>
      <w:r>
        <w:rPr>
          <w:rFonts w:ascii="맑은 고딕" w:cs="맑은 고딕" w:eastAsia="맑은 고딕" w:hAnsi="맑은 고딕"/>
          <w:b w:val="false"/>
          <w:bCs w:val="false"/>
          <w:i w:val="false"/>
          <w:iCs w:val="false"/>
          <w:color w:val="1A1A1A"/>
          <w:sz w:val="20"/>
          <w:szCs w:val="20"/>
        </w:rPr>
        <w:t xml:space="preserve">업무툴은 광고 운영 현장에 대해 계약된 기간과 범위 안에서 </w:t>
      </w:r>
      <w:r>
        <w:rPr>
          <w:rFonts w:ascii="맑은 고딕" w:cs="맑은 고딕" w:eastAsia="맑은 고딕" w:hAnsi="맑은 고딕"/>
          <w:b/>
          <w:bCs/>
          <w:i w:val="false"/>
          <w:iCs w:val="false"/>
          <w:color w:val="1A1A1A"/>
          <w:sz w:val="20"/>
          <w:szCs w:val="20"/>
        </w:rPr>
        <w:t xml:space="preserve">별도 라이선스비 없이 제공</w:t>
      </w:r>
      <w:r>
        <w:rPr>
          <w:rFonts w:ascii="맑은 고딕" w:cs="맑은 고딕" w:eastAsia="맑은 고딕" w:hAnsi="맑은 고딕"/>
          <w:b w:val="false"/>
          <w:bCs w:val="false"/>
          <w:i w:val="false"/>
          <w:iCs w:val="false"/>
          <w:color w:val="1A1A1A"/>
          <w:sz w:val="20"/>
          <w:szCs w:val="20"/>
        </w:rPr>
        <w:t xml:space="preserve">하는 것을 표준 원칙으로 합니다(현장 1개 기준). 사용자 수, 계정 권한, 장기 보관, 종료 후 내보내기, 외부 CRM 연동, 추가 개발, 지원 범위는 계약 전에 확정합니다. 종료 후 데이터의 반환·삭제·보존은 개인정보 처리위탁 계약과 현장 정책에 따릅니다(제14장).</w:t>
      </w:r>
    </w:p>
    <w:p>
      <w:pPr>
        <w:keepNext w:val="false"/>
        <w:spacing w:after="130" w:before="60" w:line="310"/>
        <w:jc w:val="both"/>
      </w:pPr>
      <w:r>
        <w:rPr>
          <w:rFonts w:ascii="맑은 고딕" w:cs="맑은 고딕" w:eastAsia="맑은 고딕" w:hAnsi="맑은 고딕"/>
          <w:b w:val="false"/>
          <w:bCs w:val="false"/>
          <w:i w:val="false"/>
          <w:iCs w:val="false"/>
          <w:color w:val="1A1A1A"/>
          <w:sz w:val="20"/>
          <w:szCs w:val="20"/>
        </w:rPr>
        <w:t xml:space="preserve">한 가지 운영 전제를 명시합니다. </w:t>
      </w:r>
      <w:r>
        <w:rPr>
          <w:rFonts w:ascii="맑은 고딕" w:cs="맑은 고딕" w:eastAsia="맑은 고딕" w:hAnsi="맑은 고딕"/>
          <w:b/>
          <w:bCs/>
          <w:i w:val="false"/>
          <w:iCs w:val="false"/>
          <w:color w:val="1A1A1A"/>
          <w:sz w:val="20"/>
          <w:szCs w:val="20"/>
        </w:rPr>
        <w:t xml:space="preserve">현장 담당자가 상담·방문·계약 상태를 입력하지 않으면 광고별 계약 연결 분석은 제한됩니다.</w:t>
      </w:r>
      <w:r>
        <w:rPr>
          <w:rFonts w:ascii="맑은 고딕" w:cs="맑은 고딕" w:eastAsia="맑은 고딕" w:hAnsi="맑은 고딕"/>
          <w:b w:val="false"/>
          <w:bCs w:val="false"/>
          <w:i w:val="false"/>
          <w:iCs w:val="false"/>
          <w:color w:val="1A1A1A"/>
          <w:sz w:val="20"/>
          <w:szCs w:val="20"/>
        </w:rPr>
        <w:t xml:space="preserve"> 업무툴은 입력을 간소화하고 누락을 알림으로 관리하지만, 입력 자체를 대신할 수는 없습니다. 이 때문에 착수 시 현장 운영 책임(담당자 입력 의무, 본부 점검 체계)을 역할 분담으로 합의합니다(제14장).</w:t>
      </w:r>
    </w:p>
    <w:p>
      <w:pPr>
        <w:pStyle w:val="Heading2"/>
        <w:keepNext/>
        <w:spacing w:after="140" w:before="300"/>
      </w:pPr>
      <w:r>
        <w:rPr>
          <w:rFonts w:ascii="맑은 고딕" w:cs="맑은 고딕" w:eastAsia="맑은 고딕" w:hAnsi="맑은 고딕"/>
          <w:b/>
          <w:bCs/>
          <w:color w:val="1A1A1A"/>
          <w:sz w:val="23"/>
          <w:szCs w:val="23"/>
        </w:rPr>
        <w:t xml:space="preserve">9.6 소결</w:t>
      </w:r>
    </w:p>
    <w:p>
      <w:pPr>
        <w:keepNext w:val="false"/>
        <w:spacing w:after="130" w:before="60" w:line="310"/>
        <w:jc w:val="both"/>
      </w:pPr>
      <w:r>
        <w:rPr>
          <w:rFonts w:ascii="맑은 고딕" w:cs="맑은 고딕" w:eastAsia="맑은 고딕" w:hAnsi="맑은 고딕"/>
          <w:b w:val="false"/>
          <w:bCs w:val="false"/>
          <w:i w:val="false"/>
          <w:iCs w:val="false"/>
          <w:color w:val="1A1A1A"/>
          <w:sz w:val="20"/>
          <w:szCs w:val="20"/>
        </w:rPr>
        <w:t xml:space="preserve">업무툴은 단순 도구가 아니라 운영 계약의 실행 장치입니다.</w:t>
      </w:r>
    </w:p>
    <w:p>
      <w:pPr>
        <w:keepNext w:val="false"/>
        <w:spacing w:after="130" w:before="60" w:line="310"/>
        <w:jc w:val="both"/>
      </w:pPr>
      <w:r>
        <w:rPr>
          <w:rFonts w:ascii="맑은 고딕" w:cs="맑은 고딕" w:eastAsia="맑은 고딕" w:hAnsi="맑은 고딕"/>
          <w:b w:val="false"/>
          <w:bCs w:val="false"/>
          <w:i w:val="false"/>
          <w:iCs w:val="false"/>
          <w:color w:val="1A1A1A"/>
          <w:sz w:val="20"/>
          <w:szCs w:val="20"/>
        </w:rPr>
        <w:t xml:space="preserve">광고 유입 정보(제8장)와 현장 처리 기록이 이 지점에서 결합되며, 현장의 입력 책임이 이행될 때 광고-계약 연결 분석이 완성됩니다. 그 측정 체계가 제10장의 주제입니다.</w:t>
      </w:r>
    </w:p>
    <w:p>
      <w:pPr>
        <w:pStyle w:val="Heading1"/>
        <w:pageBreakBefore/>
        <w:pBdr>
          <w:bottom w:val="single" w:color="1F3864" w:sz="10" w:space="8"/>
        </w:pBdr>
        <w:spacing w:after="240" w:before="0"/>
      </w:pPr>
      <w:r>
        <w:rPr>
          <w:rFonts w:ascii="맑은 고딕" w:cs="맑은 고딕" w:eastAsia="맑은 고딕" w:hAnsi="맑은 고딕"/>
          <w:b/>
          <w:bCs/>
          <w:color w:val="1F3864"/>
          <w:sz w:val="30"/>
          <w:szCs w:val="30"/>
        </w:rPr>
        <w:t xml:space="preserve">제10장. 성과 측정</w:t>
      </w:r>
    </w:p>
    <w:p>
      <w:pPr>
        <w:keepNext w:val="false"/>
        <w:spacing w:after="130" w:before="60" w:line="310"/>
        <w:jc w:val="both"/>
      </w:pPr>
      <w:r>
        <w:rPr>
          <w:rFonts w:ascii="맑은 고딕" w:cs="맑은 고딕" w:eastAsia="맑은 고딕" w:hAnsi="맑은 고딕"/>
          <w:b/>
          <w:bCs/>
          <w:i w:val="false"/>
          <w:iCs w:val="false"/>
          <w:color w:val="1A1A1A"/>
          <w:sz w:val="20"/>
          <w:szCs w:val="20"/>
        </w:rPr>
        <w:t xml:space="preserve">헤드라인.</w:t>
      </w:r>
      <w:r>
        <w:rPr>
          <w:rFonts w:ascii="맑은 고딕" w:cs="맑은 고딕" w:eastAsia="맑은 고딕" w:hAnsi="맑은 고딕"/>
          <w:b w:val="false"/>
          <w:bCs w:val="false"/>
          <w:i w:val="false"/>
          <w:iCs w:val="false"/>
          <w:color w:val="1A1A1A"/>
          <w:sz w:val="20"/>
          <w:szCs w:val="20"/>
        </w:rPr>
        <w:t xml:space="preserve"> 성과는 DB 단가가 아니라 전체 퍼널로, 사전에 합의된 정의로 측정합니다.</w:t>
      </w:r>
    </w:p>
    <w:p>
      <w:pPr>
        <w:keepNext/>
        <w:spacing w:after="90" w:before="220"/>
      </w:pPr>
      <w:r>
        <w:rPr>
          <w:rFonts w:ascii="맑은 고딕" w:cs="맑은 고딕" w:eastAsia="맑은 고딕" w:hAnsi="맑은 고딕"/>
          <w:b/>
          <w:bCs/>
          <w:color w:val="1F3864"/>
          <w:sz w:val="18"/>
          <w:szCs w:val="18"/>
        </w:rPr>
        <w:t xml:space="preserve">[표 10-1] 장 요약</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7838"/>
      </w:tblGrid>
      <w:tr>
        <w:trPr>
          <w:cantSplit/>
          <w:tblHeader/>
        </w:trPr>
        <w:tc>
          <w:tcPr>
            <w:tcW w:type="dxa" w:w="1800"/>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구분</w:t>
            </w:r>
          </w:p>
        </w:tc>
        <w:tc>
          <w:tcPr>
            <w:tcW w:type="dxa" w:w="7838"/>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내용</w:t>
            </w:r>
          </w:p>
        </w:tc>
      </w:tr>
      <w:tr>
        <w:trPr>
          <w:cantSplit/>
          <w:tblHeader w:val="false"/>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문제 (Problem)</w:t>
            </w:r>
          </w:p>
        </w:tc>
        <w:tc>
          <w:tcPr>
            <w:tcW w:type="dxa" w:w="783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지표 정의가 통일되지 않으면 동일한 숫자를 두고 해석이 갈리고, 성과 보고를 검증할 수 없다</w:t>
            </w:r>
          </w:p>
        </w:tc>
      </w:tr>
      <w:tr>
        <w:trPr>
          <w:cantSplit/>
          <w:tblHeader w:val="false"/>
        </w:trPr>
        <w:tc>
          <w:tcPr>
            <w:tcW w:type="dxa" w:w="180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원인 (Reason)</w:t>
            </w:r>
          </w:p>
        </w:tc>
        <w:tc>
          <w:tcPr>
            <w:tcW w:type="dxa" w:w="7838"/>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유효 DB·상담 완료·방문 확인의 기준이 주체마다 다르고, 성과가 단일 DB 단가로 일괄 평가되기 때문이다</w:t>
            </w:r>
          </w:p>
        </w:tc>
      </w:tr>
      <w:tr>
        <w:trPr>
          <w:cantSplit/>
          <w:tblHeader w:val="false"/>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방법 (Method)</w:t>
            </w:r>
          </w:p>
        </w:tc>
        <w:tc>
          <w:tcPr>
            <w:tcW w:type="dxa" w:w="783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KPI 표준 정의의 사전 합의(10.2), 8영역 지표 체계(10.3), 기준선 측정(10.4), 병목 진단 표준(10.5)을 운영한다</w:t>
            </w:r>
          </w:p>
        </w:tc>
      </w:tr>
      <w:tr>
        <w:trPr>
          <w:cantSplit/>
          <w:tblHeader w:val="false"/>
        </w:trPr>
        <w:tc>
          <w:tcPr>
            <w:tcW w:type="dxa" w:w="180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기대 효과 (Effect)</w:t>
            </w:r>
          </w:p>
        </w:tc>
        <w:tc>
          <w:tcPr>
            <w:tcW w:type="dxa" w:w="7838"/>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성과 판정이 원천 데이터로 검증 가능해지고, 병목별 개선이 데이터로 결정된다</w:t>
            </w:r>
          </w:p>
        </w:tc>
      </w:tr>
    </w:tbl>
    <w:p>
      <w:pPr>
        <w:spacing w:after="200" w:before="0"/>
      </w:pPr>
    </w:p>
    <w:p>
      <w:pPr>
        <w:pStyle w:val="Heading2"/>
        <w:keepNext/>
        <w:spacing w:after="140" w:before="300"/>
      </w:pPr>
      <w:r>
        <w:rPr>
          <w:rFonts w:ascii="맑은 고딕" w:cs="맑은 고딕" w:eastAsia="맑은 고딕" w:hAnsi="맑은 고딕"/>
          <w:b/>
          <w:bCs/>
          <w:color w:val="1A1A1A"/>
          <w:sz w:val="23"/>
          <w:szCs w:val="23"/>
        </w:rPr>
        <w:t xml:space="preserve">10.1 측정 기본원칙</w:t>
      </w:r>
    </w:p>
    <w:p>
      <w:pPr>
        <w:keepNext/>
        <w:spacing w:after="90" w:before="220"/>
      </w:pPr>
      <w:r>
        <w:rPr>
          <w:rFonts w:ascii="맑은 고딕" w:cs="맑은 고딕" w:eastAsia="맑은 고딕" w:hAnsi="맑은 고딕"/>
          <w:b/>
          <w:bCs/>
          <w:color w:val="1F3864"/>
          <w:sz w:val="18"/>
          <w:szCs w:val="18"/>
        </w:rPr>
        <w:t xml:space="preserve">[표 10-2] 성과 측정의 네 가지 원칙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7838"/>
      </w:tblGrid>
      <w:tr>
        <w:trPr>
          <w:cantSplit/>
          <w:tblHeader/>
        </w:trPr>
        <w:tc>
          <w:tcPr>
            <w:tcW w:type="dxa" w:w="1800"/>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원칙</w:t>
            </w:r>
          </w:p>
        </w:tc>
        <w:tc>
          <w:tcPr>
            <w:tcW w:type="dxa" w:w="7838"/>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내용</w:t>
            </w:r>
          </w:p>
        </w:tc>
      </w:tr>
      <w:tr>
        <w:trPr>
          <w:cantSplit/>
          <w:tblHeader w:val="false"/>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구간 분리</w:t>
            </w:r>
          </w:p>
        </w:tc>
        <w:tc>
          <w:tcPr>
            <w:tcW w:type="dxa" w:w="783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착수 전 기준선, 집행 중 선행지표, 현장 전환지표, 최종 결과지표를 구분하여 관리</w:t>
            </w:r>
          </w:p>
        </w:tc>
      </w:tr>
      <w:tr>
        <w:trPr>
          <w:cantSplit/>
          <w:tblHeader w:val="false"/>
        </w:trPr>
        <w:tc>
          <w:tcPr>
            <w:tcW w:type="dxa" w:w="180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정의 고정</w:t>
            </w:r>
          </w:p>
        </w:tc>
        <w:tc>
          <w:tcPr>
            <w:tcW w:type="dxa" w:w="7838"/>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지표 정의는 착수 시 문서로 확정하며, 변경 시 이력과 소급 재산출을 병기</w:t>
            </w:r>
          </w:p>
        </w:tc>
      </w:tr>
      <w:tr>
        <w:trPr>
          <w:cantSplit/>
          <w:tblHeader w:val="false"/>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원천 검증</w:t>
            </w:r>
          </w:p>
        </w:tc>
        <w:tc>
          <w:tcPr>
            <w:tcW w:type="dxa" w:w="783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모든 보고 수치는 고객 DB·집행 내역의 원천 기록으로 소급 검증 가능</w:t>
            </w:r>
          </w:p>
        </w:tc>
      </w:tr>
      <w:tr>
        <w:trPr>
          <w:cantSplit/>
          <w:tblHeader w:val="false"/>
        </w:trPr>
        <w:tc>
          <w:tcPr>
            <w:tcW w:type="dxa" w:w="180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인과 한정</w:t>
            </w:r>
          </w:p>
        </w:tc>
        <w:tc>
          <w:tcPr>
            <w:tcW w:type="dxa" w:w="7838"/>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가격·시즌·분양조건·현장 인력·경쟁 현장 등 외부 요인이 존재하므로, 광고·분석만의 인과 효과를 단정하지 않음</w:t>
            </w:r>
          </w:p>
        </w:tc>
      </w:tr>
    </w:tbl>
    <w:p>
      <w:pPr>
        <w:spacing w:after="200" w:before="0"/>
      </w:pPr>
    </w:p>
    <w:p>
      <w:pPr>
        <w:pStyle w:val="Heading2"/>
        <w:keepNext/>
        <w:spacing w:after="140" w:before="300"/>
      </w:pPr>
      <w:r>
        <w:rPr>
          <w:rFonts w:ascii="맑은 고딕" w:cs="맑은 고딕" w:eastAsia="맑은 고딕" w:hAnsi="맑은 고딕"/>
          <w:b/>
          <w:bCs/>
          <w:color w:val="1A1A1A"/>
          <w:sz w:val="23"/>
          <w:szCs w:val="23"/>
        </w:rPr>
        <w:t xml:space="preserve">10.2 KPI 표준 정의</w:t>
      </w:r>
    </w:p>
    <w:p>
      <w:pPr>
        <w:keepNext w:val="false"/>
        <w:spacing w:after="130" w:before="60" w:line="310"/>
        <w:jc w:val="both"/>
      </w:pPr>
      <w:r>
        <w:rPr>
          <w:rFonts w:ascii="맑은 고딕" w:cs="맑은 고딕" w:eastAsia="맑은 고딕" w:hAnsi="맑은 고딕"/>
          <w:b w:val="false"/>
          <w:bCs w:val="false"/>
          <w:i w:val="false"/>
          <w:iCs w:val="false"/>
          <w:color w:val="1A1A1A"/>
          <w:sz w:val="20"/>
          <w:szCs w:val="20"/>
        </w:rPr>
        <w:t xml:space="preserve">동일한 숫자를 보기 위해서는 지표의 정의부터 합의해야 합니다.</w:t>
      </w:r>
    </w:p>
    <w:p>
      <w:pPr>
        <w:keepNext/>
        <w:spacing w:after="90" w:before="220"/>
      </w:pPr>
      <w:r>
        <w:rPr>
          <w:rFonts w:ascii="맑은 고딕" w:cs="맑은 고딕" w:eastAsia="맑은 고딕" w:hAnsi="맑은 고딕"/>
          <w:b/>
          <w:bCs/>
          <w:color w:val="1F3864"/>
          <w:sz w:val="18"/>
          <w:szCs w:val="18"/>
        </w:rPr>
        <w:t xml:space="preserve">[표 10-3] 핵심 KPI의 표준 정의와 확정 사항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08"/>
        <w:gridCol w:w="5414"/>
        <w:gridCol w:w="2816"/>
      </w:tblGrid>
      <w:tr>
        <w:trPr>
          <w:cantSplit/>
          <w:tblHeader/>
        </w:trPr>
        <w:tc>
          <w:tcPr>
            <w:tcW w:type="dxa" w:w="1408"/>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KPI</w:t>
            </w:r>
          </w:p>
        </w:tc>
        <w:tc>
          <w:tcPr>
            <w:tcW w:type="dxa" w:w="5414"/>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표준 정의</w:t>
            </w:r>
          </w:p>
        </w:tc>
        <w:tc>
          <w:tcPr>
            <w:tcW w:type="dxa" w:w="2816"/>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계약 전 확정 사항</w:t>
            </w:r>
          </w:p>
        </w:tc>
      </w:tr>
      <w:tr>
        <w:trPr>
          <w:cantSplit/>
          <w:tblHeader w:val="false"/>
        </w:trPr>
        <w:tc>
          <w:tcPr>
            <w:tcW w:type="dxa" w:w="140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유효 DB</w:t>
            </w:r>
          </w:p>
        </w:tc>
        <w:tc>
          <w:tcPr>
            <w:tcW w:type="dxa" w:w="5414"/>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중복·허위·연락 불가 등을 제외한, 합의 조건 충족 DB</w:t>
            </w:r>
          </w:p>
        </w:tc>
        <w:tc>
          <w:tcPr>
            <w:tcW w:type="dxa" w:w="281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제외 기준, 판정 주체</w:t>
            </w:r>
          </w:p>
        </w:tc>
      </w:tr>
      <w:tr>
        <w:trPr>
          <w:cantSplit/>
          <w:tblHeader w:val="false"/>
        </w:trPr>
        <w:tc>
          <w:tcPr>
            <w:tcW w:type="dxa" w:w="1408"/>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최초 연락시간</w:t>
            </w:r>
          </w:p>
        </w:tc>
        <w:tc>
          <w:tcPr>
            <w:tcW w:type="dxa" w:w="5414"/>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DB 생성부터 최초 연락 시도까지의 경과 시간</w:t>
            </w:r>
          </w:p>
        </w:tc>
        <w:tc>
          <w:tcPr>
            <w:tcW w:type="dxa" w:w="2816"/>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근무시간 처리, 재배정 예외</w:t>
            </w:r>
          </w:p>
        </w:tc>
      </w:tr>
      <w:tr>
        <w:trPr>
          <w:cantSplit/>
          <w:tblHeader w:val="false"/>
        </w:trPr>
        <w:tc>
          <w:tcPr>
            <w:tcW w:type="dxa" w:w="140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상담완료율</w:t>
            </w:r>
          </w:p>
        </w:tc>
        <w:tc>
          <w:tcPr>
            <w:tcW w:type="dxa" w:w="5414"/>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상담 완료 고객 ÷ 유효 DB</w:t>
            </w:r>
          </w:p>
        </w:tc>
        <w:tc>
          <w:tcPr>
            <w:tcW w:type="dxa" w:w="281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"상담 완료" 상태의 정의</w:t>
            </w:r>
          </w:p>
        </w:tc>
      </w:tr>
      <w:tr>
        <w:trPr>
          <w:cantSplit/>
          <w:tblHeader w:val="false"/>
        </w:trPr>
        <w:tc>
          <w:tcPr>
            <w:tcW w:type="dxa" w:w="1408"/>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실제방문율</w:t>
            </w:r>
          </w:p>
        </w:tc>
        <w:tc>
          <w:tcPr>
            <w:tcW w:type="dxa" w:w="5414"/>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실제 방문 고객 ÷ 방문 예약 고객</w:t>
            </w:r>
          </w:p>
        </w:tc>
        <w:tc>
          <w:tcPr>
            <w:tcW w:type="dxa" w:w="2816"/>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방문 확인 방식</w:t>
            </w:r>
          </w:p>
        </w:tc>
      </w:tr>
      <w:tr>
        <w:trPr>
          <w:cantSplit/>
          <w:tblHeader w:val="false"/>
        </w:trPr>
        <w:tc>
          <w:tcPr>
            <w:tcW w:type="dxa" w:w="140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계약 연결</w:t>
            </w:r>
          </w:p>
        </w:tc>
        <w:tc>
          <w:tcPr>
            <w:tcW w:type="dxa" w:w="5414"/>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계약 고객과 최초·주요 유입 소재의 연결</w:t>
            </w:r>
          </w:p>
        </w:tc>
        <w:tc>
          <w:tcPr>
            <w:tcW w:type="dxa" w:w="281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귀속 기간, 복수 소재 처리</w:t>
            </w:r>
          </w:p>
        </w:tc>
      </w:tr>
    </w:tbl>
    <w:p>
      <w:pPr>
        <w:spacing w:after="200" w:before="0"/>
      </w:pPr>
    </w:p>
    <w:p>
      <w:pPr>
        <w:pStyle w:val="Heading2"/>
        <w:keepNext/>
        <w:spacing w:after="140" w:before="300"/>
      </w:pPr>
      <w:r>
        <w:rPr>
          <w:rFonts w:ascii="맑은 고딕" w:cs="맑은 고딕" w:eastAsia="맑은 고딕" w:hAnsi="맑은 고딕"/>
          <w:b/>
          <w:bCs/>
          <w:color w:val="1A1A1A"/>
          <w:sz w:val="23"/>
          <w:szCs w:val="23"/>
        </w:rPr>
        <w:t xml:space="preserve">10.3 8영역 지표 체계</w:t>
      </w:r>
    </w:p>
    <w:p>
      <w:pPr>
        <w:keepNext/>
        <w:spacing w:after="90" w:before="220"/>
      </w:pPr>
      <w:r>
        <w:rPr>
          <w:rFonts w:ascii="맑은 고딕" w:cs="맑은 고딕" w:eastAsia="맑은 고딕" w:hAnsi="맑은 고딕"/>
          <w:b/>
          <w:bCs/>
          <w:color w:val="1F3864"/>
          <w:sz w:val="18"/>
          <w:szCs w:val="18"/>
        </w:rPr>
        <w:t xml:space="preserve">[표 10-4] 영역별 핵심 지표와 해석</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0"/>
        <w:gridCol w:w="4444"/>
        <w:gridCol w:w="4044"/>
      </w:tblGrid>
      <w:tr>
        <w:trPr>
          <w:cantSplit/>
          <w:tblHeader/>
        </w:trPr>
        <w:tc>
          <w:tcPr>
            <w:tcW w:type="dxa" w:w="1150"/>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영역</w:t>
            </w:r>
          </w:p>
        </w:tc>
        <w:tc>
          <w:tcPr>
            <w:tcW w:type="dxa" w:w="4444"/>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핵심 지표</w:t>
            </w:r>
          </w:p>
        </w:tc>
        <w:tc>
          <w:tcPr>
            <w:tcW w:type="dxa" w:w="4044"/>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해석</w:t>
            </w:r>
          </w:p>
        </w:tc>
      </w:tr>
      <w:tr>
        <w:trPr>
          <w:cantSplit/>
          <w:tblHeader w:val="false"/>
        </w:trPr>
        <w:tc>
          <w:tcPr>
            <w:tcW w:type="dxa" w:w="115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예산 투명성</w:t>
            </w:r>
          </w:p>
        </w:tc>
        <w:tc>
          <w:tcPr>
            <w:tcW w:type="dxa" w:w="4444"/>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실집행률, 매체별 사용액, 잔액, 정산 일치율</w:t>
            </w:r>
          </w:p>
        </w:tc>
        <w:tc>
          <w:tcPr>
            <w:tcW w:type="dxa" w:w="4044"/>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지급 예산이 실제 매체 집행과 일치하는가</w:t>
            </w:r>
          </w:p>
        </w:tc>
      </w:tr>
      <w:tr>
        <w:trPr>
          <w:cantSplit/>
          <w:tblHeader w:val="false"/>
        </w:trPr>
        <w:tc>
          <w:tcPr>
            <w:tcW w:type="dxa" w:w="115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광고 반응</w:t>
            </w:r>
          </w:p>
        </w:tc>
        <w:tc>
          <w:tcPr>
            <w:tcW w:type="dxa" w:w="4444"/>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노출·클릭·조회·CTR·CPC·사이트 행동</w:t>
            </w:r>
          </w:p>
        </w:tc>
        <w:tc>
          <w:tcPr>
            <w:tcW w:type="dxa" w:w="4044"/>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소재와 타깃이 관심을 형성하는가</w:t>
            </w:r>
          </w:p>
        </w:tc>
      </w:tr>
      <w:tr>
        <w:trPr>
          <w:cantSplit/>
          <w:tblHeader w:val="false"/>
        </w:trPr>
        <w:tc>
          <w:tcPr>
            <w:tcW w:type="dxa" w:w="115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DB 품질</w:t>
            </w:r>
          </w:p>
        </w:tc>
        <w:tc>
          <w:tcPr>
            <w:tcW w:type="dxa" w:w="4444"/>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DB 건수, 중복률, 유효 DB, 유효 DB당 비용</w:t>
            </w:r>
          </w:p>
        </w:tc>
        <w:tc>
          <w:tcPr>
            <w:tcW w:type="dxa" w:w="4044"/>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연락 가능한 실질 수요가 유입되는가</w:t>
            </w:r>
          </w:p>
        </w:tc>
      </w:tr>
      <w:tr>
        <w:trPr>
          <w:cantSplit/>
          <w:tblHeader w:val="false"/>
        </w:trPr>
        <w:tc>
          <w:tcPr>
            <w:tcW w:type="dxa" w:w="115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처리 품질</w:t>
            </w:r>
          </w:p>
        </w:tc>
        <w:tc>
          <w:tcPr>
            <w:tcW w:type="dxa" w:w="4444"/>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배정 시간, 최초 연락시간, 미연락·지연률</w:t>
            </w:r>
          </w:p>
        </w:tc>
        <w:tc>
          <w:tcPr>
            <w:tcW w:type="dxa" w:w="4044"/>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현장이 전환 기회를 놓치지 않는가</w:t>
            </w:r>
          </w:p>
        </w:tc>
      </w:tr>
      <w:tr>
        <w:trPr>
          <w:cantSplit/>
          <w:tblHeader w:val="false"/>
        </w:trPr>
        <w:tc>
          <w:tcPr>
            <w:tcW w:type="dxa" w:w="115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상담</w:t>
            </w:r>
          </w:p>
        </w:tc>
        <w:tc>
          <w:tcPr>
            <w:tcW w:type="dxa" w:w="4444"/>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연결률, 상담완료율, 고감도율, 거절 사유 분포</w:t>
            </w:r>
          </w:p>
        </w:tc>
        <w:tc>
          <w:tcPr>
            <w:tcW w:type="dxa" w:w="4044"/>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메시지와 상담이 고객의 문제를 해결하는가</w:t>
            </w:r>
          </w:p>
        </w:tc>
      </w:tr>
      <w:tr>
        <w:trPr>
          <w:cantSplit/>
          <w:tblHeader w:val="false"/>
        </w:trPr>
        <w:tc>
          <w:tcPr>
            <w:tcW w:type="dxa" w:w="115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방문</w:t>
            </w:r>
          </w:p>
        </w:tc>
        <w:tc>
          <w:tcPr>
            <w:tcW w:type="dxa" w:w="4444"/>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방문예약률, 확인률, 노쇼율, 실방문률</w:t>
            </w:r>
          </w:p>
        </w:tc>
        <w:tc>
          <w:tcPr>
            <w:tcW w:type="dxa" w:w="4044"/>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관심이 실제 행동으로 이동하는가</w:t>
            </w:r>
          </w:p>
        </w:tc>
      </w:tr>
      <w:tr>
        <w:trPr>
          <w:cantSplit/>
          <w:tblHeader w:val="false"/>
        </w:trPr>
        <w:tc>
          <w:tcPr>
            <w:tcW w:type="dxa" w:w="115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계약</w:t>
            </w:r>
          </w:p>
        </w:tc>
        <w:tc>
          <w:tcPr>
            <w:tcW w:type="dxa" w:w="4444"/>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계약검토율, 계약률, 계약당 비용, 기여 경로</w:t>
            </w:r>
          </w:p>
        </w:tc>
        <w:tc>
          <w:tcPr>
            <w:tcW w:type="dxa" w:w="4044"/>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최종 사업 목표에 어느 정도 기여했는가</w:t>
            </w:r>
          </w:p>
        </w:tc>
      </w:tr>
      <w:tr>
        <w:trPr>
          <w:cantSplit/>
          <w:tblHeader w:val="false"/>
        </w:trPr>
        <w:tc>
          <w:tcPr>
            <w:tcW w:type="dxa" w:w="115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학습</w:t>
            </w:r>
          </w:p>
        </w:tc>
        <w:tc>
          <w:tcPr>
            <w:tcW w:type="dxa" w:w="4444"/>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근거별·소재별·매체별·담당자별 개선 효과</w:t>
            </w:r>
          </w:p>
        </w:tc>
        <w:tc>
          <w:tcPr>
            <w:tcW w:type="dxa" w:w="4044"/>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재사용 가능한 지식이 축적되는가</w:t>
            </w:r>
          </w:p>
        </w:tc>
      </w:tr>
    </w:tbl>
    <w:p>
      <w:pPr>
        <w:spacing w:after="200" w:before="0"/>
      </w:pPr>
    </w:p>
    <w:p>
      <w:pPr>
        <w:pStyle w:val="Heading2"/>
        <w:keepNext/>
        <w:spacing w:after="140" w:before="300"/>
      </w:pPr>
      <w:r>
        <w:rPr>
          <w:rFonts w:ascii="맑은 고딕" w:cs="맑은 고딕" w:eastAsia="맑은 고딕" w:hAnsi="맑은 고딕"/>
          <w:b/>
          <w:bCs/>
          <w:color w:val="1A1A1A"/>
          <w:sz w:val="23"/>
          <w:szCs w:val="23"/>
        </w:rPr>
        <w:t xml:space="preserve">10.4 기준선과 목표 설정</w:t>
      </w:r>
    </w:p>
    <w:p>
      <w:pPr>
        <w:keepNext/>
        <w:spacing w:after="90" w:before="220"/>
      </w:pPr>
      <w:r>
        <w:rPr>
          <w:rFonts w:ascii="맑은 고딕" w:cs="맑은 고딕" w:eastAsia="맑은 고딕" w:hAnsi="맑은 고딕"/>
          <w:b/>
          <w:bCs/>
          <w:color w:val="1F3864"/>
          <w:sz w:val="18"/>
          <w:szCs w:val="18"/>
        </w:rPr>
        <w:t xml:space="preserve">[표 10-5] 기준선 설정 절차</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7838"/>
      </w:tblGrid>
      <w:tr>
        <w:trPr>
          <w:cantSplit/>
          <w:tblHeader/>
        </w:trPr>
        <w:tc>
          <w:tcPr>
            <w:tcW w:type="dxa" w:w="1800"/>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상황</w:t>
            </w:r>
          </w:p>
        </w:tc>
        <w:tc>
          <w:tcPr>
            <w:tcW w:type="dxa" w:w="7838"/>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처리 방식</w:t>
            </w:r>
          </w:p>
        </w:tc>
      </w:tr>
      <w:tr>
        <w:trPr>
          <w:cantSplit/>
          <w:tblHeader w:val="false"/>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기존 데이터 보유</w:t>
            </w:r>
          </w:p>
        </w:tc>
        <w:tc>
          <w:tcPr>
            <w:tcW w:type="dxa" w:w="783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기존 4~12주의 광고비·DB·유효 DB·연락·상담·방문·계약 데이터로 기준선 산정</w:t>
            </w:r>
          </w:p>
        </w:tc>
      </w:tr>
      <w:tr>
        <w:trPr>
          <w:cantSplit/>
          <w:tblHeader w:val="false"/>
        </w:trPr>
        <w:tc>
          <w:tcPr>
            <w:tcW w:type="dxa" w:w="180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기존 데이터 부재</w:t>
            </w:r>
          </w:p>
        </w:tc>
        <w:tc>
          <w:tcPr>
            <w:tcW w:type="dxa" w:w="7838"/>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초기 운영 2주를 측정 기간으로 설정한 후 목표 확정</w:t>
            </w:r>
          </w:p>
        </w:tc>
      </w:tr>
      <w:tr>
        <w:trPr>
          <w:cantSplit/>
          <w:tblHeader w:val="false"/>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목표 성격</w:t>
            </w:r>
          </w:p>
        </w:tc>
        <w:tc>
          <w:tcPr>
            <w:tcW w:type="dxa" w:w="783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절대 보장값이 아닌 </w:t>
            </w:r>
            <w:r>
              <w:rPr>
                <w:rFonts w:ascii="맑은 고딕" w:cs="맑은 고딕" w:eastAsia="맑은 고딕" w:hAnsi="맑은 고딕"/>
                <w:b/>
                <w:bCs/>
                <w:color w:val="1A1A1A"/>
                <w:sz w:val="18"/>
                <w:szCs w:val="18"/>
              </w:rPr>
              <w:t xml:space="preserve">개선 가설</w:t>
            </w:r>
            <w:r>
              <w:rPr>
                <w:rFonts w:ascii="맑은 고딕" w:cs="맑은 고딕" w:eastAsia="맑은 고딕" w:hAnsi="맑은 고딕"/>
                <w:color w:val="1A1A1A"/>
                <w:sz w:val="18"/>
                <w:szCs w:val="18"/>
              </w:rPr>
              <w:t xml:space="preserve">로 설정</w:t>
            </w:r>
          </w:p>
        </w:tc>
      </w:tr>
      <w:tr>
        <w:trPr>
          <w:cantSplit/>
          <w:tblHeader w:val="false"/>
        </w:trPr>
        <w:tc>
          <w:tcPr>
            <w:tcW w:type="dxa" w:w="180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매체별 목표</w:t>
            </w:r>
          </w:p>
        </w:tc>
        <w:tc>
          <w:tcPr>
            <w:tcW w:type="dxa" w:w="7838"/>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고객 단계와 역할에 맞게 분리 설정. 단일 DB 단가로 일괄 평가하지 않음</w:t>
            </w:r>
          </w:p>
        </w:tc>
      </w:tr>
      <w:tr>
        <w:trPr>
          <w:cantSplit/>
          <w:tblHeader w:val="false"/>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외부 변화</w:t>
            </w:r>
          </w:p>
        </w:tc>
        <w:tc>
          <w:tcPr>
            <w:tcW w:type="dxa" w:w="783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예산·분양조건·현장 인력·시즌 등 주요 변화를 변경 원장에 기록하여 성과 해석에 반영</w:t>
            </w:r>
          </w:p>
        </w:tc>
      </w:tr>
    </w:tbl>
    <w:p>
      <w:pPr>
        <w:spacing w:after="200" w:before="0"/>
      </w:pPr>
    </w:p>
    <w:p>
      <w:pPr>
        <w:pStyle w:val="Heading2"/>
        <w:keepNext/>
        <w:spacing w:after="140" w:before="300"/>
      </w:pPr>
      <w:r>
        <w:rPr>
          <w:rFonts w:ascii="맑은 고딕" w:cs="맑은 고딕" w:eastAsia="맑은 고딕" w:hAnsi="맑은 고딕"/>
          <w:b/>
          <w:bCs/>
          <w:color w:val="1A1A1A"/>
          <w:sz w:val="23"/>
          <w:szCs w:val="23"/>
        </w:rPr>
        <w:t xml:space="preserve">10.5 퍼널 병목 진단과 개선 판단</w:t>
      </w:r>
    </w:p>
    <w:p>
      <w:pPr>
        <w:keepNext w:val="false"/>
        <w:spacing w:after="130" w:before="60" w:line="310"/>
        <w:jc w:val="both"/>
      </w:pPr>
      <w:r>
        <w:rPr>
          <w:rFonts w:ascii="맑은 고딕" w:cs="맑은 고딕" w:eastAsia="맑은 고딕" w:hAnsi="맑은 고딕"/>
          <w:b w:val="false"/>
          <w:bCs w:val="false"/>
          <w:i w:val="false"/>
          <w:iCs w:val="false"/>
          <w:color w:val="1A1A1A"/>
          <w:sz w:val="20"/>
          <w:szCs w:val="20"/>
        </w:rPr>
        <w:t xml:space="preserve">퍼널 지표의 가치는 </w:t>
      </w:r>
      <w:r>
        <w:rPr>
          <w:rFonts w:ascii="맑은 고딕" w:cs="맑은 고딕" w:eastAsia="맑은 고딕" w:hAnsi="맑은 고딕"/>
          <w:b/>
          <w:bCs/>
          <w:i w:val="false"/>
          <w:iCs w:val="false"/>
          <w:color w:val="1A1A1A"/>
          <w:sz w:val="20"/>
          <w:szCs w:val="20"/>
        </w:rPr>
        <w:t xml:space="preserve">병목의 위치와 원인을 구분</w:t>
      </w:r>
      <w:r>
        <w:rPr>
          <w:rFonts w:ascii="맑은 고딕" w:cs="맑은 고딕" w:eastAsia="맑은 고딕" w:hAnsi="맑은 고딕"/>
          <w:b w:val="false"/>
          <w:bCs w:val="false"/>
          <w:i w:val="false"/>
          <w:iCs w:val="false"/>
          <w:color w:val="1A1A1A"/>
          <w:sz w:val="20"/>
          <w:szCs w:val="20"/>
        </w:rPr>
        <w:t xml:space="preserve">한다는 데 있습니다.</w:t>
      </w:r>
    </w:p>
    <w:p>
      <w:pPr>
        <w:keepNext/>
        <w:spacing w:after="90" w:before="220"/>
      </w:pPr>
      <w:r>
        <w:rPr>
          <w:rFonts w:ascii="맑은 고딕" w:cs="맑은 고딕" w:eastAsia="맑은 고딕" w:hAnsi="맑은 고딕"/>
          <w:b/>
          <w:bCs/>
          <w:color w:val="1F3864"/>
          <w:sz w:val="18"/>
          <w:szCs w:val="18"/>
        </w:rPr>
        <w:t xml:space="preserve">[표 10-6] 관찰 결과별 원인 추정과 우선 개선</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5"/>
        <w:gridCol w:w="2874"/>
        <w:gridCol w:w="4059"/>
      </w:tblGrid>
      <w:tr>
        <w:trPr>
          <w:cantSplit/>
          <w:tblHeader/>
        </w:trPr>
        <w:tc>
          <w:tcPr>
            <w:tcW w:type="dxa" w:w="2705"/>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관찰 결과</w:t>
            </w:r>
          </w:p>
        </w:tc>
        <w:tc>
          <w:tcPr>
            <w:tcW w:type="dxa" w:w="2874"/>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가능한 원인</w:t>
            </w:r>
          </w:p>
        </w:tc>
        <w:tc>
          <w:tcPr>
            <w:tcW w:type="dxa" w:w="4059"/>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우선 개선</w:t>
            </w:r>
          </w:p>
        </w:tc>
      </w:tr>
      <w:tr>
        <w:trPr>
          <w:cantSplit/>
          <w:tblHeader w:val="false"/>
        </w:trPr>
        <w:tc>
          <w:tcPr>
            <w:tcW w:type="dxa" w:w="2705"/>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클릭은 높은데 유효 DB가 낮음</w:t>
            </w:r>
          </w:p>
        </w:tc>
        <w:tc>
          <w:tcPr>
            <w:tcW w:type="dxa" w:w="2874"/>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후킹과 실제 정보의 불일치, 폼 품질</w:t>
            </w:r>
          </w:p>
        </w:tc>
        <w:tc>
          <w:tcPr>
            <w:tcW w:type="dxa" w:w="4059"/>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메시지 정합성, 질문 항목, 중복 필터</w:t>
            </w:r>
          </w:p>
        </w:tc>
      </w:tr>
      <w:tr>
        <w:trPr>
          <w:cantSplit/>
          <w:tblHeader w:val="false"/>
        </w:trPr>
        <w:tc>
          <w:tcPr>
            <w:tcW w:type="dxa" w:w="2705"/>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유효 DB는 높은데 상담완료가 낮음</w:t>
            </w:r>
          </w:p>
        </w:tc>
        <w:tc>
          <w:tcPr>
            <w:tcW w:type="dxa" w:w="2874"/>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연락 지연, 시간대, 배정 과부하</w:t>
            </w:r>
          </w:p>
        </w:tc>
        <w:tc>
          <w:tcPr>
            <w:tcW w:type="dxa" w:w="4059"/>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연락 기준시간, 재배정, 후속 메시지 보조</w:t>
            </w:r>
          </w:p>
        </w:tc>
      </w:tr>
      <w:tr>
        <w:trPr>
          <w:cantSplit/>
          <w:tblHeader w:val="false"/>
        </w:trPr>
        <w:tc>
          <w:tcPr>
            <w:tcW w:type="dxa" w:w="2705"/>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상담은 높은데 방문이 낮음</w:t>
            </w:r>
          </w:p>
        </w:tc>
        <w:tc>
          <w:tcPr>
            <w:tcW w:type="dxa" w:w="2874"/>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가격 저항, 가족 협의, 정보 부족</w:t>
            </w:r>
          </w:p>
        </w:tc>
        <w:tc>
          <w:tcPr>
            <w:tcW w:type="dxa" w:w="4059"/>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비교 자료, 방문 이유 설계, 일정 확인</w:t>
            </w:r>
          </w:p>
        </w:tc>
      </w:tr>
      <w:tr>
        <w:trPr>
          <w:cantSplit/>
          <w:tblHeader w:val="false"/>
        </w:trPr>
        <w:tc>
          <w:tcPr>
            <w:tcW w:type="dxa" w:w="2705"/>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방문은 높은데 계약이 낮음</w:t>
            </w:r>
          </w:p>
        </w:tc>
        <w:tc>
          <w:tcPr>
            <w:tcW w:type="dxa" w:w="2874"/>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상품·가격·자금·경쟁 현장</w:t>
            </w:r>
          </w:p>
        </w:tc>
        <w:tc>
          <w:tcPr>
            <w:tcW w:type="dxa" w:w="4059"/>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현장 조건·상담·후속 제안 검토 (시행사 협의 안건)</w:t>
            </w:r>
          </w:p>
        </w:tc>
      </w:tr>
      <w:tr>
        <w:trPr>
          <w:cantSplit/>
          <w:tblHeader w:val="false"/>
        </w:trPr>
        <w:tc>
          <w:tcPr>
            <w:tcW w:type="dxa" w:w="2705"/>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DB 단가는 높지만 계약 기여가 큼</w:t>
            </w:r>
          </w:p>
        </w:tc>
        <w:tc>
          <w:tcPr>
            <w:tcW w:type="dxa" w:w="2874"/>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고의도 검색 수요, 고가 타깃</w:t>
            </w:r>
          </w:p>
        </w:tc>
        <w:tc>
          <w:tcPr>
            <w:tcW w:type="dxa" w:w="4059"/>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DB 단가만으로 감액하지 않고 계약당 비용으로 판단</w:t>
            </w:r>
          </w:p>
        </w:tc>
      </w:tr>
      <w:tr>
        <w:trPr>
          <w:cantSplit/>
          <w:tblHeader w:val="false"/>
        </w:trPr>
        <w:tc>
          <w:tcPr>
            <w:tcW w:type="dxa" w:w="2705"/>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후속 발송은 많은데 방문이 낮음</w:t>
            </w:r>
          </w:p>
        </w:tc>
        <w:tc>
          <w:tcPr>
            <w:tcW w:type="dxa" w:w="2874"/>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대상·시점·메시지의 상태 불일치</w:t>
            </w:r>
          </w:p>
        </w:tc>
        <w:tc>
          <w:tcPr>
            <w:tcW w:type="dxa" w:w="4059"/>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상담 단계별 세분화, 발송 빈도 조정</w:t>
            </w:r>
          </w:p>
        </w:tc>
      </w:tr>
    </w:tbl>
    <w:p>
      <w:pPr>
        <w:spacing w:after="200" w:before="0"/>
      </w:pPr>
    </w:p>
    <w:p>
      <w:pPr>
        <w:keepNext w:val="false"/>
        <w:spacing w:after="130" w:before="60" w:line="310"/>
        <w:jc w:val="both"/>
      </w:pPr>
      <w:r>
        <w:rPr>
          <w:rFonts w:ascii="맑은 고딕" w:cs="맑은 고딕" w:eastAsia="맑은 고딕" w:hAnsi="맑은 고딕"/>
          <w:b w:val="false"/>
          <w:bCs w:val="false"/>
          <w:i w:val="false"/>
          <w:iCs w:val="false"/>
          <w:color w:val="1A1A1A"/>
          <w:sz w:val="20"/>
          <w:szCs w:val="20"/>
        </w:rPr>
        <w:t xml:space="preserve">네 번째 행은 제3장 3.5의 원칙(운영 문제와 조건 문제의 구분)이 실제로 작동하는 지점입니다. 방문까지 도달했으나 계약이 발생하지 않는 병목은 광고로 해결되지 않으며, 당사는 이 경우 판촉 반복 대신 </w:t>
      </w:r>
      <w:r>
        <w:rPr>
          <w:rFonts w:ascii="맑은 고딕" w:cs="맑은 고딕" w:eastAsia="맑은 고딕" w:hAnsi="맑은 고딕"/>
          <w:b/>
          <w:bCs/>
          <w:i w:val="false"/>
          <w:iCs w:val="false"/>
          <w:color w:val="1A1A1A"/>
          <w:sz w:val="20"/>
          <w:szCs w:val="20"/>
        </w:rPr>
        <w:t xml:space="preserve">데이터를 근거로 시행사에 조건 검토를 안건화</w:t>
      </w:r>
      <w:r>
        <w:rPr>
          <w:rFonts w:ascii="맑은 고딕" w:cs="맑은 고딕" w:eastAsia="맑은 고딕" w:hAnsi="맑은 고딕"/>
          <w:b w:val="false"/>
          <w:bCs w:val="false"/>
          <w:i w:val="false"/>
          <w:iCs w:val="false"/>
          <w:color w:val="1A1A1A"/>
          <w:sz w:val="20"/>
          <w:szCs w:val="20"/>
        </w:rPr>
        <w:t xml:space="preserve">합니다.</w:t>
      </w:r>
    </w:p>
    <w:p>
      <w:pPr>
        <w:keepNext w:val="false"/>
        <w:spacing w:after="130" w:before="60" w:line="310"/>
        <w:jc w:val="both"/>
      </w:pPr>
      <w:r>
        <w:rPr>
          <w:rFonts w:ascii="맑은 고딕" w:cs="맑은 고딕" w:eastAsia="맑은 고딕" w:hAnsi="맑은 고딕"/>
          <w:b/>
          <w:bCs/>
          <w:i w:val="false"/>
          <w:iCs w:val="false"/>
          <w:color w:val="1A1A1A"/>
          <w:sz w:val="20"/>
          <w:szCs w:val="20"/>
        </w:rPr>
        <w:t xml:space="preserve">기준선 없이는 병목을 지목하지 않습니다.</w:t>
      </w:r>
      <w:r>
        <w:rPr>
          <w:rFonts w:ascii="맑은 고딕" w:cs="맑은 고딕" w:eastAsia="맑은 고딕" w:hAnsi="맑은 고딕"/>
          <w:b w:val="false"/>
          <w:bCs w:val="false"/>
          <w:i w:val="false"/>
          <w:iCs w:val="false"/>
          <w:color w:val="1A1A1A"/>
          <w:sz w:val="20"/>
          <w:szCs w:val="20"/>
        </w:rPr>
        <w:t xml:space="preserve"> 전환율 20%가 좋은지 나쁜지는 기준선 없이 말할 수 없습니다. 계약 시 확정한 기준선(10.4)이 입력되기 전에는 단계별 실측 전환율만 제시하고 판정을 유보합니다 — 근거 없는 병목 지목은 잘못된 예산 배분으로 직결되기 때문입니다. 같은 이유로 분모가 최소 표본에 미달하는 단계는 개별적으로 판정을 유보합니다.</w:t>
      </w:r>
    </w:p>
    <w:p>
      <w:pPr>
        <w:keepNext w:val="false"/>
        <w:spacing w:after="130" w:before="60" w:line="310"/>
        <w:jc w:val="both"/>
      </w:pPr>
      <w:r>
        <w:rPr>
          <w:rFonts w:ascii="맑은 고딕" w:cs="맑은 고딕" w:eastAsia="맑은 고딕" w:hAnsi="맑은 고딕"/>
          <w:b w:val="false"/>
          <w:bCs w:val="false"/>
          <w:i w:val="false"/>
          <w:iCs w:val="false"/>
          <w:color w:val="1A1A1A"/>
          <w:sz w:val="20"/>
          <w:szCs w:val="20"/>
        </w:rPr>
        <w:t xml:space="preserve">병목 추정은 현장 반응과 대조되어 확신 수준이 조정됩니다. 예컨대 상담→방문 병목에 가격 거절 비중이 함께 높으면 추정이 강화되지만, </w:t>
      </w:r>
      <w:r>
        <w:rPr>
          <w:rFonts w:ascii="맑은 고딕" w:cs="맑은 고딕" w:eastAsia="맑은 고딕" w:hAnsi="맑은 고딕"/>
          <w:b/>
          <w:bCs/>
          <w:i w:val="false"/>
          <w:iCs w:val="false"/>
          <w:color w:val="1A1A1A"/>
          <w:sz w:val="20"/>
          <w:szCs w:val="20"/>
        </w:rPr>
        <w:t xml:space="preserve">가격 판정(5.8 ①)이 '긍정'인데 가격 거절이 많다면</w:t>
      </w:r>
      <w:r>
        <w:rPr>
          <w:rFonts w:ascii="맑은 고딕" w:cs="맑은 고딕" w:eastAsia="맑은 고딕" w:hAnsi="맑은 고딕"/>
          <w:b w:val="false"/>
          <w:bCs w:val="false"/>
          <w:i w:val="false"/>
          <w:iCs w:val="false"/>
          <w:color w:val="1A1A1A"/>
          <w:sz w:val="20"/>
          <w:szCs w:val="20"/>
        </w:rPr>
        <w:t xml:space="preserve"> 가격 자체보다 총취득원가 설명 방식의 문제일 수 있으므로 그 어긋남을 그대로 표기하고 양쪽을 함께 점검합니다.</w:t>
      </w:r>
    </w:p>
    <w:p>
      <w:pPr>
        <w:keepNext/>
        <w:spacing w:after="90" w:before="220"/>
      </w:pPr>
      <w:r>
        <w:rPr>
          <w:rFonts w:ascii="맑은 고딕" w:cs="맑은 고딕" w:eastAsia="맑은 고딕" w:hAnsi="맑은 고딕"/>
          <w:b/>
          <w:bCs/>
          <w:color w:val="1F3864"/>
          <w:sz w:val="18"/>
          <w:szCs w:val="18"/>
        </w:rPr>
        <w:t xml:space="preserve">[표 10-7] 거절·이탈 패턴의 운영 반영</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05"/>
        <w:gridCol w:w="4150"/>
        <w:gridCol w:w="4283"/>
      </w:tblGrid>
      <w:tr>
        <w:trPr>
          <w:cantSplit/>
          <w:tblHeader/>
        </w:trPr>
        <w:tc>
          <w:tcPr>
            <w:tcW w:type="dxa" w:w="1205"/>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관찰 패턴</w:t>
            </w:r>
          </w:p>
        </w:tc>
        <w:tc>
          <w:tcPr>
            <w:tcW w:type="dxa" w:w="4150"/>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점검 항목</w:t>
            </w:r>
          </w:p>
        </w:tc>
        <w:tc>
          <w:tcPr>
            <w:tcW w:type="dxa" w:w="4283"/>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다음 운영 반영</w:t>
            </w:r>
          </w:p>
        </w:tc>
      </w:tr>
      <w:tr>
        <w:trPr>
          <w:cantSplit/>
          <w:tblHeader w:val="false"/>
        </w:trPr>
        <w:tc>
          <w:tcPr>
            <w:tcW w:type="dxa" w:w="1205"/>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가격 거절</w:t>
            </w:r>
          </w:p>
        </w:tc>
        <w:tc>
          <w:tcPr>
            <w:tcW w:type="dxa" w:w="415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총취득원가 설명 부족 여부</w:t>
            </w:r>
          </w:p>
        </w:tc>
        <w:tc>
          <w:tcPr>
            <w:tcW w:type="dxa" w:w="428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가격 비교 콘텐츠, 상담 순서 개선</w:t>
            </w:r>
          </w:p>
        </w:tc>
      </w:tr>
      <w:tr>
        <w:trPr>
          <w:cantSplit/>
          <w:tblHeader w:val="false"/>
        </w:trPr>
        <w:tc>
          <w:tcPr>
            <w:tcW w:type="dxa" w:w="1205"/>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미방문</w:t>
            </w:r>
          </w:p>
        </w:tc>
        <w:tc>
          <w:tcPr>
            <w:tcW w:type="dxa" w:w="415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예약 후 신뢰·리마인드 부족 여부</w:t>
            </w:r>
          </w:p>
        </w:tc>
        <w:tc>
          <w:tcPr>
            <w:tcW w:type="dxa" w:w="4283"/>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후속 콘텐츠, 발송 시점 조정</w:t>
            </w:r>
          </w:p>
        </w:tc>
      </w:tr>
      <w:tr>
        <w:trPr>
          <w:cantSplit/>
          <w:tblHeader w:val="false"/>
        </w:trPr>
        <w:tc>
          <w:tcPr>
            <w:tcW w:type="dxa" w:w="1205"/>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연락 지연</w:t>
            </w:r>
          </w:p>
        </w:tc>
        <w:tc>
          <w:tcPr>
            <w:tcW w:type="dxa" w:w="415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광고가 아닌 운영 병목으로 분류</w:t>
            </w:r>
          </w:p>
        </w:tc>
        <w:tc>
          <w:tcPr>
            <w:tcW w:type="dxa" w:w="428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배정·알림·예외 처리 규칙 개선</w:t>
            </w:r>
          </w:p>
        </w:tc>
      </w:tr>
    </w:tbl>
    <w:p>
      <w:pPr>
        <w:spacing w:after="200" w:before="0"/>
      </w:pPr>
    </w:p>
    <w:p>
      <w:pPr>
        <w:pStyle w:val="Heading2"/>
        <w:keepNext/>
        <w:spacing w:after="140" w:before="300"/>
      </w:pPr>
      <w:r>
        <w:rPr>
          <w:rFonts w:ascii="맑은 고딕" w:cs="맑은 고딕" w:eastAsia="맑은 고딕" w:hAnsi="맑은 고딕"/>
          <w:b/>
          <w:bCs/>
          <w:color w:val="1A1A1A"/>
          <w:sz w:val="23"/>
          <w:szCs w:val="23"/>
        </w:rPr>
        <w:t xml:space="preserve">10.6 소결</w:t>
      </w:r>
    </w:p>
    <w:p>
      <w:pPr>
        <w:keepNext w:val="false"/>
        <w:spacing w:after="130" w:before="60" w:line="310"/>
        <w:jc w:val="both"/>
      </w:pPr>
      <w:r>
        <w:rPr>
          <w:rFonts w:ascii="맑은 고딕" w:cs="맑은 고딕" w:eastAsia="맑은 고딕" w:hAnsi="맑은 고딕"/>
          <w:b w:val="false"/>
          <w:bCs w:val="false"/>
          <w:i w:val="false"/>
          <w:iCs w:val="false"/>
          <w:color w:val="1A1A1A"/>
          <w:sz w:val="20"/>
          <w:szCs w:val="20"/>
        </w:rPr>
        <w:t xml:space="preserve">학습과 최적화는 전통적 대행 구조에 존재하지 않는 마지막 두 단계입니다. DB 전달에서 업무가 종료되는 구조는 결과 데이터를 보유하지 못하므로 학습이 불가능하고, 학습이 없는 구조의 개선은 소재 교체 수준에 머무릅니다.</w:t>
      </w:r>
    </w:p>
    <w:p>
      <w:pPr>
        <w:keepNext w:val="false"/>
        <w:spacing w:after="130" w:before="60" w:line="310"/>
        <w:jc w:val="both"/>
      </w:pPr>
      <w:r>
        <w:rPr>
          <w:rFonts w:ascii="맑은 고딕" w:cs="맑은 고딕" w:eastAsia="맑은 고딕" w:hAnsi="맑은 고딕"/>
          <w:b w:val="false"/>
          <w:bCs w:val="false"/>
          <w:i w:val="false"/>
          <w:iCs w:val="false"/>
          <w:color w:val="1A1A1A"/>
          <w:sz w:val="20"/>
          <w:szCs w:val="20"/>
        </w:rPr>
        <w:t xml:space="preserve">본 체계에서 측정의 목적은 평가가 아니라 개선입니다. 병목 진단 결과는 주간 운영 사이클(제12장)을 통해 다음 주 운영에 반영되며, 거절 사유 데이터는 판매 논리(제6장)와 콘텐츠(제7장)의 갱신 입력이 됩니다.</w:t>
      </w:r>
    </w:p>
    <w:p>
      <w:pPr>
        <w:keepNext w:val="false"/>
        <w:spacing w:after="130" w:before="60" w:line="310"/>
        <w:jc w:val="both"/>
      </w:pPr>
      <w:r>
        <w:rPr>
          <w:rFonts w:ascii="맑은 고딕" w:cs="맑은 고딕" w:eastAsia="맑은 고딕" w:hAnsi="맑은 고딕"/>
          <w:b w:val="false"/>
          <w:bCs w:val="false"/>
          <w:i w:val="false"/>
          <w:iCs w:val="false"/>
          <w:color w:val="1A1A1A"/>
          <w:sz w:val="20"/>
          <w:szCs w:val="20"/>
        </w:rPr>
        <w:t xml:space="preserve">이 측정 체계와 짝을 이루는 것이 예산의 투명성이며, 제11장의 주제입니다.</w:t>
      </w:r>
    </w:p>
    <w:p>
      <w:pPr>
        <w:pStyle w:val="Heading1"/>
        <w:pageBreakBefore/>
        <w:pBdr>
          <w:bottom w:val="single" w:color="1F3864" w:sz="10" w:space="8"/>
        </w:pBdr>
        <w:spacing w:after="240" w:before="0"/>
      </w:pPr>
      <w:r>
        <w:rPr>
          <w:rFonts w:ascii="맑은 고딕" w:cs="맑은 고딕" w:eastAsia="맑은 고딕" w:hAnsi="맑은 고딕"/>
          <w:b/>
          <w:bCs/>
          <w:color w:val="1F3864"/>
          <w:sz w:val="30"/>
          <w:szCs w:val="30"/>
        </w:rPr>
        <w:t xml:space="preserve">제11장. 광고비 투명성</w:t>
      </w:r>
    </w:p>
    <w:p>
      <w:pPr>
        <w:keepNext w:val="false"/>
        <w:spacing w:after="130" w:before="60" w:line="310"/>
        <w:jc w:val="both"/>
      </w:pPr>
      <w:r>
        <w:rPr>
          <w:rFonts w:ascii="맑은 고딕" w:cs="맑은 고딕" w:eastAsia="맑은 고딕" w:hAnsi="맑은 고딕"/>
          <w:b/>
          <w:bCs/>
          <w:i w:val="false"/>
          <w:iCs w:val="false"/>
          <w:color w:val="1A1A1A"/>
          <w:sz w:val="20"/>
          <w:szCs w:val="20"/>
        </w:rPr>
        <w:t xml:space="preserve">헤드라인.</w:t>
      </w:r>
      <w:r>
        <w:rPr>
          <w:rFonts w:ascii="맑은 고딕" w:cs="맑은 고딕" w:eastAsia="맑은 고딕" w:hAnsi="맑은 고딕"/>
          <w:b w:val="false"/>
          <w:bCs w:val="false"/>
          <w:i w:val="false"/>
          <w:iCs w:val="false"/>
          <w:color w:val="1A1A1A"/>
          <w:sz w:val="20"/>
          <w:szCs w:val="20"/>
        </w:rPr>
        <w:t xml:space="preserve"> 광고비는 견적서가 아니라 실집행 원장으로 증빙합니다.</w:t>
      </w:r>
    </w:p>
    <w:p>
      <w:pPr>
        <w:keepNext/>
        <w:spacing w:after="90" w:before="220"/>
      </w:pPr>
      <w:r>
        <w:rPr>
          <w:rFonts w:ascii="맑은 고딕" w:cs="맑은 고딕" w:eastAsia="맑은 고딕" w:hAnsi="맑은 고딕"/>
          <w:b/>
          <w:bCs/>
          <w:color w:val="1F3864"/>
          <w:sz w:val="18"/>
          <w:szCs w:val="18"/>
        </w:rPr>
        <w:t xml:space="preserve">[표 11-1] 장 요약</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7838"/>
      </w:tblGrid>
      <w:tr>
        <w:trPr>
          <w:cantSplit/>
          <w:tblHeader/>
        </w:trPr>
        <w:tc>
          <w:tcPr>
            <w:tcW w:type="dxa" w:w="1800"/>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구분</w:t>
            </w:r>
          </w:p>
        </w:tc>
        <w:tc>
          <w:tcPr>
            <w:tcW w:type="dxa" w:w="7838"/>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내용</w:t>
            </w:r>
          </w:p>
        </w:tc>
      </w:tr>
      <w:tr>
        <w:trPr>
          <w:cantSplit/>
          <w:tblHeader w:val="false"/>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문제 (Problem)</w:t>
            </w:r>
          </w:p>
        </w:tc>
        <w:tc>
          <w:tcPr>
            <w:tcW w:type="dxa" w:w="783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총액 견적 방식에서는 실제 매체 집행액과 잔액을 확인할 수 없고, 업체 간 동일 조건 비교가 불가능하다</w:t>
            </w:r>
          </w:p>
        </w:tc>
      </w:tr>
      <w:tr>
        <w:trPr>
          <w:cantSplit/>
          <w:tblHeader w:val="false"/>
        </w:trPr>
        <w:tc>
          <w:tcPr>
            <w:tcW w:type="dxa" w:w="180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원인 (Reason)</w:t>
            </w:r>
          </w:p>
        </w:tc>
        <w:tc>
          <w:tcPr>
            <w:tcW w:type="dxa" w:w="7838"/>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수수료·콘텐츠 제작비·매체비가 하나의 금액으로 혼재되기 때문이다</w:t>
            </w:r>
          </w:p>
        </w:tc>
      </w:tr>
      <w:tr>
        <w:trPr>
          <w:cantSplit/>
          <w:tblHeader w:val="false"/>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방법 (Method)</w:t>
            </w:r>
          </w:p>
        </w:tc>
        <w:tc>
          <w:tcPr>
            <w:tcW w:type="dxa" w:w="783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수수료 10%·실집행 90%·제작비 별도의 분리 구조(11.2~11.3), 지원금의 실집행 등록(11.4), 공개 항목 표준(11.5), 종료 정산(11.6)을 운영한다</w:t>
            </w:r>
          </w:p>
        </w:tc>
      </w:tr>
      <w:tr>
        <w:trPr>
          <w:cantSplit/>
          <w:tblHeader w:val="false"/>
        </w:trPr>
        <w:tc>
          <w:tcPr>
            <w:tcW w:type="dxa" w:w="180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기대 효과 (Effect)</w:t>
            </w:r>
          </w:p>
        </w:tc>
        <w:tc>
          <w:tcPr>
            <w:tcW w:type="dxa" w:w="7838"/>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예산의 사용처와 고객 결과가 연결되어 검증되고, 동일 조건의 업체 비교가 가능해진다</w:t>
            </w:r>
          </w:p>
        </w:tc>
      </w:tr>
    </w:tbl>
    <w:p>
      <w:pPr>
        <w:spacing w:after="200" w:before="0"/>
      </w:pPr>
    </w:p>
    <w:p>
      <w:pPr>
        <w:pStyle w:val="Heading2"/>
        <w:keepNext/>
        <w:spacing w:after="140" w:before="300"/>
      </w:pPr>
      <w:r>
        <w:rPr>
          <w:rFonts w:ascii="맑은 고딕" w:cs="맑은 고딕" w:eastAsia="맑은 고딕" w:hAnsi="맑은 고딕"/>
          <w:b/>
          <w:bCs/>
          <w:color w:val="1A1A1A"/>
          <w:sz w:val="23"/>
          <w:szCs w:val="23"/>
        </w:rPr>
        <w:t xml:space="preserve">11.1 투명성의 원칙</w:t>
      </w:r>
    </w:p>
    <w:p>
      <w:pPr>
        <w:keepNext w:val="false"/>
        <w:spacing w:after="130" w:before="60" w:line="310"/>
        <w:jc w:val="both"/>
      </w:pPr>
      <w:r>
        <w:rPr>
          <w:rFonts w:ascii="맑은 고딕" w:cs="맑은 고딕" w:eastAsia="맑은 고딕" w:hAnsi="맑은 고딕"/>
          <w:b w:val="false"/>
          <w:bCs w:val="false"/>
          <w:i w:val="false"/>
          <w:iCs w:val="false"/>
          <w:color w:val="1A1A1A"/>
          <w:sz w:val="20"/>
          <w:szCs w:val="20"/>
        </w:rPr>
        <w:t xml:space="preserve">당사는 광고비를 수령했다는 사실만 증빙하지 않습니다. 현장이 지급한 금액이 어떤 기준으로 운영수수료와 콘텐츠 제작비로 구분됐고, 실제로 어느 매체·캠페인·소재에 사용됐으며, 얼마가 잔여하는지를 확인 가능하게 관리합니다.</w:t>
      </w:r>
    </w:p>
    <w:p>
      <w:pPr>
        <w:keepNext/>
        <w:spacing w:after="90" w:before="220"/>
      </w:pPr>
      <w:r>
        <w:rPr>
          <w:rFonts w:ascii="맑은 고딕" w:cs="맑은 고딕" w:eastAsia="맑은 고딕" w:hAnsi="맑은 고딕"/>
          <w:b/>
          <w:bCs/>
          <w:color w:val="1F3864"/>
          <w:sz w:val="18"/>
          <w:szCs w:val="18"/>
        </w:rPr>
        <w:t xml:space="preserve">[표 11-2] 예산 관리 구분</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54"/>
        <w:gridCol w:w="6884"/>
      </w:tblGrid>
      <w:tr>
        <w:trPr>
          <w:cantSplit/>
          <w:tblHeader/>
        </w:trPr>
        <w:tc>
          <w:tcPr>
            <w:tcW w:type="dxa" w:w="2754"/>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관리 구분</w:t>
            </w:r>
          </w:p>
        </w:tc>
        <w:tc>
          <w:tcPr>
            <w:tcW w:type="dxa" w:w="6884"/>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내용</w:t>
            </w:r>
          </w:p>
        </w:tc>
      </w:tr>
      <w:tr>
        <w:trPr>
          <w:cantSplit/>
          <w:tblHeader w:val="false"/>
        </w:trPr>
        <w:tc>
          <w:tcPr>
            <w:tcW w:type="dxa" w:w="2754"/>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전체 운영예산</w:t>
            </w:r>
          </w:p>
        </w:tc>
        <w:tc>
          <w:tcPr>
            <w:tcW w:type="dxa" w:w="6884"/>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계약 기준 총액 (부담금·지원금 구분 포함)</w:t>
            </w:r>
          </w:p>
        </w:tc>
      </w:tr>
      <w:tr>
        <w:trPr>
          <w:cantSplit/>
          <w:tblHeader w:val="false"/>
        </w:trPr>
        <w:tc>
          <w:tcPr>
            <w:tcW w:type="dxa" w:w="2754"/>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운영수수료</w:t>
            </w:r>
          </w:p>
        </w:tc>
        <w:tc>
          <w:tcPr>
            <w:tcW w:type="dxa" w:w="6884"/>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산정 기준과 금액</w:t>
            </w:r>
          </w:p>
        </w:tc>
      </w:tr>
      <w:tr>
        <w:trPr>
          <w:cantSplit/>
          <w:tblHeader w:val="false"/>
        </w:trPr>
        <w:tc>
          <w:tcPr>
            <w:tcW w:type="dxa" w:w="2754"/>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실제 매체 집행액</w:t>
            </w:r>
          </w:p>
        </w:tc>
        <w:tc>
          <w:tcPr>
            <w:tcW w:type="dxa" w:w="6884"/>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매체별 실제 사용 금액, 일별 사용 내역</w:t>
            </w:r>
          </w:p>
        </w:tc>
      </w:tr>
      <w:tr>
        <w:trPr>
          <w:cantSplit/>
          <w:tblHeader w:val="false"/>
        </w:trPr>
        <w:tc>
          <w:tcPr>
            <w:tcW w:type="dxa" w:w="2754"/>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잔여 광고비</w:t>
            </w:r>
          </w:p>
        </w:tc>
        <w:tc>
          <w:tcPr>
            <w:tcW w:type="dxa" w:w="6884"/>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환불·이월·정산 구분</w:t>
            </w:r>
          </w:p>
        </w:tc>
      </w:tr>
    </w:tbl>
    <w:p>
      <w:pPr>
        <w:spacing w:after="200" w:before="0"/>
      </w:pPr>
    </w:p>
    <w:p>
      <w:pPr>
        <w:keepNext/>
        <w:spacing w:after="90" w:before="220"/>
      </w:pPr>
      <w:r>
        <w:rPr>
          <w:rFonts w:ascii="맑은 고딕" w:cs="맑은 고딕" w:eastAsia="맑은 고딕" w:hAnsi="맑은 고딕"/>
          <w:b/>
          <w:bCs/>
          <w:color w:val="1F3864"/>
          <w:sz w:val="18"/>
          <w:szCs w:val="18"/>
        </w:rPr>
        <w:t xml:space="preserve">[표 11-3] 확인 수단</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48"/>
        <w:gridCol w:w="4753"/>
        <w:gridCol w:w="3037"/>
      </w:tblGrid>
      <w:tr>
        <w:trPr>
          <w:cantSplit/>
          <w:tblHeader/>
        </w:trPr>
        <w:tc>
          <w:tcPr>
            <w:tcW w:type="dxa" w:w="1848"/>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수단</w:t>
            </w:r>
          </w:p>
        </w:tc>
        <w:tc>
          <w:tcPr>
            <w:tcW w:type="dxa" w:w="4753"/>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확인 내용</w:t>
            </w:r>
          </w:p>
        </w:tc>
        <w:tc>
          <w:tcPr>
            <w:tcW w:type="dxa" w:w="3037"/>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제공 주기</w:t>
            </w:r>
          </w:p>
        </w:tc>
      </w:tr>
      <w:tr>
        <w:trPr>
          <w:cantSplit/>
          <w:tblHeader w:val="false"/>
        </w:trPr>
        <w:tc>
          <w:tcPr>
            <w:tcW w:type="dxa" w:w="184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운영 대시보드</w:t>
            </w:r>
          </w:p>
        </w:tc>
        <w:tc>
          <w:tcPr>
            <w:tcW w:type="dxa" w:w="475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예산·실집행·잔액·매체·성과·고객 상태</w:t>
            </w:r>
          </w:p>
        </w:tc>
        <w:tc>
          <w:tcPr>
            <w:tcW w:type="dxa" w:w="303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상시</w:t>
            </w:r>
          </w:p>
        </w:tc>
      </w:tr>
      <w:tr>
        <w:trPr>
          <w:cantSplit/>
          <w:tblHeader w:val="false"/>
        </w:trPr>
        <w:tc>
          <w:tcPr>
            <w:tcW w:type="dxa" w:w="1848"/>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매체 리포트</w:t>
            </w:r>
          </w:p>
        </w:tc>
        <w:tc>
          <w:tcPr>
            <w:tcW w:type="dxa" w:w="4753"/>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캠페인·소재·기간·지출·성과</w:t>
            </w:r>
          </w:p>
        </w:tc>
        <w:tc>
          <w:tcPr>
            <w:tcW w:type="dxa" w:w="3037"/>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주간·월간·종료</w:t>
            </w:r>
          </w:p>
        </w:tc>
      </w:tr>
      <w:tr>
        <w:trPr>
          <w:cantSplit/>
          <w:tblHeader w:val="false"/>
        </w:trPr>
        <w:tc>
          <w:tcPr>
            <w:tcW w:type="dxa" w:w="184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광고계정 화면</w:t>
            </w:r>
          </w:p>
        </w:tc>
        <w:tc>
          <w:tcPr>
            <w:tcW w:type="dxa" w:w="475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실제 집행·결제·권한·캠페인 설정</w:t>
            </w:r>
          </w:p>
        </w:tc>
        <w:tc>
          <w:tcPr>
            <w:tcW w:type="dxa" w:w="303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계정 정책과 계약에 따름</w:t>
            </w:r>
          </w:p>
        </w:tc>
      </w:tr>
      <w:tr>
        <w:trPr>
          <w:cantSplit/>
          <w:tblHeader w:val="false"/>
        </w:trPr>
        <w:tc>
          <w:tcPr>
            <w:tcW w:type="dxa" w:w="1848"/>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충전·결제 내역</w:t>
            </w:r>
          </w:p>
        </w:tc>
        <w:tc>
          <w:tcPr>
            <w:tcW w:type="dxa" w:w="4753"/>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결제일·금액·결제자·환불·크레딧</w:t>
            </w:r>
          </w:p>
        </w:tc>
        <w:tc>
          <w:tcPr>
            <w:tcW w:type="dxa" w:w="3037"/>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매체 결제 방식에 따름</w:t>
            </w:r>
          </w:p>
        </w:tc>
      </w:tr>
      <w:tr>
        <w:trPr>
          <w:cantSplit/>
          <w:tblHeader w:val="false"/>
        </w:trPr>
        <w:tc>
          <w:tcPr>
            <w:tcW w:type="dxa" w:w="184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종료 정산서</w:t>
            </w:r>
          </w:p>
        </w:tc>
        <w:tc>
          <w:tcPr>
            <w:tcW w:type="dxa" w:w="475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계약·수수료·제작비·실집행·잔액</w:t>
            </w:r>
          </w:p>
        </w:tc>
        <w:tc>
          <w:tcPr>
            <w:tcW w:type="dxa" w:w="303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종료 시</w:t>
            </w:r>
          </w:p>
        </w:tc>
      </w:tr>
    </w:tbl>
    <w:p>
      <w:pPr>
        <w:spacing w:after="200" w:before="0"/>
      </w:pPr>
    </w:p>
    <w:p>
      <w:pPr>
        <w:keepNext w:val="false"/>
        <w:spacing w:after="130" w:before="60" w:line="310"/>
        <w:jc w:val="both"/>
      </w:pPr>
      <w:r>
        <w:rPr>
          <w:rFonts w:ascii="맑은 고딕" w:cs="맑은 고딕" w:eastAsia="맑은 고딕" w:hAnsi="맑은 고딕"/>
          <w:b w:val="false"/>
          <w:bCs w:val="false"/>
          <w:i w:val="false"/>
          <w:iCs w:val="false"/>
          <w:color w:val="1A1A1A"/>
          <w:sz w:val="20"/>
          <w:szCs w:val="20"/>
        </w:rPr>
        <w:t xml:space="preserve">핵심은 </w:t>
      </w:r>
      <w:r>
        <w:rPr>
          <w:rFonts w:ascii="맑은 고딕" w:cs="맑은 고딕" w:eastAsia="맑은 고딕" w:hAnsi="맑은 고딕"/>
          <w:b/>
          <w:bCs/>
          <w:i w:val="false"/>
          <w:iCs w:val="false"/>
          <w:color w:val="1A1A1A"/>
          <w:sz w:val="20"/>
          <w:szCs w:val="20"/>
        </w:rPr>
        <w:t xml:space="preserve">Meta·Google·YouTube·LMS의 집행액을 광고계정·결제·플랫폼 리포트와 대조 검증할 수 있다</w:t>
      </w:r>
      <w:r>
        <w:rPr>
          <w:rFonts w:ascii="맑은 고딕" w:cs="맑은 고딕" w:eastAsia="맑은 고딕" w:hAnsi="맑은 고딕"/>
          <w:b w:val="false"/>
          <w:bCs w:val="false"/>
          <w:i w:val="false"/>
          <w:iCs w:val="false"/>
          <w:color w:val="1A1A1A"/>
          <w:sz w:val="20"/>
          <w:szCs w:val="20"/>
        </w:rPr>
        <w:t xml:space="preserve">는 점입니다. 대시보드 수치는 원천 자료와 대사(對査) 가능해야 하며, 이 대사 가능성 자체가 검수 항목입니다(제13장).</w:t>
      </w:r>
    </w:p>
    <w:p>
      <w:pPr>
        <w:pStyle w:val="Heading2"/>
        <w:keepNext/>
        <w:spacing w:after="140" w:before="300"/>
      </w:pPr>
      <w:r>
        <w:rPr>
          <w:rFonts w:ascii="맑은 고딕" w:cs="맑은 고딕" w:eastAsia="맑은 고딕" w:hAnsi="맑은 고딕"/>
          <w:b/>
          <w:bCs/>
          <w:color w:val="1A1A1A"/>
          <w:sz w:val="23"/>
          <w:szCs w:val="23"/>
        </w:rPr>
        <w:t xml:space="preserve">11.2 비용 구조</w:t>
      </w:r>
    </w:p>
    <w:p>
      <w:pPr>
        <w:keepNext w:val="false"/>
        <w:spacing w:after="130" w:before="60" w:line="310"/>
        <w:jc w:val="both"/>
      </w:pPr>
      <w:r>
        <w:rPr>
          <w:rFonts w:ascii="맑은 고딕" w:cs="맑은 고딕" w:eastAsia="맑은 고딕" w:hAnsi="맑은 고딕"/>
          <w:b w:val="false"/>
          <w:bCs w:val="false"/>
          <w:i w:val="false"/>
          <w:iCs w:val="false"/>
          <w:color w:val="1A1A1A"/>
          <w:sz w:val="20"/>
          <w:szCs w:val="20"/>
        </w:rPr>
        <w:t xml:space="preserve">표준 조건은 부가세 제외 광고운영예산의 10%를 운영수수료로, 90%를 실제 매체 집행 예산으로 구분하는 것입니다.</w:t>
      </w:r>
    </w:p>
    <w:p>
      <w:pPr>
        <w:keepNext/>
        <w:spacing w:after="90" w:before="220"/>
      </w:pPr>
      <w:r>
        <w:rPr>
          <w:rFonts w:ascii="맑은 고딕" w:cs="맑은 고딕" w:eastAsia="맑은 고딕" w:hAnsi="맑은 고딕"/>
          <w:b/>
          <w:bCs/>
          <w:color w:val="1F3864"/>
          <w:sz w:val="18"/>
          <w:szCs w:val="18"/>
        </w:rPr>
        <w:t xml:space="preserve">[표 11-4] 광고운영예산 1,000만원 예시 (부가세 제외, 비용 구조 설명용)</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89"/>
        <w:gridCol w:w="1572"/>
        <w:gridCol w:w="1150"/>
        <w:gridCol w:w="4327"/>
      </w:tblGrid>
      <w:tr>
        <w:trPr>
          <w:cantSplit/>
          <w:tblHeader/>
        </w:trPr>
        <w:tc>
          <w:tcPr>
            <w:tcW w:type="dxa" w:w="2589"/>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항목</w:t>
            </w:r>
          </w:p>
        </w:tc>
        <w:tc>
          <w:tcPr>
            <w:tcW w:type="dxa" w:w="1572"/>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금액</w:t>
            </w:r>
          </w:p>
        </w:tc>
        <w:tc>
          <w:tcPr>
            <w:tcW w:type="dxa" w:w="1150"/>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비율</w:t>
            </w:r>
          </w:p>
        </w:tc>
        <w:tc>
          <w:tcPr>
            <w:tcW w:type="dxa" w:w="4327"/>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비고</w:t>
            </w:r>
          </w:p>
        </w:tc>
      </w:tr>
      <w:tr>
        <w:trPr>
          <w:cantSplit/>
          <w:tblHeader w:val="false"/>
        </w:trPr>
        <w:tc>
          <w:tcPr>
            <w:tcW w:type="dxa" w:w="2589"/>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전체 광고운영예산</w:t>
            </w:r>
          </w:p>
        </w:tc>
        <w:tc>
          <w:tcPr>
            <w:tcW w:type="dxa" w:w="1572"/>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10,000,000원</w:t>
            </w:r>
          </w:p>
        </w:tc>
        <w:tc>
          <w:tcPr>
            <w:tcW w:type="dxa" w:w="115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100%</w:t>
            </w:r>
          </w:p>
        </w:tc>
        <w:tc>
          <w:tcPr>
            <w:tcW w:type="dxa" w:w="432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 </w:t>
            </w:r>
          </w:p>
        </w:tc>
      </w:tr>
      <w:tr>
        <w:trPr>
          <w:cantSplit/>
          <w:tblHeader w:val="false"/>
        </w:trPr>
        <w:tc>
          <w:tcPr>
            <w:tcW w:type="dxa" w:w="2589"/>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광고 운영수수료</w:t>
            </w:r>
          </w:p>
        </w:tc>
        <w:tc>
          <w:tcPr>
            <w:tcW w:type="dxa" w:w="1572"/>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1,000,000원</w:t>
            </w:r>
          </w:p>
        </w:tc>
        <w:tc>
          <w:tcPr>
            <w:tcW w:type="dxa" w:w="115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10%</w:t>
            </w:r>
          </w:p>
        </w:tc>
        <w:tc>
          <w:tcPr>
            <w:tcW w:type="dxa" w:w="4327"/>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운영 범위는 계약서에 명시</w:t>
            </w:r>
          </w:p>
        </w:tc>
      </w:tr>
      <w:tr>
        <w:trPr>
          <w:cantSplit/>
          <w:tblHeader w:val="false"/>
        </w:trPr>
        <w:tc>
          <w:tcPr>
            <w:tcW w:type="dxa" w:w="2589"/>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실제 매체 집행 예산</w:t>
            </w:r>
          </w:p>
        </w:tc>
        <w:tc>
          <w:tcPr>
            <w:tcW w:type="dxa" w:w="1572"/>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9,000,000원</w:t>
            </w:r>
          </w:p>
        </w:tc>
        <w:tc>
          <w:tcPr>
            <w:tcW w:type="dxa" w:w="115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90%</w:t>
            </w:r>
          </w:p>
        </w:tc>
        <w:tc>
          <w:tcPr>
            <w:tcW w:type="dxa" w:w="432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매체·캠페인별 사용 내역 공개</w:t>
            </w:r>
          </w:p>
        </w:tc>
      </w:tr>
      <w:tr>
        <w:trPr>
          <w:cantSplit/>
          <w:tblHeader w:val="false"/>
        </w:trPr>
        <w:tc>
          <w:tcPr>
            <w:tcW w:type="dxa" w:w="2589"/>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콘텐츠 제작비</w:t>
            </w:r>
          </w:p>
        </w:tc>
        <w:tc>
          <w:tcPr>
            <w:tcW w:type="dxa" w:w="1572"/>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별도 견적</w:t>
            </w:r>
          </w:p>
        </w:tc>
        <w:tc>
          <w:tcPr>
            <w:tcW w:type="dxa" w:w="115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w:t>
            </w:r>
          </w:p>
        </w:tc>
        <w:tc>
          <w:tcPr>
            <w:tcW w:type="dxa" w:w="4327"/>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영상·디자인·리포트·정보 허브 등</w:t>
            </w:r>
          </w:p>
        </w:tc>
      </w:tr>
    </w:tbl>
    <w:p>
      <w:pPr>
        <w:spacing w:after="200" w:before="0"/>
      </w:pPr>
    </w:p>
    <w:p>
      <w:pPr>
        <w:keepNext w:val="false"/>
        <w:spacing w:after="130" w:before="60" w:line="310"/>
        <w:jc w:val="both"/>
      </w:pPr>
      <w:r>
        <w:rPr>
          <w:rFonts w:ascii="맑은 고딕" w:cs="맑은 고딕" w:eastAsia="맑은 고딕" w:hAnsi="맑은 고딕"/>
          <w:b w:val="false"/>
          <w:bCs w:val="false"/>
          <w:i w:val="false"/>
          <w:iCs w:val="false"/>
          <w:color w:val="1A1A1A"/>
          <w:sz w:val="20"/>
          <w:szCs w:val="20"/>
        </w:rPr>
        <w:t xml:space="preserve">참고로 동일한 1,000만원 예산에서 수수료가 30%인 구조와 비교하면 실제 매체 집행 가능 금액은 700만원 대 900만원으로 200만원의 차이가 발생합니다. 다만 이 비교는 단순 산술 예시이며, 타사의 제작·운영 범위나 성과를 평가하는 근거로 사용될 수 없습니다. 수수료율은 구조와 함께 비교되어야 합니다(4.6).</w:t>
      </w:r>
    </w:p>
    <w:p>
      <w:pPr>
        <w:keepNext w:val="false"/>
        <w:spacing w:after="160" w:before="20" w:line="310"/>
        <w:jc w:val="left"/>
      </w:pPr>
      <w:r>
        <w:rPr>
          <w:rFonts w:ascii="맑은 고딕" w:cs="맑은 고딕" w:eastAsia="맑은 고딕" w:hAnsi="맑은 고딕"/>
          <w:b w:val="false"/>
          <w:bCs w:val="false"/>
          <w:i/>
          <w:iCs/>
          <w:color w:val="5A5A5A"/>
          <w:sz w:val="17"/>
          <w:szCs w:val="17"/>
        </w:rPr>
        <w:t xml:space="preserve">예시는 확정 견적이 아닙니다. 부가세, 최소 운영비, 결제수수료, 외부 솔루션비, 환율·매체 정책은 계약 전에 확정합니다.</w:t>
      </w:r>
    </w:p>
    <w:p>
      <w:pPr>
        <w:pStyle w:val="Heading2"/>
        <w:keepNext/>
        <w:spacing w:after="140" w:before="300"/>
      </w:pPr>
      <w:r>
        <w:rPr>
          <w:rFonts w:ascii="맑은 고딕" w:cs="맑은 고딕" w:eastAsia="맑은 고딕" w:hAnsi="맑은 고딕"/>
          <w:b/>
          <w:bCs/>
          <w:color w:val="1A1A1A"/>
          <w:sz w:val="23"/>
          <w:szCs w:val="23"/>
        </w:rPr>
        <w:t xml:space="preserve">11.3 콘텐츠 제작비 분리 원칙</w:t>
      </w:r>
    </w:p>
    <w:p>
      <w:pPr>
        <w:keepNext w:val="false"/>
        <w:spacing w:after="130" w:before="60" w:line="310"/>
        <w:jc w:val="both"/>
      </w:pPr>
      <w:r>
        <w:rPr>
          <w:rFonts w:ascii="맑은 고딕" w:cs="맑은 고딕" w:eastAsia="맑은 고딕" w:hAnsi="맑은 고딕"/>
          <w:b w:val="false"/>
          <w:bCs w:val="false"/>
          <w:i w:val="false"/>
          <w:iCs w:val="false"/>
          <w:color w:val="1A1A1A"/>
          <w:sz w:val="20"/>
          <w:szCs w:val="20"/>
        </w:rPr>
        <w:t xml:space="preserve">광고 운영비와 콘텐츠 제작비는 원가 구조와 업무 성격이 다르므로 처음부터 분리합니다.</w:t>
      </w:r>
    </w:p>
    <w:p>
      <w:pPr>
        <w:keepNext/>
        <w:spacing w:after="90" w:before="220"/>
      </w:pPr>
      <w:r>
        <w:rPr>
          <w:rFonts w:ascii="맑은 고딕" w:cs="맑은 고딕" w:eastAsia="맑은 고딕" w:hAnsi="맑은 고딕"/>
          <w:b/>
          <w:bCs/>
          <w:color w:val="1F3864"/>
          <w:sz w:val="18"/>
          <w:szCs w:val="18"/>
        </w:rPr>
        <w:t xml:space="preserve">[표 11-5] 운영수수료와 제작비의 구분</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0"/>
        <w:gridCol w:w="4580"/>
        <w:gridCol w:w="3908"/>
      </w:tblGrid>
      <w:tr>
        <w:trPr>
          <w:cantSplit/>
          <w:tblHeader/>
        </w:trPr>
        <w:tc>
          <w:tcPr>
            <w:tcW w:type="dxa" w:w="1150"/>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구분</w:t>
            </w:r>
          </w:p>
        </w:tc>
        <w:tc>
          <w:tcPr>
            <w:tcW w:type="dxa" w:w="4580"/>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광고 운영수수료 (10%)</w:t>
            </w:r>
          </w:p>
        </w:tc>
        <w:tc>
          <w:tcPr>
            <w:tcW w:type="dxa" w:w="3908"/>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별도 콘텐츠 제작비</w:t>
            </w:r>
          </w:p>
        </w:tc>
      </w:tr>
      <w:tr>
        <w:trPr>
          <w:cantSplit/>
          <w:tblHeader w:val="false"/>
        </w:trPr>
        <w:tc>
          <w:tcPr>
            <w:tcW w:type="dxa" w:w="115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주요 범위</w:t>
            </w:r>
          </w:p>
        </w:tc>
        <w:tc>
          <w:tcPr>
            <w:tcW w:type="dxa" w:w="458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계정·캠페인 세팅, 집행, 최적화, 리포트, 운영 회의</w:t>
            </w:r>
          </w:p>
        </w:tc>
        <w:tc>
          <w:tcPr>
            <w:tcW w:type="dxa" w:w="390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영상·촬영·디자인·리포트·정보 허브·3D 등</w:t>
            </w:r>
          </w:p>
        </w:tc>
      </w:tr>
      <w:tr>
        <w:trPr>
          <w:cantSplit/>
          <w:tblHeader w:val="false"/>
        </w:trPr>
        <w:tc>
          <w:tcPr>
            <w:tcW w:type="dxa" w:w="115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산정 방식</w:t>
            </w:r>
          </w:p>
        </w:tc>
        <w:tc>
          <w:tcPr>
            <w:tcW w:type="dxa" w:w="458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광고운영예산의 10%</w:t>
            </w:r>
          </w:p>
        </w:tc>
        <w:tc>
          <w:tcPr>
            <w:tcW w:type="dxa" w:w="3908"/>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품목·수량·난이도·수정 횟수·납기별 견적</w:t>
            </w:r>
          </w:p>
        </w:tc>
      </w:tr>
      <w:tr>
        <w:trPr>
          <w:cantSplit/>
          <w:tblHeader w:val="false"/>
        </w:trPr>
        <w:tc>
          <w:tcPr>
            <w:tcW w:type="dxa" w:w="115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승인 방식</w:t>
            </w:r>
          </w:p>
        </w:tc>
        <w:tc>
          <w:tcPr>
            <w:tcW w:type="dxa" w:w="458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운영 계약과 예산 승인</w:t>
            </w:r>
          </w:p>
        </w:tc>
        <w:tc>
          <w:tcPr>
            <w:tcW w:type="dxa" w:w="390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제작 착수 전 개별 산출내역 승인</w:t>
            </w:r>
          </w:p>
        </w:tc>
      </w:tr>
      <w:tr>
        <w:trPr>
          <w:cantSplit/>
          <w:tblHeader w:val="false"/>
        </w:trPr>
        <w:tc>
          <w:tcPr>
            <w:tcW w:type="dxa" w:w="115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권리·원본</w:t>
            </w:r>
          </w:p>
        </w:tc>
        <w:tc>
          <w:tcPr>
            <w:tcW w:type="dxa" w:w="458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광고계정·운영자료 기준</w:t>
            </w:r>
          </w:p>
        </w:tc>
        <w:tc>
          <w:tcPr>
            <w:tcW w:type="dxa" w:w="3908"/>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소스파일·초상권·음원·사용기간 별도 명시</w:t>
            </w:r>
          </w:p>
        </w:tc>
      </w:tr>
      <w:tr>
        <w:trPr>
          <w:cantSplit/>
          <w:tblHeader w:val="false"/>
        </w:trPr>
        <w:tc>
          <w:tcPr>
            <w:tcW w:type="dxa" w:w="115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추가 비용</w:t>
            </w:r>
          </w:p>
        </w:tc>
        <w:tc>
          <w:tcPr>
            <w:tcW w:type="dxa" w:w="458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계약 범위 초과 시 사전 협의</w:t>
            </w:r>
          </w:p>
        </w:tc>
        <w:tc>
          <w:tcPr>
            <w:tcW w:type="dxa" w:w="390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추가 촬영·대량 수정·긴급 납기 등 사전 협의</w:t>
            </w:r>
          </w:p>
        </w:tc>
      </w:tr>
    </w:tbl>
    <w:p>
      <w:pPr>
        <w:spacing w:after="200" w:before="0"/>
      </w:pPr>
    </w:p>
    <w:p>
      <w:pPr>
        <w:keepNext w:val="false"/>
        <w:spacing w:after="130" w:before="60" w:line="310"/>
        <w:jc w:val="both"/>
      </w:pPr>
      <w:r>
        <w:rPr>
          <w:rFonts w:ascii="맑은 고딕" w:cs="맑은 고딕" w:eastAsia="맑은 고딕" w:hAnsi="맑은 고딕"/>
          <w:b w:val="false"/>
          <w:bCs w:val="false"/>
          <w:i w:val="false"/>
          <w:iCs w:val="false"/>
          <w:color w:val="1A1A1A"/>
          <w:sz w:val="20"/>
          <w:szCs w:val="20"/>
        </w:rPr>
        <w:t xml:space="preserve">이 분리가 발주처를 보호하는 이유는 명확합니다. 제작비가 운영비에 혼재되면 </w:t>
      </w:r>
      <w:r>
        <w:rPr>
          <w:rFonts w:ascii="맑은 고딕" w:cs="맑은 고딕" w:eastAsia="맑은 고딕" w:hAnsi="맑은 고딕"/>
          <w:b/>
          <w:bCs/>
          <w:i w:val="false"/>
          <w:iCs w:val="false"/>
          <w:color w:val="1A1A1A"/>
          <w:sz w:val="20"/>
          <w:szCs w:val="20"/>
        </w:rPr>
        <w:t xml:space="preserve">"실제 광고에 사용된 금액"을 산출할 수 없게 되고</w:t>
      </w:r>
      <w:r>
        <w:rPr>
          <w:rFonts w:ascii="맑은 고딕" w:cs="맑은 고딕" w:eastAsia="맑은 고딕" w:hAnsi="맑은 고딕"/>
          <w:b w:val="false"/>
          <w:bCs w:val="false"/>
          <w:i w:val="false"/>
          <w:iCs w:val="false"/>
          <w:color w:val="1A1A1A"/>
          <w:sz w:val="20"/>
          <w:szCs w:val="20"/>
        </w:rPr>
        <w:t xml:space="preserve">, 그 시점부터 매체 효율의 평가, 업체 간 비교, 정산 검증이 모두 불가능해집니다.</w:t>
      </w:r>
    </w:p>
    <w:p>
      <w:pPr>
        <w:pStyle w:val="Heading2"/>
        <w:keepNext/>
        <w:spacing w:after="140" w:before="300"/>
      </w:pPr>
      <w:r>
        <w:rPr>
          <w:rFonts w:ascii="맑은 고딕" w:cs="맑은 고딕" w:eastAsia="맑은 고딕" w:hAnsi="맑은 고딕"/>
          <w:b/>
          <w:bCs/>
          <w:color w:val="1A1A1A"/>
          <w:sz w:val="23"/>
          <w:szCs w:val="23"/>
        </w:rPr>
        <w:t xml:space="preserve">11.4 1+1 광고비 지원 구조의 운영</w:t>
      </w:r>
    </w:p>
    <w:p>
      <w:pPr>
        <w:keepNext/>
        <w:spacing w:after="90" w:before="220"/>
      </w:pPr>
      <w:r>
        <w:rPr>
          <w:rFonts w:ascii="맑은 고딕" w:cs="맑은 고딕" w:eastAsia="맑은 고딕" w:hAnsi="맑은 고딕"/>
          <w:b/>
          <w:bCs/>
          <w:color w:val="1F3864"/>
          <w:sz w:val="18"/>
          <w:szCs w:val="18"/>
        </w:rPr>
        <w:t xml:space="preserve">[표 11-6] 지원 구조 운영 6원칙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7838"/>
      </w:tblGrid>
      <w:tr>
        <w:trPr>
          <w:cantSplit/>
          <w:tblHeader/>
        </w:trPr>
        <w:tc>
          <w:tcPr>
            <w:tcW w:type="dxa" w:w="1800"/>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원칙</w:t>
            </w:r>
          </w:p>
        </w:tc>
        <w:tc>
          <w:tcPr>
            <w:tcW w:type="dxa" w:w="7838"/>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내용</w:t>
            </w:r>
          </w:p>
        </w:tc>
      </w:tr>
      <w:tr>
        <w:trPr>
          <w:cantSplit/>
          <w:tblHeader w:val="false"/>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① 별도 등록</w:t>
            </w:r>
          </w:p>
        </w:tc>
        <w:tc>
          <w:tcPr>
            <w:tcW w:type="dxa" w:w="783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부담금과 지원금을 구분 등록하여 주체별 기여 예산을 확인 가능하게 함</w:t>
            </w:r>
          </w:p>
        </w:tc>
      </w:tr>
      <w:tr>
        <w:trPr>
          <w:cantSplit/>
          <w:tblHeader w:val="false"/>
        </w:trPr>
        <w:tc>
          <w:tcPr>
            <w:tcW w:type="dxa" w:w="180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② 사전 승인</w:t>
            </w:r>
          </w:p>
        </w:tc>
        <w:tc>
          <w:tcPr>
            <w:tcW w:type="dxa" w:w="7838"/>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매체별 배분 계획을 사전 승인받고 실제 집행과의 차이를 기록</w:t>
            </w:r>
          </w:p>
        </w:tc>
      </w:tr>
      <w:tr>
        <w:trPr>
          <w:cantSplit/>
          <w:tblHeader w:val="false"/>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③ 실집행 연결</w:t>
            </w:r>
          </w:p>
        </w:tc>
        <w:tc>
          <w:tcPr>
            <w:tcW w:type="dxa" w:w="783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지원받은 광고비까지 견적서상 금액으로 남기지 않고 실제 집행 예산으로 등록</w:t>
            </w:r>
          </w:p>
        </w:tc>
      </w:tr>
      <w:tr>
        <w:trPr>
          <w:cantSplit/>
          <w:tblHeader w:val="false"/>
        </w:trPr>
        <w:tc>
          <w:tcPr>
            <w:tcW w:type="dxa" w:w="180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④ 내역 공개</w:t>
            </w:r>
          </w:p>
        </w:tc>
        <w:tc>
          <w:tcPr>
            <w:tcW w:type="dxa" w:w="7838"/>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일별·캠페인별 사용 내역과 잔여 예산을 확인 가능하게 함</w:t>
            </w:r>
          </w:p>
        </w:tc>
      </w:tr>
      <w:tr>
        <w:trPr>
          <w:cantSplit/>
          <w:tblHeader w:val="false"/>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⑤ 성과 연결</w:t>
            </w:r>
          </w:p>
        </w:tc>
        <w:tc>
          <w:tcPr>
            <w:tcW w:type="dxa" w:w="783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지원금으로 유입된 DB도 캠페인·소재와 연결하여 상담·방문·계약 결과를 분석</w:t>
            </w:r>
          </w:p>
        </w:tc>
      </w:tr>
      <w:tr>
        <w:trPr>
          <w:cantSplit/>
          <w:tblHeader w:val="false"/>
        </w:trPr>
        <w:tc>
          <w:tcPr>
            <w:tcW w:type="dxa" w:w="180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⑥ 종료 정산</w:t>
            </w:r>
          </w:p>
        </w:tc>
        <w:tc>
          <w:tcPr>
            <w:tcW w:type="dxa" w:w="7838"/>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미집행 잔액의 환급·이월·차기 집행을 계약 기준에 따라 정산</w:t>
            </w:r>
          </w:p>
        </w:tc>
      </w:tr>
    </w:tbl>
    <w:p>
      <w:pPr>
        <w:spacing w:after="200" w:before="0"/>
      </w:pPr>
    </w:p>
    <w:p>
      <w:pPr>
        <w:keepNext w:val="false"/>
        <w:spacing w:after="130" w:before="60" w:line="310"/>
        <w:jc w:val="both"/>
      </w:pPr>
      <w:r>
        <w:rPr>
          <w:rFonts w:ascii="맑은 고딕" w:cs="맑은 고딕" w:eastAsia="맑은 고딕" w:hAnsi="맑은 고딕"/>
          <w:b w:val="false"/>
          <w:bCs w:val="false"/>
          <w:i w:val="false"/>
          <w:iCs w:val="false"/>
          <w:color w:val="1A1A1A"/>
          <w:sz w:val="20"/>
          <w:szCs w:val="20"/>
        </w:rPr>
        <w:t xml:space="preserve">지원 제도의 취지(현장 참여 촉진)를 유지하는 방법은 통제를 제거하는 것이 아니라 </w:t>
      </w:r>
      <w:r>
        <w:rPr>
          <w:rFonts w:ascii="맑은 고딕" w:cs="맑은 고딕" w:eastAsia="맑은 고딕" w:hAnsi="맑은 고딕"/>
          <w:b/>
          <w:bCs/>
          <w:i w:val="false"/>
          <w:iCs w:val="false"/>
          <w:color w:val="1A1A1A"/>
          <w:sz w:val="20"/>
          <w:szCs w:val="20"/>
        </w:rPr>
        <w:t xml:space="preserve">추적을 가능하게 하는 것</w:t>
      </w:r>
      <w:r>
        <w:rPr>
          <w:rFonts w:ascii="맑은 고딕" w:cs="맑은 고딕" w:eastAsia="맑은 고딕" w:hAnsi="맑은 고딕"/>
          <w:b w:val="false"/>
          <w:bCs w:val="false"/>
          <w:i w:val="false"/>
          <w:iCs w:val="false"/>
          <w:color w:val="1A1A1A"/>
          <w:sz w:val="20"/>
          <w:szCs w:val="20"/>
        </w:rPr>
        <w:t xml:space="preserve">입니다. 지원 주체는 자신의 지원금이 어느 매체에서 어떤 고객을 만들었는지 확인할 수 있어야 합니다.</w:t>
      </w:r>
    </w:p>
    <w:p>
      <w:pPr>
        <w:pStyle w:val="Heading2"/>
        <w:keepNext/>
        <w:spacing w:after="140" w:before="300"/>
      </w:pPr>
      <w:r>
        <w:rPr>
          <w:rFonts w:ascii="맑은 고딕" w:cs="맑은 고딕" w:eastAsia="맑은 고딕" w:hAnsi="맑은 고딕"/>
          <w:b/>
          <w:bCs/>
          <w:color w:val="1A1A1A"/>
          <w:sz w:val="23"/>
          <w:szCs w:val="23"/>
        </w:rPr>
        <w:t xml:space="preserve">11.5 공개 항목</w:t>
      </w:r>
    </w:p>
    <w:p>
      <w:pPr>
        <w:keepNext/>
        <w:spacing w:after="90" w:before="220"/>
      </w:pPr>
      <w:r>
        <w:rPr>
          <w:rFonts w:ascii="맑은 고딕" w:cs="맑은 고딕" w:eastAsia="맑은 고딕" w:hAnsi="맑은 고딕"/>
          <w:b/>
          <w:bCs/>
          <w:color w:val="1F3864"/>
          <w:sz w:val="18"/>
          <w:szCs w:val="18"/>
        </w:rPr>
        <w:t xml:space="preserve">[표 11-7] 광고비·성과 공개 항목</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7838"/>
      </w:tblGrid>
      <w:tr>
        <w:trPr>
          <w:cantSplit/>
          <w:tblHeader/>
        </w:trPr>
        <w:tc>
          <w:tcPr>
            <w:tcW w:type="dxa" w:w="1800"/>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구분</w:t>
            </w:r>
          </w:p>
        </w:tc>
        <w:tc>
          <w:tcPr>
            <w:tcW w:type="dxa" w:w="7838"/>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세부 항목</w:t>
            </w:r>
          </w:p>
        </w:tc>
      </w:tr>
      <w:tr>
        <w:trPr>
          <w:cantSplit/>
          <w:tblHeader w:val="false"/>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계약·예산</w:t>
            </w:r>
          </w:p>
        </w:tc>
        <w:tc>
          <w:tcPr>
            <w:tcW w:type="dxa" w:w="783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전체 계약 금액, 광고운영예산, 현장 부담금, 지원금, 부가세, 별도 제작비</w:t>
            </w:r>
          </w:p>
        </w:tc>
      </w:tr>
      <w:tr>
        <w:trPr>
          <w:cantSplit/>
          <w:tblHeader w:val="false"/>
        </w:trPr>
        <w:tc>
          <w:tcPr>
            <w:tcW w:type="dxa" w:w="180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수수료</w:t>
            </w:r>
          </w:p>
        </w:tc>
        <w:tc>
          <w:tcPr>
            <w:tcW w:type="dxa" w:w="7838"/>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광고 운영수수료, 산정 기준, 추가 서비스 비용</w:t>
            </w:r>
          </w:p>
        </w:tc>
      </w:tr>
      <w:tr>
        <w:trPr>
          <w:cantSplit/>
          <w:tblHeader w:val="false"/>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실집행</w:t>
            </w:r>
          </w:p>
        </w:tc>
        <w:tc>
          <w:tcPr>
            <w:tcW w:type="dxa" w:w="783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실제 매체 집행 금액, 매체·캠페인·소재·일별 사용 금액, 집행 기간</w:t>
            </w:r>
          </w:p>
        </w:tc>
      </w:tr>
      <w:tr>
        <w:trPr>
          <w:cantSplit/>
          <w:tblHeader w:val="false"/>
        </w:trPr>
        <w:tc>
          <w:tcPr>
            <w:tcW w:type="dxa" w:w="180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잔액·정산</w:t>
            </w:r>
          </w:p>
        </w:tc>
        <w:tc>
          <w:tcPr>
            <w:tcW w:type="dxa" w:w="7838"/>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충전·결제 내역, 사용액, 잔여 광고비, 종료 후 정산·이월 기준</w:t>
            </w:r>
          </w:p>
        </w:tc>
      </w:tr>
      <w:tr>
        <w:trPr>
          <w:cantSplit/>
          <w:tblHeader w:val="false"/>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광고 성과</w:t>
            </w:r>
          </w:p>
        </w:tc>
        <w:tc>
          <w:tcPr>
            <w:tcW w:type="dxa" w:w="783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노출·클릭·조회·전화·상담 신청·DB·DB당 비용</w:t>
            </w:r>
          </w:p>
        </w:tc>
      </w:tr>
      <w:tr>
        <w:trPr>
          <w:cantSplit/>
          <w:tblHeader w:val="false"/>
        </w:trPr>
        <w:tc>
          <w:tcPr>
            <w:tcW w:type="dxa" w:w="180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전환 성과</w:t>
            </w:r>
          </w:p>
        </w:tc>
        <w:tc>
          <w:tcPr>
            <w:tcW w:type="dxa" w:w="7838"/>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유효 DB·상담 완료·방문 예약·실방문·계약 검토·계약</w:t>
            </w:r>
          </w:p>
        </w:tc>
      </w:tr>
      <w:tr>
        <w:trPr>
          <w:cantSplit/>
          <w:tblHeader w:val="false"/>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운영 품질</w:t>
            </w:r>
          </w:p>
        </w:tc>
        <w:tc>
          <w:tcPr>
            <w:tcW w:type="dxa" w:w="783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중복률, 최초 연락시간, 연락 지연, 미처리, 거절 사유</w:t>
            </w:r>
          </w:p>
        </w:tc>
      </w:tr>
    </w:tbl>
    <w:p>
      <w:pPr>
        <w:spacing w:after="200" w:before="0"/>
      </w:pPr>
    </w:p>
    <w:p>
      <w:pPr>
        <w:keepNext w:val="false"/>
        <w:spacing w:after="130" w:before="60" w:line="310"/>
        <w:jc w:val="both"/>
      </w:pPr>
      <w:r>
        <w:rPr>
          <w:rFonts w:ascii="맑은 고딕" w:cs="맑은 고딕" w:eastAsia="맑은 고딕" w:hAnsi="맑은 고딕"/>
          <w:b w:val="false"/>
          <w:bCs w:val="false"/>
          <w:i w:val="false"/>
          <w:iCs w:val="false"/>
          <w:color w:val="1A1A1A"/>
          <w:sz w:val="20"/>
          <w:szCs w:val="20"/>
        </w:rPr>
        <w:t xml:space="preserve">마지막 두 행이 본 장의 핵심입니다. 광고비 투명성은 "예산이 어디에 사용됐는가"에서 종료되지 않고 </w:t>
      </w:r>
      <w:r>
        <w:rPr>
          <w:rFonts w:ascii="맑은 고딕" w:cs="맑은 고딕" w:eastAsia="맑은 고딕" w:hAnsi="맑은 고딕"/>
          <w:b/>
          <w:bCs/>
          <w:i w:val="false"/>
          <w:iCs w:val="false"/>
          <w:color w:val="1A1A1A"/>
          <w:sz w:val="20"/>
          <w:szCs w:val="20"/>
        </w:rPr>
        <w:t xml:space="preserve">"그 예산이 어떤 고객 결과를 만들었는가"까지 연결될 때</w:t>
      </w:r>
      <w:r>
        <w:rPr>
          <w:rFonts w:ascii="맑은 고딕" w:cs="맑은 고딕" w:eastAsia="맑은 고딕" w:hAnsi="맑은 고딕"/>
          <w:b w:val="false"/>
          <w:bCs w:val="false"/>
          <w:i w:val="false"/>
          <w:iCs w:val="false"/>
          <w:color w:val="1A1A1A"/>
          <w:sz w:val="20"/>
          <w:szCs w:val="20"/>
        </w:rPr>
        <w:t xml:space="preserve"> 완성됩니다.</w:t>
      </w:r>
    </w:p>
    <w:p>
      <w:pPr>
        <w:keepNext w:val="false"/>
        <w:spacing w:after="130" w:before="60" w:line="310"/>
        <w:jc w:val="both"/>
      </w:pPr>
      <w:r>
        <w:rPr>
          <w:rFonts w:ascii="맑은 고딕" w:cs="맑은 고딕" w:eastAsia="맑은 고딕" w:hAnsi="맑은 고딕"/>
          <w:b w:val="false"/>
          <w:bCs w:val="false"/>
          <w:i w:val="false"/>
          <w:iCs w:val="false"/>
          <w:color w:val="1A1A1A"/>
          <w:sz w:val="20"/>
          <w:szCs w:val="20"/>
        </w:rPr>
        <w:t xml:space="preserve">예산 원장과 고객 원장이 동일한 체계에 존재한다는 것, 이것이 당사가 광고대행이 아니라 운영 시스템인 이유의 재무적 표현입니다.</w:t>
      </w:r>
    </w:p>
    <w:p>
      <w:pPr>
        <w:pStyle w:val="Heading2"/>
        <w:keepNext/>
        <w:spacing w:after="140" w:before="300"/>
      </w:pPr>
      <w:r>
        <w:rPr>
          <w:rFonts w:ascii="맑은 고딕" w:cs="맑은 고딕" w:eastAsia="맑은 고딕" w:hAnsi="맑은 고딕"/>
          <w:b/>
          <w:bCs/>
          <w:color w:val="1A1A1A"/>
          <w:sz w:val="23"/>
          <w:szCs w:val="23"/>
        </w:rPr>
        <w:t xml:space="preserve">11.6 종료 정산</w:t>
      </w:r>
    </w:p>
    <w:p>
      <w:pPr>
        <w:keepNext/>
        <w:spacing w:after="90" w:before="220"/>
      </w:pPr>
      <w:r>
        <w:rPr>
          <w:rFonts w:ascii="맑은 고딕" w:cs="맑은 고딕" w:eastAsia="맑은 고딕" w:hAnsi="맑은 고딕"/>
          <w:b/>
          <w:bCs/>
          <w:color w:val="1F3864"/>
          <w:sz w:val="18"/>
          <w:szCs w:val="18"/>
        </w:rPr>
        <w:t xml:space="preserve">[표 11-8] 종료 시 정산·인계 항목</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7838"/>
      </w:tblGrid>
      <w:tr>
        <w:trPr>
          <w:cantSplit/>
          <w:tblHeader/>
        </w:trPr>
        <w:tc>
          <w:tcPr>
            <w:tcW w:type="dxa" w:w="1800"/>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정산 영역</w:t>
            </w:r>
          </w:p>
        </w:tc>
        <w:tc>
          <w:tcPr>
            <w:tcW w:type="dxa" w:w="7838"/>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수행 내용</w:t>
            </w:r>
          </w:p>
        </w:tc>
      </w:tr>
      <w:tr>
        <w:trPr>
          <w:cantSplit/>
          <w:tblHeader w:val="false"/>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예산 대사</w:t>
            </w:r>
          </w:p>
        </w:tc>
        <w:tc>
          <w:tcPr>
            <w:tcW w:type="dxa" w:w="783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계약 금액·수수료·제작비·실집행액·잔액·부가세의 대사와 정산서 제출</w:t>
            </w:r>
          </w:p>
        </w:tc>
      </w:tr>
      <w:tr>
        <w:trPr>
          <w:cantSplit/>
          <w:tblHeader w:val="false"/>
        </w:trPr>
        <w:tc>
          <w:tcPr>
            <w:tcW w:type="dxa" w:w="180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계정 정리</w:t>
            </w:r>
          </w:p>
        </w:tc>
        <w:tc>
          <w:tcPr>
            <w:tcW w:type="dxa" w:w="7838"/>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광고계정 권한·소유·결제 수단·잔여 예산 처리</w:t>
            </w:r>
          </w:p>
        </w:tc>
      </w:tr>
      <w:tr>
        <w:trPr>
          <w:cantSplit/>
          <w:tblHeader w:val="false"/>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체계 인계</w:t>
            </w:r>
          </w:p>
        </w:tc>
        <w:tc>
          <w:tcPr>
            <w:tcW w:type="dxa" w:w="783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캠페인·소재·전환 설정·유입 추적 체계의 최종 상태</w:t>
            </w:r>
          </w:p>
        </w:tc>
      </w:tr>
      <w:tr>
        <w:trPr>
          <w:cantSplit/>
          <w:tblHeader w:val="false"/>
        </w:trPr>
        <w:tc>
          <w:tcPr>
            <w:tcW w:type="dxa" w:w="180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데이터 처리</w:t>
            </w:r>
          </w:p>
        </w:tc>
        <w:tc>
          <w:tcPr>
            <w:tcW w:type="dxa" w:w="7838"/>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고객 DB 내보내기, 개인정보 보관·반환·삭제·파기 확인 (제14장)</w:t>
            </w:r>
          </w:p>
        </w:tc>
      </w:tr>
      <w:tr>
        <w:trPr>
          <w:cantSplit/>
          <w:tblHeader w:val="false"/>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성과 총괄</w:t>
            </w:r>
          </w:p>
        </w:tc>
        <w:tc>
          <w:tcPr>
            <w:tcW w:type="dxa" w:w="783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기준선 대비 결과, 외부 변수, 기여 한계, 개선 과제</w:t>
            </w:r>
          </w:p>
        </w:tc>
      </w:tr>
    </w:tbl>
    <w:p>
      <w:pPr>
        <w:spacing w:after="200" w:before="0"/>
      </w:pPr>
    </w:p>
    <w:p>
      <w:pPr>
        <w:pStyle w:val="Heading2"/>
        <w:keepNext/>
        <w:spacing w:after="140" w:before="300"/>
      </w:pPr>
      <w:r>
        <w:rPr>
          <w:rFonts w:ascii="맑은 고딕" w:cs="맑은 고딕" w:eastAsia="맑은 고딕" w:hAnsi="맑은 고딕"/>
          <w:b/>
          <w:bCs/>
          <w:color w:val="1A1A1A"/>
          <w:sz w:val="23"/>
          <w:szCs w:val="23"/>
        </w:rPr>
        <w:t xml:space="preserve">11.7 소결</w:t>
      </w:r>
    </w:p>
    <w:p>
      <w:pPr>
        <w:keepNext w:val="false"/>
        <w:spacing w:after="130" w:before="60" w:line="310"/>
        <w:jc w:val="both"/>
      </w:pPr>
      <w:r>
        <w:rPr>
          <w:rFonts w:ascii="맑은 고딕" w:cs="맑은 고딕" w:eastAsia="맑은 고딕" w:hAnsi="맑은 고딕"/>
          <w:b w:val="false"/>
          <w:bCs w:val="false"/>
          <w:i w:val="false"/>
          <w:iCs w:val="false"/>
          <w:color w:val="1A1A1A"/>
          <w:sz w:val="20"/>
          <w:szCs w:val="20"/>
        </w:rPr>
        <w:t xml:space="preserve">종료 정산은 서류 절차가 아니라, 발주처가 연장·확대·종료의 의사결정을 데이터 위에서 내리게 하는 최종 산출물입니다.</w:t>
      </w:r>
    </w:p>
    <w:p>
      <w:pPr>
        <w:keepNext w:val="false"/>
        <w:spacing w:after="130" w:before="60" w:line="310"/>
        <w:jc w:val="both"/>
      </w:pPr>
      <w:r>
        <w:rPr>
          <w:rFonts w:ascii="맑은 고딕" w:cs="맑은 고딕" w:eastAsia="맑은 고딕" w:hAnsi="맑은 고딕"/>
          <w:b w:val="false"/>
          <w:bCs w:val="false"/>
          <w:i w:val="false"/>
          <w:iCs w:val="false"/>
          <w:color w:val="1A1A1A"/>
          <w:sz w:val="20"/>
          <w:szCs w:val="20"/>
        </w:rPr>
        <w:t xml:space="preserve">여기까지가 운영의 내용이며, 이 운영이 90일 동안 어떤 순서와 승인 절차로 진행되는지가 제12장의 주제입니다.</w:t>
      </w:r>
    </w:p>
    <w:p>
      <w:pPr>
        <w:pStyle w:val="Heading1"/>
        <w:pageBreakBefore/>
        <w:pBdr>
          <w:bottom w:val="single" w:color="1F3864" w:sz="10" w:space="8"/>
        </w:pBdr>
        <w:spacing w:after="240" w:before="0"/>
      </w:pPr>
      <w:r>
        <w:rPr>
          <w:rFonts w:ascii="맑은 고딕" w:cs="맑은 고딕" w:eastAsia="맑은 고딕" w:hAnsi="맑은 고딕"/>
          <w:b/>
          <w:bCs/>
          <w:color w:val="1F3864"/>
          <w:sz w:val="30"/>
          <w:szCs w:val="30"/>
        </w:rPr>
        <w:t xml:space="preserve">제12장. 90일 운영 프로세스</w:t>
      </w:r>
    </w:p>
    <w:p>
      <w:pPr>
        <w:keepNext w:val="false"/>
        <w:spacing w:after="130" w:before="60" w:line="310"/>
        <w:jc w:val="both"/>
      </w:pPr>
      <w:r>
        <w:rPr>
          <w:rFonts w:ascii="맑은 고딕" w:cs="맑은 고딕" w:eastAsia="맑은 고딕" w:hAnsi="맑은 고딕"/>
          <w:b/>
          <w:bCs/>
          <w:i w:val="false"/>
          <w:iCs w:val="false"/>
          <w:color w:val="1A1A1A"/>
          <w:sz w:val="20"/>
          <w:szCs w:val="20"/>
        </w:rPr>
        <w:t xml:space="preserve">헤드라인.</w:t>
      </w:r>
      <w:r>
        <w:rPr>
          <w:rFonts w:ascii="맑은 고딕" w:cs="맑은 고딕" w:eastAsia="맑은 고딕" w:hAnsi="맑은 고딕"/>
          <w:b w:val="false"/>
          <w:bCs w:val="false"/>
          <w:i w:val="false"/>
          <w:iCs w:val="false"/>
          <w:color w:val="1A1A1A"/>
          <w:sz w:val="20"/>
          <w:szCs w:val="20"/>
        </w:rPr>
        <w:t xml:space="preserve"> 90일은 집행 기간이 아니라, 승인 게이트로 통제되는 학습 구간입니다.</w:t>
      </w:r>
    </w:p>
    <w:p>
      <w:pPr>
        <w:keepNext/>
        <w:spacing w:after="90" w:before="220"/>
      </w:pPr>
      <w:r>
        <w:rPr>
          <w:rFonts w:ascii="맑은 고딕" w:cs="맑은 고딕" w:eastAsia="맑은 고딕" w:hAnsi="맑은 고딕"/>
          <w:b/>
          <w:bCs/>
          <w:color w:val="1F3864"/>
          <w:sz w:val="18"/>
          <w:szCs w:val="18"/>
        </w:rPr>
        <w:t xml:space="preserve">[표 12-1] 장 요약</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7838"/>
      </w:tblGrid>
      <w:tr>
        <w:trPr>
          <w:cantSplit/>
          <w:tblHeader/>
        </w:trPr>
        <w:tc>
          <w:tcPr>
            <w:tcW w:type="dxa" w:w="1800"/>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구분</w:t>
            </w:r>
          </w:p>
        </w:tc>
        <w:tc>
          <w:tcPr>
            <w:tcW w:type="dxa" w:w="7838"/>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내용</w:t>
            </w:r>
          </w:p>
        </w:tc>
      </w:tr>
      <w:tr>
        <w:trPr>
          <w:cantSplit/>
          <w:tblHeader w:val="false"/>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문제 (Problem)</w:t>
            </w:r>
          </w:p>
        </w:tc>
        <w:tc>
          <w:tcPr>
            <w:tcW w:type="dxa" w:w="783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준비 없이 시작한 광고는 추적·표현·운영 기준의 부재로 초기 예산을 소모한다</w:t>
            </w:r>
          </w:p>
        </w:tc>
      </w:tr>
      <w:tr>
        <w:trPr>
          <w:cantSplit/>
          <w:tblHeader w:val="false"/>
        </w:trPr>
        <w:tc>
          <w:tcPr>
            <w:tcW w:type="dxa" w:w="180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원인 (Reason)</w:t>
            </w:r>
          </w:p>
        </w:tc>
        <w:tc>
          <w:tcPr>
            <w:tcW w:type="dxa" w:w="7838"/>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집행 전에 확정해야 할 기준(데이터·분석·추적·운영·예산)이 관행적으로 생략되기 때문이다</w:t>
            </w:r>
          </w:p>
        </w:tc>
      </w:tr>
      <w:tr>
        <w:trPr>
          <w:cantSplit/>
          <w:tblHeader w:val="false"/>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방법 (Method)</w:t>
            </w:r>
          </w:p>
        </w:tc>
        <w:tc>
          <w:tcPr>
            <w:tcW w:type="dxa" w:w="783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5개 필수 확인(12.2) → 6단계 로드맵(12.3) → 주간 사이클(12.4) → 승인 게이트(12.5)로 진행을 통제한다</w:t>
            </w:r>
          </w:p>
        </w:tc>
      </w:tr>
      <w:tr>
        <w:trPr>
          <w:cantSplit/>
          <w:tblHeader w:val="false"/>
        </w:trPr>
        <w:tc>
          <w:tcPr>
            <w:tcW w:type="dxa" w:w="180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기대 효과 (Effect)</w:t>
            </w:r>
          </w:p>
        </w:tc>
        <w:tc>
          <w:tcPr>
            <w:tcW w:type="dxa" w:w="7838"/>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5주차에 표준 운영이 개시되고, 90일 종료 시 연장·확장 판단의 검증된 근거가 확보된다</w:t>
            </w:r>
          </w:p>
        </w:tc>
      </w:tr>
    </w:tbl>
    <w:p>
      <w:pPr>
        <w:spacing w:after="200" w:before="0"/>
      </w:pPr>
    </w:p>
    <w:p>
      <w:pPr>
        <w:pStyle w:val="Heading2"/>
        <w:keepNext/>
        <w:spacing w:after="140" w:before="300"/>
      </w:pPr>
      <w:r>
        <w:rPr>
          <w:rFonts w:ascii="맑은 고딕" w:cs="맑은 고딕" w:eastAsia="맑은 고딕" w:hAnsi="맑은 고딕"/>
          <w:b/>
          <w:bCs/>
          <w:color w:val="1A1A1A"/>
          <w:sz w:val="23"/>
          <w:szCs w:val="23"/>
        </w:rPr>
        <w:t xml:space="preserve">12.1 추진 기본원칙</w:t>
      </w:r>
    </w:p>
    <w:p>
      <w:pPr>
        <w:keepNext/>
        <w:spacing w:after="90" w:before="220"/>
      </w:pPr>
      <w:r>
        <w:rPr>
          <w:rFonts w:ascii="맑은 고딕" w:cs="맑은 고딕" w:eastAsia="맑은 고딕" w:hAnsi="맑은 고딕"/>
          <w:b/>
          <w:bCs/>
          <w:color w:val="1F3864"/>
          <w:sz w:val="18"/>
          <w:szCs w:val="18"/>
        </w:rPr>
        <w:t xml:space="preserve">[표 12-2] 6대 추진 원칙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31"/>
        <w:gridCol w:w="7507"/>
      </w:tblGrid>
      <w:tr>
        <w:trPr>
          <w:cantSplit/>
          <w:tblHeader/>
        </w:trPr>
        <w:tc>
          <w:tcPr>
            <w:tcW w:type="dxa" w:w="2131"/>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원칙</w:t>
            </w:r>
          </w:p>
        </w:tc>
        <w:tc>
          <w:tcPr>
            <w:tcW w:type="dxa" w:w="7507"/>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내용</w:t>
            </w:r>
          </w:p>
        </w:tc>
      </w:tr>
      <w:tr>
        <w:trPr>
          <w:cantSplit/>
          <w:tblHeader w:val="false"/>
        </w:trPr>
        <w:tc>
          <w:tcPr>
            <w:tcW w:type="dxa" w:w="213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① 가용성 우선 확인</w:t>
            </w:r>
          </w:p>
        </w:tc>
        <w:tc>
          <w:tcPr>
            <w:tcW w:type="dxa" w:w="750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현장 자료와 데이터 가용성을 먼저 확인하고 분석 가능 범위와 한계를 확정한다</w:t>
            </w:r>
          </w:p>
        </w:tc>
      </w:tr>
      <w:tr>
        <w:trPr>
          <w:cantSplit/>
          <w:tblHeader w:val="false"/>
        </w:trPr>
        <w:tc>
          <w:tcPr>
            <w:tcW w:type="dxa" w:w="2131"/>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② 근거 선행</w:t>
            </w:r>
          </w:p>
        </w:tc>
        <w:tc>
          <w:tcPr>
            <w:tcW w:type="dxa" w:w="7507"/>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근거가 확정되기 전에 가격 상승·개발호재 문구를 광고에 사용하지 않는다</w:t>
            </w:r>
          </w:p>
        </w:tc>
      </w:tr>
      <w:tr>
        <w:trPr>
          <w:cantSplit/>
          <w:tblHeader w:val="false"/>
        </w:trPr>
        <w:tc>
          <w:tcPr>
            <w:tcW w:type="dxa" w:w="213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③ 집행 전 검수</w:t>
            </w:r>
          </w:p>
        </w:tc>
        <w:tc>
          <w:tcPr>
            <w:tcW w:type="dxa" w:w="750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광고계정·예산·전환 설정·개인정보·DB 배정 규칙을 집행 전에 검수한다</w:t>
            </w:r>
          </w:p>
        </w:tc>
      </w:tr>
      <w:tr>
        <w:trPr>
          <w:cantSplit/>
          <w:tblHeader w:val="false"/>
        </w:trPr>
        <w:tc>
          <w:tcPr>
            <w:tcW w:type="dxa" w:w="2131"/>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④ 단계별 콘텐츠 관리</w:t>
            </w:r>
          </w:p>
        </w:tc>
        <w:tc>
          <w:tcPr>
            <w:tcW w:type="dxa" w:w="7507"/>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콘텐츠는 메시지 → 근거 → 표현 → 제작 → 최종 승인의 단계로 관리한다</w:t>
            </w:r>
          </w:p>
        </w:tc>
      </w:tr>
      <w:tr>
        <w:trPr>
          <w:cantSplit/>
          <w:tblHeader w:val="false"/>
        </w:trPr>
        <w:tc>
          <w:tcPr>
            <w:tcW w:type="dxa" w:w="213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⑤ 주간 결합 분석</w:t>
            </w:r>
          </w:p>
        </w:tc>
        <w:tc>
          <w:tcPr>
            <w:tcW w:type="dxa" w:w="750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광고 성과와 현장 상담 성과를 주간 단위로 결합해 예산과 소재를 조정한다</w:t>
            </w:r>
          </w:p>
        </w:tc>
      </w:tr>
      <w:tr>
        <w:trPr>
          <w:cantSplit/>
          <w:tblHeader w:val="false"/>
        </w:trPr>
        <w:tc>
          <w:tcPr>
            <w:tcW w:type="dxa" w:w="2131"/>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⑥ 종료 정산</w:t>
            </w:r>
          </w:p>
        </w:tc>
        <w:tc>
          <w:tcPr>
            <w:tcW w:type="dxa" w:w="7507"/>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종료 시 매체비·잔액·산출물·계정·고객 데이터를 계약 기준에 따라 정산한다</w:t>
            </w:r>
          </w:p>
        </w:tc>
      </w:tr>
    </w:tbl>
    <w:p>
      <w:pPr>
        <w:spacing w:after="200" w:before="0"/>
      </w:pPr>
    </w:p>
    <w:p>
      <w:pPr>
        <w:pStyle w:val="Heading2"/>
        <w:keepNext/>
        <w:spacing w:after="140" w:before="300"/>
      </w:pPr>
      <w:r>
        <w:rPr>
          <w:rFonts w:ascii="맑은 고딕" w:cs="맑은 고딕" w:eastAsia="맑은 고딕" w:hAnsi="맑은 고딕"/>
          <w:b/>
          <w:bCs/>
          <w:color w:val="1A1A1A"/>
          <w:sz w:val="23"/>
          <w:szCs w:val="23"/>
        </w:rPr>
        <w:t xml:space="preserve">12.2 광고 시작 전 필수 확인</w:t>
      </w:r>
    </w:p>
    <w:p>
      <w:pPr>
        <w:keepNext w:val="false"/>
        <w:spacing w:after="130" w:before="60" w:line="310"/>
        <w:jc w:val="both"/>
      </w:pPr>
      <w:r>
        <w:rPr>
          <w:rFonts w:ascii="맑은 고딕" w:cs="맑은 고딕" w:eastAsia="맑은 고딕" w:hAnsi="맑은 고딕"/>
          <w:b w:val="false"/>
          <w:bCs w:val="false"/>
          <w:i w:val="false"/>
          <w:iCs w:val="false"/>
          <w:color w:val="1A1A1A"/>
          <w:sz w:val="20"/>
          <w:szCs w:val="20"/>
        </w:rPr>
        <w:t xml:space="preserve">다음 다섯 영역의 기준이 합의되기 전에는 계약된 광고 운영을 시작하지 않습니다.</w:t>
      </w:r>
    </w:p>
    <w:p>
      <w:pPr>
        <w:keepNext/>
        <w:spacing w:after="90" w:before="220"/>
      </w:pPr>
      <w:r>
        <w:rPr>
          <w:rFonts w:ascii="맑은 고딕" w:cs="맑은 고딕" w:eastAsia="맑은 고딕" w:hAnsi="맑은 고딕"/>
          <w:b/>
          <w:bCs/>
          <w:color w:val="1F3864"/>
          <w:sz w:val="18"/>
          <w:szCs w:val="18"/>
        </w:rPr>
        <w:t xml:space="preserve">[표 12-3] 집행 전 5대 확인 사항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25"/>
        <w:gridCol w:w="5663"/>
        <w:gridCol w:w="2650"/>
      </w:tblGrid>
      <w:tr>
        <w:trPr>
          <w:cantSplit/>
          <w:tblHeader/>
        </w:trPr>
        <w:tc>
          <w:tcPr>
            <w:tcW w:type="dxa" w:w="1325"/>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영역</w:t>
            </w:r>
          </w:p>
        </w:tc>
        <w:tc>
          <w:tcPr>
            <w:tcW w:type="dxa" w:w="5663"/>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시행사와 확인하는 기준</w:t>
            </w:r>
          </w:p>
        </w:tc>
        <w:tc>
          <w:tcPr>
            <w:tcW w:type="dxa" w:w="2650"/>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기준 미충족 시 조치</w:t>
            </w:r>
          </w:p>
        </w:tc>
      </w:tr>
      <w:tr>
        <w:trPr>
          <w:cantSplit/>
          <w:tblHeader w:val="false"/>
        </w:trPr>
        <w:tc>
          <w:tcPr>
            <w:tcW w:type="dxa" w:w="1325"/>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데이터 확보</w:t>
            </w:r>
          </w:p>
        </w:tc>
        <w:tc>
          <w:tcPr>
            <w:tcW w:type="dxa" w:w="566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현장별 커버리지표, 공식·조건부·대체 데이터 구분</w:t>
            </w:r>
          </w:p>
        </w:tc>
        <w:tc>
          <w:tcPr>
            <w:tcW w:type="dxa" w:w="265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분석 범위 재설계</w:t>
            </w:r>
          </w:p>
        </w:tc>
      </w:tr>
      <w:tr>
        <w:trPr>
          <w:cantSplit/>
          <w:tblHeader w:val="false"/>
        </w:trPr>
        <w:tc>
          <w:tcPr>
            <w:tcW w:type="dxa" w:w="1325"/>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분석 신뢰</w:t>
            </w:r>
          </w:p>
        </w:tc>
        <w:tc>
          <w:tcPr>
            <w:tcW w:type="dxa" w:w="5663"/>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근거원장·산식·반대근거·기준일</w:t>
            </w:r>
          </w:p>
        </w:tc>
        <w:tc>
          <w:tcPr>
            <w:tcW w:type="dxa" w:w="265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해당 판매 주장 제외</w:t>
            </w:r>
          </w:p>
        </w:tc>
      </w:tr>
      <w:tr>
        <w:trPr>
          <w:cantSplit/>
          <w:tblHeader w:val="false"/>
        </w:trPr>
        <w:tc>
          <w:tcPr>
            <w:tcW w:type="dxa" w:w="1325"/>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전환 추적</w:t>
            </w:r>
          </w:p>
        </w:tc>
        <w:tc>
          <w:tcPr>
            <w:tcW w:type="dxa" w:w="566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DB의 캠페인·소재·담당자 연결 기준</w:t>
            </w:r>
          </w:p>
        </w:tc>
        <w:tc>
          <w:tcPr>
            <w:tcW w:type="dxa" w:w="265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추적 구조 확정 후 집행</w:t>
            </w:r>
          </w:p>
        </w:tc>
      </w:tr>
      <w:tr>
        <w:trPr>
          <w:cantSplit/>
          <w:tblHeader w:val="false"/>
        </w:trPr>
        <w:tc>
          <w:tcPr>
            <w:tcW w:type="dxa" w:w="1325"/>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현장 운영</w:t>
            </w:r>
          </w:p>
        </w:tc>
        <w:tc>
          <w:tcPr>
            <w:tcW w:type="dxa" w:w="5663"/>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배정·연락·상담·방문 상태와 책임자 규칙</w:t>
            </w:r>
          </w:p>
        </w:tc>
        <w:tc>
          <w:tcPr>
            <w:tcW w:type="dxa" w:w="265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담당자·운영 규칙 확정</w:t>
            </w:r>
          </w:p>
        </w:tc>
      </w:tr>
      <w:tr>
        <w:trPr>
          <w:cantSplit/>
          <w:tblHeader w:val="false"/>
        </w:trPr>
        <w:tc>
          <w:tcPr>
            <w:tcW w:type="dxa" w:w="1325"/>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예산 투명성</w:t>
            </w:r>
          </w:p>
        </w:tc>
        <w:tc>
          <w:tcPr>
            <w:tcW w:type="dxa" w:w="566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수수료·실집행·제작비·잔액·정산 양식</w:t>
            </w:r>
          </w:p>
        </w:tc>
        <w:tc>
          <w:tcPr>
            <w:tcW w:type="dxa" w:w="265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집행 범위 재확정</w:t>
            </w:r>
          </w:p>
        </w:tc>
      </w:tr>
    </w:tbl>
    <w:p>
      <w:pPr>
        <w:spacing w:after="200" w:before="0"/>
      </w:pPr>
    </w:p>
    <w:p>
      <w:pPr>
        <w:keepNext/>
        <w:spacing w:after="90" w:before="220"/>
      </w:pPr>
      <w:r>
        <w:rPr>
          <w:rFonts w:ascii="맑은 고딕" w:cs="맑은 고딕" w:eastAsia="맑은 고딕" w:hAnsi="맑은 고딕"/>
          <w:b/>
          <w:bCs/>
          <w:color w:val="1F3864"/>
          <w:sz w:val="18"/>
          <w:szCs w:val="18"/>
        </w:rPr>
        <w:t xml:space="preserve">[표 12-4] 착수 필수 수령 자료</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0"/>
        <w:gridCol w:w="4817"/>
        <w:gridCol w:w="3671"/>
      </w:tblGrid>
      <w:tr>
        <w:trPr>
          <w:cantSplit/>
          <w:tblHeader/>
        </w:trPr>
        <w:tc>
          <w:tcPr>
            <w:tcW w:type="dxa" w:w="1150"/>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분류</w:t>
            </w:r>
          </w:p>
        </w:tc>
        <w:tc>
          <w:tcPr>
            <w:tcW w:type="dxa" w:w="4817"/>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자료</w:t>
            </w:r>
          </w:p>
        </w:tc>
        <w:tc>
          <w:tcPr>
            <w:tcW w:type="dxa" w:w="3671"/>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활용</w:t>
            </w:r>
          </w:p>
        </w:tc>
      </w:tr>
      <w:tr>
        <w:trPr>
          <w:cantSplit/>
          <w:tblHeader w:val="false"/>
        </w:trPr>
        <w:tc>
          <w:tcPr>
            <w:tcW w:type="dxa" w:w="115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현장 기본</w:t>
            </w:r>
          </w:p>
        </w:tc>
        <w:tc>
          <w:tcPr>
            <w:tcW w:type="dxa" w:w="481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주소·경계·용도·규모·동수·세대수·입주예정일</w:t>
            </w:r>
          </w:p>
        </w:tc>
        <w:tc>
          <w:tcPr>
            <w:tcW w:type="dxa" w:w="367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현장 확정, 공간분석, 공급 비교</w:t>
            </w:r>
          </w:p>
        </w:tc>
      </w:tr>
      <w:tr>
        <w:trPr>
          <w:cantSplit/>
          <w:tblHeader w:val="false"/>
        </w:trPr>
        <w:tc>
          <w:tcPr>
            <w:tcW w:type="dxa" w:w="115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분양 조건</w:t>
            </w:r>
          </w:p>
        </w:tc>
        <w:tc>
          <w:tcPr>
            <w:tcW w:type="dxa" w:w="4817"/>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분양가·옵션·발코니·중도금·혜택·잔여세대</w:t>
            </w:r>
          </w:p>
        </w:tc>
        <w:tc>
          <w:tcPr>
            <w:tcW w:type="dxa" w:w="3671"/>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총취득원가, 가격저항 분석, 광고 표현</w:t>
            </w:r>
          </w:p>
        </w:tc>
      </w:tr>
      <w:tr>
        <w:trPr>
          <w:cantSplit/>
          <w:tblHeader w:val="false"/>
        </w:trPr>
        <w:tc>
          <w:tcPr>
            <w:tcW w:type="dxa" w:w="115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상품</w:t>
            </w:r>
          </w:p>
        </w:tc>
        <w:tc>
          <w:tcPr>
            <w:tcW w:type="dxa" w:w="481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평면·커뮤니티·주차·조경·에너지·마감</w:t>
            </w:r>
          </w:p>
        </w:tc>
        <w:tc>
          <w:tcPr>
            <w:tcW w:type="dxa" w:w="367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상품 비교, 콘텐츠, 상담자료</w:t>
            </w:r>
          </w:p>
        </w:tc>
      </w:tr>
      <w:tr>
        <w:trPr>
          <w:cantSplit/>
          <w:tblHeader w:val="false"/>
        </w:trPr>
        <w:tc>
          <w:tcPr>
            <w:tcW w:type="dxa" w:w="115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영업</w:t>
            </w:r>
          </w:p>
        </w:tc>
        <w:tc>
          <w:tcPr>
            <w:tcW w:type="dxa" w:w="4817"/>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기존 DB·상담기록·거절사유·방문·계약 현황</w:t>
            </w:r>
          </w:p>
        </w:tc>
        <w:tc>
          <w:tcPr>
            <w:tcW w:type="dxa" w:w="3671"/>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퍼널 기준, 고객유형, 재접촉</w:t>
            </w:r>
          </w:p>
        </w:tc>
      </w:tr>
      <w:tr>
        <w:trPr>
          <w:cantSplit/>
          <w:tblHeader w:val="false"/>
        </w:trPr>
        <w:tc>
          <w:tcPr>
            <w:tcW w:type="dxa" w:w="115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광고</w:t>
            </w:r>
          </w:p>
        </w:tc>
        <w:tc>
          <w:tcPr>
            <w:tcW w:type="dxa" w:w="481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기존 계정·캠페인·소재·비용·전환 내역</w:t>
            </w:r>
          </w:p>
        </w:tc>
        <w:tc>
          <w:tcPr>
            <w:tcW w:type="dxa" w:w="367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기준선, 계정 진단, 예산 설계</w:t>
            </w:r>
          </w:p>
        </w:tc>
      </w:tr>
      <w:tr>
        <w:trPr>
          <w:cantSplit/>
          <w:tblHeader w:val="false"/>
        </w:trPr>
        <w:tc>
          <w:tcPr>
            <w:tcW w:type="dxa" w:w="115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사업·법무</w:t>
            </w:r>
          </w:p>
        </w:tc>
        <w:tc>
          <w:tcPr>
            <w:tcW w:type="dxa" w:w="4817"/>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확정된 개발계획·인허가·협약·표현검수 기준</w:t>
            </w:r>
          </w:p>
        </w:tc>
        <w:tc>
          <w:tcPr>
            <w:tcW w:type="dxa" w:w="3671"/>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근거 등급, 위험관리</w:t>
            </w:r>
          </w:p>
        </w:tc>
      </w:tr>
      <w:tr>
        <w:trPr>
          <w:cantSplit/>
          <w:tblHeader w:val="false"/>
        </w:trPr>
        <w:tc>
          <w:tcPr>
            <w:tcW w:type="dxa" w:w="115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개인정보</w:t>
            </w:r>
          </w:p>
        </w:tc>
        <w:tc>
          <w:tcPr>
            <w:tcW w:type="dxa" w:w="481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수집동의·처리위탁·보유기간·삭제·제3자 제공 기준</w:t>
            </w:r>
          </w:p>
        </w:tc>
        <w:tc>
          <w:tcPr>
            <w:tcW w:type="dxa" w:w="367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DB 연동, 업무툴, 후속 메시지 운영</w:t>
            </w:r>
          </w:p>
        </w:tc>
      </w:tr>
    </w:tbl>
    <w:p>
      <w:pPr>
        <w:spacing w:after="200" w:before="0"/>
      </w:pPr>
    </w:p>
    <w:p>
      <w:pPr>
        <w:pStyle w:val="Heading2"/>
        <w:keepNext/>
        <w:spacing w:after="140" w:before="300"/>
      </w:pPr>
      <w:r>
        <w:rPr>
          <w:rFonts w:ascii="맑은 고딕" w:cs="맑은 고딕" w:eastAsia="맑은 고딕" w:hAnsi="맑은 고딕"/>
          <w:b/>
          <w:bCs/>
          <w:color w:val="1A1A1A"/>
          <w:sz w:val="23"/>
          <w:szCs w:val="23"/>
        </w:rPr>
        <w:t xml:space="preserve">12.3 90일 로드맵</w:t>
      </w:r>
    </w:p>
    <w:p>
      <w:pPr>
        <w:keepNext/>
        <w:spacing w:after="90" w:before="220"/>
      </w:pPr>
      <w:r>
        <w:rPr>
          <w:rFonts w:ascii="맑은 고딕" w:cs="맑은 고딕" w:eastAsia="맑은 고딕" w:hAnsi="맑은 고딕"/>
          <w:b/>
          <w:bCs/>
          <w:color w:val="1F3864"/>
          <w:sz w:val="18"/>
          <w:szCs w:val="18"/>
        </w:rPr>
        <w:t xml:space="preserve">[표 12-5] 단계별 수행 내용과 승인 게이트</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0"/>
        <w:gridCol w:w="1150"/>
        <w:gridCol w:w="5645"/>
        <w:gridCol w:w="1693"/>
      </w:tblGrid>
      <w:tr>
        <w:trPr>
          <w:cantSplit/>
          <w:tblHeader/>
        </w:trPr>
        <w:tc>
          <w:tcPr>
            <w:tcW w:type="dxa" w:w="1150"/>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단계</w:t>
            </w:r>
          </w:p>
        </w:tc>
        <w:tc>
          <w:tcPr>
            <w:tcW w:type="dxa" w:w="1150"/>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기간</w:t>
            </w:r>
          </w:p>
        </w:tc>
        <w:tc>
          <w:tcPr>
            <w:tcW w:type="dxa" w:w="5645"/>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수행 내용</w:t>
            </w:r>
          </w:p>
        </w:tc>
        <w:tc>
          <w:tcPr>
            <w:tcW w:type="dxa" w:w="1693"/>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승인 게이트</w:t>
            </w:r>
          </w:p>
        </w:tc>
      </w:tr>
      <w:tr>
        <w:trPr>
          <w:cantSplit/>
          <w:tblHeader w:val="false"/>
        </w:trPr>
        <w:tc>
          <w:tcPr>
            <w:tcW w:type="dxa" w:w="115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1. 진단·설계</w:t>
            </w:r>
          </w:p>
        </w:tc>
        <w:tc>
          <w:tcPr>
            <w:tcW w:type="dxa" w:w="115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1~2주차</w:t>
            </w:r>
          </w:p>
        </w:tc>
        <w:tc>
          <w:tcPr>
            <w:tcW w:type="dxa" w:w="5645"/>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현장 브리프, 자료 검증, 데이터 커버리지 확인, 현장분석, 메시지·매체·퍼널 설계</w:t>
            </w:r>
          </w:p>
        </w:tc>
        <w:tc>
          <w:tcPr>
            <w:tcW w:type="dxa" w:w="169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분석 범위·KPI·예산 승인</w:t>
            </w:r>
          </w:p>
        </w:tc>
      </w:tr>
      <w:tr>
        <w:trPr>
          <w:cantSplit/>
          <w:tblHeader w:val="false"/>
        </w:trPr>
        <w:tc>
          <w:tcPr>
            <w:tcW w:type="dxa" w:w="115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2. 제작·구축</w:t>
            </w:r>
          </w:p>
        </w:tc>
        <w:tc>
          <w:tcPr>
            <w:tcW w:type="dxa" w:w="115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2~4주차</w:t>
            </w:r>
          </w:p>
        </w:tc>
        <w:tc>
          <w:tcPr>
            <w:tcW w:type="dxa" w:w="5645"/>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상세 리포트·메시지맵, 정보 허브·소재 제작, 유입 추적 태깅, 업무툴·계정 설정</w:t>
            </w:r>
          </w:p>
        </w:tc>
        <w:tc>
          <w:tcPr>
            <w:tcW w:type="dxa" w:w="1693"/>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콘텐츠·표현·트래킹 승인</w:t>
            </w:r>
          </w:p>
        </w:tc>
      </w:tr>
      <w:tr>
        <w:trPr>
          <w:cantSplit/>
          <w:tblHeader w:val="false"/>
        </w:trPr>
        <w:tc>
          <w:tcPr>
            <w:tcW w:type="dxa" w:w="115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3. 운영 시작</w:t>
            </w:r>
          </w:p>
        </w:tc>
        <w:tc>
          <w:tcPr>
            <w:tcW w:type="dxa" w:w="115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5주차</w:t>
            </w:r>
          </w:p>
        </w:tc>
        <w:tc>
          <w:tcPr>
            <w:tcW w:type="dxa" w:w="5645"/>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캠페인 개시, DB 배정·연락 기준 가동</w:t>
            </w:r>
          </w:p>
        </w:tc>
        <w:tc>
          <w:tcPr>
            <w:tcW w:type="dxa" w:w="169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초기 품질·전환 이벤트 검수</w:t>
            </w:r>
          </w:p>
        </w:tc>
      </w:tr>
      <w:tr>
        <w:trPr>
          <w:cantSplit/>
          <w:tblHeader w:val="false"/>
        </w:trPr>
        <w:tc>
          <w:tcPr>
            <w:tcW w:type="dxa" w:w="115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4. 최적화</w:t>
            </w:r>
          </w:p>
        </w:tc>
        <w:tc>
          <w:tcPr>
            <w:tcW w:type="dxa" w:w="115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5~10주차</w:t>
            </w:r>
          </w:p>
        </w:tc>
        <w:tc>
          <w:tcPr>
            <w:tcW w:type="dxa" w:w="5645"/>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매체·소재·타깃·상담 병목 개선, 주간 개선 리포트</w:t>
            </w:r>
          </w:p>
        </w:tc>
        <w:tc>
          <w:tcPr>
            <w:tcW w:type="dxa" w:w="1693"/>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주간 운영회의, 예산 조정</w:t>
            </w:r>
          </w:p>
        </w:tc>
      </w:tr>
      <w:tr>
        <w:trPr>
          <w:cantSplit/>
          <w:tblHeader w:val="false"/>
        </w:trPr>
        <w:tc>
          <w:tcPr>
            <w:tcW w:type="dxa" w:w="115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5. 전환 집중</w:t>
            </w:r>
          </w:p>
        </w:tc>
        <w:tc>
          <w:tcPr>
            <w:tcW w:type="dxa" w:w="115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8~12주차</w:t>
            </w:r>
          </w:p>
        </w:tc>
        <w:tc>
          <w:tcPr>
            <w:tcW w:type="dxa" w:w="5645"/>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고감도·방문·장기 보류 고객의 상태별 전환</w:t>
            </w:r>
          </w:p>
        </w:tc>
        <w:tc>
          <w:tcPr>
            <w:tcW w:type="dxa" w:w="169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방문·계약 기여 검토</w:t>
            </w:r>
          </w:p>
        </w:tc>
      </w:tr>
      <w:tr>
        <w:trPr>
          <w:cantSplit/>
          <w:tblHeader w:val="false"/>
        </w:trPr>
        <w:tc>
          <w:tcPr>
            <w:tcW w:type="dxa" w:w="115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6. 종료·확장</w:t>
            </w:r>
          </w:p>
        </w:tc>
        <w:tc>
          <w:tcPr>
            <w:tcW w:type="dxa" w:w="115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12~13주차</w:t>
            </w:r>
          </w:p>
        </w:tc>
        <w:tc>
          <w:tcPr>
            <w:tcW w:type="dxa" w:w="5645"/>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예산 정산, 성과 분석, 계정·데이터 인계</w:t>
            </w:r>
          </w:p>
        </w:tc>
        <w:tc>
          <w:tcPr>
            <w:tcW w:type="dxa" w:w="1693"/>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종료 검수, 연장·종료 결정</w:t>
            </w:r>
          </w:p>
        </w:tc>
      </w:tr>
    </w:tbl>
    <w:p>
      <w:pPr>
        <w:spacing w:after="200" w:before="0"/>
      </w:pPr>
    </w:p>
    <w:p>
      <w:pPr>
        <w:keepNext w:val="false"/>
        <w:spacing w:after="160" w:before="20" w:line="310"/>
        <w:jc w:val="left"/>
      </w:pPr>
      <w:r>
        <w:rPr>
          <w:rFonts w:ascii="맑은 고딕" w:cs="맑은 고딕" w:eastAsia="맑은 고딕" w:hAnsi="맑은 고딕"/>
          <w:b w:val="false"/>
          <w:bCs w:val="false"/>
          <w:i/>
          <w:iCs/>
          <w:color w:val="5A5A5A"/>
          <w:sz w:val="17"/>
          <w:szCs w:val="17"/>
        </w:rPr>
        <w:t xml:space="preserve">5주차 운영 시작은 표준 목표이며, 자료·권한·별도 제작 범위·승인 속도에 따라 조정됩니다.</w:t>
      </w:r>
    </w:p>
    <w:p>
      <w:pPr>
        <w:keepNext/>
        <w:spacing w:after="90" w:before="220"/>
      </w:pPr>
      <w:r>
        <w:rPr>
          <w:rFonts w:ascii="맑은 고딕" w:cs="맑은 고딕" w:eastAsia="맑은 고딕" w:hAnsi="맑은 고딕"/>
          <w:b/>
          <w:bCs/>
          <w:color w:val="1F3864"/>
          <w:sz w:val="18"/>
          <w:szCs w:val="18"/>
        </w:rPr>
        <w:t xml:space="preserve">[표 12-6] 시점별 발주처 확인 가능 상태</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7838"/>
      </w:tblGrid>
      <w:tr>
        <w:trPr>
          <w:cantSplit/>
          <w:tblHeader/>
        </w:trPr>
        <w:tc>
          <w:tcPr>
            <w:tcW w:type="dxa" w:w="1800"/>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시점</w:t>
            </w:r>
          </w:p>
        </w:tc>
        <w:tc>
          <w:tcPr>
            <w:tcW w:type="dxa" w:w="7838"/>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확인 가능한 상태</w:t>
            </w:r>
          </w:p>
        </w:tc>
      </w:tr>
      <w:tr>
        <w:trPr>
          <w:cantSplit/>
          <w:tblHeader w:val="false"/>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2주차</w:t>
            </w:r>
          </w:p>
        </w:tc>
        <w:tc>
          <w:tcPr>
            <w:tcW w:type="dxa" w:w="783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진단 결과와 데이터 커버리지표 수령. 목표·지표 합의 완료</w:t>
            </w:r>
          </w:p>
        </w:tc>
      </w:tr>
      <w:tr>
        <w:trPr>
          <w:cantSplit/>
          <w:tblHeader w:val="false"/>
        </w:trPr>
        <w:tc>
          <w:tcPr>
            <w:tcW w:type="dxa" w:w="180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4주차</w:t>
            </w:r>
          </w:p>
        </w:tc>
        <w:tc>
          <w:tcPr>
            <w:tcW w:type="dxa" w:w="7838"/>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콘텐츠·정보 허브·추적 체계 검수 완료</w:t>
            </w:r>
          </w:p>
        </w:tc>
      </w:tr>
      <w:tr>
        <w:trPr>
          <w:cantSplit/>
          <w:tblHeader w:val="false"/>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5주차</w:t>
            </w:r>
          </w:p>
        </w:tc>
        <w:tc>
          <w:tcPr>
            <w:tcW w:type="dxa" w:w="783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표준 운영 개시. 첫 주간 보고 수령</w:t>
            </w:r>
          </w:p>
        </w:tc>
      </w:tr>
      <w:tr>
        <w:trPr>
          <w:cantSplit/>
          <w:tblHeader w:val="false"/>
        </w:trPr>
        <w:tc>
          <w:tcPr>
            <w:tcW w:type="dxa" w:w="180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8주차</w:t>
            </w:r>
          </w:p>
        </w:tc>
        <w:tc>
          <w:tcPr>
            <w:tcW w:type="dxa" w:w="7838"/>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초기 채널 효율 데이터 확보. 첫 예산 재배분안 상정</w:t>
            </w:r>
          </w:p>
        </w:tc>
      </w:tr>
      <w:tr>
        <w:trPr>
          <w:cantSplit/>
          <w:tblHeader w:val="false"/>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12주차</w:t>
            </w:r>
          </w:p>
        </w:tc>
        <w:tc>
          <w:tcPr>
            <w:tcW w:type="dxa" w:w="783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주간 개선 사이클 안착. 소재별 계약 기여 데이터 축적</w:t>
            </w:r>
          </w:p>
        </w:tc>
      </w:tr>
    </w:tbl>
    <w:p>
      <w:pPr>
        <w:spacing w:after="200" w:before="0"/>
      </w:pPr>
    </w:p>
    <w:p>
      <w:pPr>
        <w:keepNext w:val="false"/>
        <w:spacing w:after="130" w:before="60" w:line="310"/>
        <w:jc w:val="both"/>
      </w:pPr>
      <w:r>
        <w:rPr>
          <w:rFonts w:ascii="맑은 고딕" w:cs="맑은 고딕" w:eastAsia="맑은 고딕" w:hAnsi="맑은 고딕"/>
          <w:b w:val="false"/>
          <w:bCs w:val="false"/>
          <w:i w:val="false"/>
          <w:iCs w:val="false"/>
          <w:color w:val="1A1A1A"/>
          <w:sz w:val="20"/>
          <w:szCs w:val="20"/>
        </w:rPr>
        <w:t xml:space="preserve">90일을 </w:t>
      </w:r>
      <w:r>
        <w:rPr>
          <w:rFonts w:ascii="맑은 고딕" w:cs="맑은 고딕" w:eastAsia="맑은 고딕" w:hAnsi="맑은 고딕"/>
          <w:b/>
          <w:bCs/>
          <w:i w:val="false"/>
          <w:iCs w:val="false"/>
          <w:color w:val="1A1A1A"/>
          <w:sz w:val="20"/>
          <w:szCs w:val="20"/>
        </w:rPr>
        <w:t xml:space="preserve">집행 기간이 아니라 학습 구간으로 정의</w:t>
      </w:r>
      <w:r>
        <w:rPr>
          <w:rFonts w:ascii="맑은 고딕" w:cs="맑은 고딕" w:eastAsia="맑은 고딕" w:hAnsi="맑은 고딕"/>
          <w:b w:val="false"/>
          <w:bCs w:val="false"/>
          <w:i w:val="false"/>
          <w:iCs w:val="false"/>
          <w:color w:val="1A1A1A"/>
          <w:sz w:val="20"/>
          <w:szCs w:val="20"/>
        </w:rPr>
        <w:t xml:space="preserve">하는 이유는, 첫 캠페인의 목적이 완성된 정답의 실행이 아니라 기준선 위에서 무엇이 작동하는지를 검증된 속도로 확인하는 데 있기 때문입니다.</w:t>
      </w:r>
    </w:p>
    <w:p>
      <w:pPr>
        <w:pStyle w:val="Heading2"/>
        <w:keepNext/>
        <w:spacing w:after="140" w:before="300"/>
      </w:pPr>
      <w:r>
        <w:rPr>
          <w:rFonts w:ascii="맑은 고딕" w:cs="맑은 고딕" w:eastAsia="맑은 고딕" w:hAnsi="맑은 고딕"/>
          <w:b/>
          <w:bCs/>
          <w:color w:val="1A1A1A"/>
          <w:sz w:val="23"/>
          <w:szCs w:val="23"/>
        </w:rPr>
        <w:t xml:space="preserve">12.4 주간 운영 사이클</w:t>
      </w:r>
    </w:p>
    <w:p>
      <w:pPr>
        <w:keepNext/>
        <w:spacing w:after="90" w:before="220"/>
      </w:pPr>
      <w:r>
        <w:rPr>
          <w:rFonts w:ascii="맑은 고딕" w:cs="맑은 고딕" w:eastAsia="맑은 고딕" w:hAnsi="맑은 고딕"/>
          <w:b/>
          <w:bCs/>
          <w:color w:val="1F3864"/>
          <w:sz w:val="18"/>
          <w:szCs w:val="18"/>
        </w:rPr>
        <w:t xml:space="preserve">[표 12-7] 주간 업무 흐름</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7838"/>
      </w:tblGrid>
      <w:tr>
        <w:trPr>
          <w:cantSplit/>
          <w:tblHeader/>
        </w:trPr>
        <w:tc>
          <w:tcPr>
            <w:tcW w:type="dxa" w:w="1800"/>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요일</w:t>
            </w:r>
          </w:p>
        </w:tc>
        <w:tc>
          <w:tcPr>
            <w:tcW w:type="dxa" w:w="7838"/>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활동</w:t>
            </w:r>
          </w:p>
        </w:tc>
      </w:tr>
      <w:tr>
        <w:trPr>
          <w:cantSplit/>
          <w:tblHeader w:val="false"/>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월</w:t>
            </w:r>
          </w:p>
        </w:tc>
        <w:tc>
          <w:tcPr>
            <w:tcW w:type="dxa" w:w="783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전주 광고비·DB·상담·방문·계약 퍼널 집계, 데이터 누락 확인</w:t>
            </w:r>
          </w:p>
        </w:tc>
      </w:tr>
      <w:tr>
        <w:trPr>
          <w:cantSplit/>
          <w:tblHeader w:val="false"/>
        </w:trPr>
        <w:tc>
          <w:tcPr>
            <w:tcW w:type="dxa" w:w="180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화</w:t>
            </w:r>
          </w:p>
        </w:tc>
        <w:tc>
          <w:tcPr>
            <w:tcW w:type="dxa" w:w="7838"/>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매체·캠페인·소재·담당자별 병목, 고객 질문, 거절 사유 분석</w:t>
            </w:r>
          </w:p>
        </w:tc>
      </w:tr>
      <w:tr>
        <w:trPr>
          <w:cantSplit/>
          <w:tblHeader w:val="false"/>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수</w:t>
            </w:r>
          </w:p>
        </w:tc>
        <w:tc>
          <w:tcPr>
            <w:tcW w:type="dxa" w:w="783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예산·타깃·소재·랜딩·상담 가이드의 개선안 승인</w:t>
            </w:r>
          </w:p>
        </w:tc>
      </w:tr>
      <w:tr>
        <w:trPr>
          <w:cantSplit/>
          <w:tblHeader w:val="false"/>
        </w:trPr>
        <w:tc>
          <w:tcPr>
            <w:tcW w:type="dxa" w:w="180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목~금</w:t>
            </w:r>
          </w:p>
        </w:tc>
        <w:tc>
          <w:tcPr>
            <w:tcW w:type="dxa" w:w="7838"/>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변경안 집행, 고감도·방문예정·장기보류 고객의 후속 조치 확인</w:t>
            </w:r>
          </w:p>
        </w:tc>
      </w:tr>
      <w:tr>
        <w:trPr>
          <w:cantSplit/>
          <w:tblHeader w:val="false"/>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상시</w:t>
            </w:r>
          </w:p>
        </w:tc>
        <w:tc>
          <w:tcPr>
            <w:tcW w:type="dxa" w:w="783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예산 이상, 미연락·지연, 개인정보, 광고 표현, 공식 계획 변경 모니터링</w:t>
            </w:r>
          </w:p>
        </w:tc>
      </w:tr>
    </w:tbl>
    <w:p>
      <w:pPr>
        <w:spacing w:after="200" w:before="0"/>
      </w:pPr>
    </w:p>
    <w:p>
      <w:pPr>
        <w:keepNext w:val="false"/>
        <w:spacing w:after="130" w:before="60" w:line="310"/>
        <w:jc w:val="both"/>
      </w:pPr>
      <w:r>
        <w:rPr>
          <w:rFonts w:ascii="맑은 고딕" w:cs="맑은 고딕" w:eastAsia="맑은 고딕" w:hAnsi="맑은 고딕"/>
          <w:b w:val="false"/>
          <w:bCs w:val="false"/>
          <w:i w:val="false"/>
          <w:iCs w:val="false"/>
          <w:color w:val="1A1A1A"/>
          <w:sz w:val="20"/>
          <w:szCs w:val="20"/>
        </w:rPr>
        <w:t xml:space="preserve">주간 산출물은 주간 요약 보고이며, 월간으로는 전체 퍼널·광고 예산·분양조건 변화를 검토하는 월간 분석 보고가 제공됩니다.</w:t>
      </w:r>
    </w:p>
    <w:p>
      <w:pPr>
        <w:pStyle w:val="Heading2"/>
        <w:keepNext/>
        <w:spacing w:after="140" w:before="300"/>
      </w:pPr>
      <w:r>
        <w:rPr>
          <w:rFonts w:ascii="맑은 고딕" w:cs="맑은 고딕" w:eastAsia="맑은 고딕" w:hAnsi="맑은 고딕"/>
          <w:b/>
          <w:bCs/>
          <w:color w:val="1A1A1A"/>
          <w:sz w:val="23"/>
          <w:szCs w:val="23"/>
        </w:rPr>
        <w:t xml:space="preserve">12.5 단계별 승인 게이트</w:t>
      </w:r>
    </w:p>
    <w:p>
      <w:pPr>
        <w:keepNext/>
        <w:spacing w:after="90" w:before="220"/>
      </w:pPr>
      <w:r>
        <w:rPr>
          <w:rFonts w:ascii="맑은 고딕" w:cs="맑은 고딕" w:eastAsia="맑은 고딕" w:hAnsi="맑은 고딕"/>
          <w:b/>
          <w:bCs/>
          <w:color w:val="1F3864"/>
          <w:sz w:val="18"/>
          <w:szCs w:val="18"/>
        </w:rPr>
        <w:t xml:space="preserve">[표 12-8] 승인 게이트 체계</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0"/>
        <w:gridCol w:w="4550"/>
        <w:gridCol w:w="3938"/>
      </w:tblGrid>
      <w:tr>
        <w:trPr>
          <w:cantSplit/>
          <w:tblHeader/>
        </w:trPr>
        <w:tc>
          <w:tcPr>
            <w:tcW w:type="dxa" w:w="1150"/>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게이트</w:t>
            </w:r>
          </w:p>
        </w:tc>
        <w:tc>
          <w:tcPr>
            <w:tcW w:type="dxa" w:w="4550"/>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승인 대상</w:t>
            </w:r>
          </w:p>
        </w:tc>
        <w:tc>
          <w:tcPr>
            <w:tcW w:type="dxa" w:w="3938"/>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승인권자 (예시)</w:t>
            </w:r>
          </w:p>
        </w:tc>
      </w:tr>
      <w:tr>
        <w:trPr>
          <w:cantSplit/>
          <w:tblHeader w:val="false"/>
        </w:trPr>
        <w:tc>
          <w:tcPr>
            <w:tcW w:type="dxa" w:w="115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G1 착수</w:t>
            </w:r>
          </w:p>
        </w:tc>
        <w:tc>
          <w:tcPr>
            <w:tcW w:type="dxa" w:w="455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범위·자료·일정·보안·연락 체계</w:t>
            </w:r>
          </w:p>
        </w:tc>
        <w:tc>
          <w:tcPr>
            <w:tcW w:type="dxa" w:w="393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시행사 PM, 현장 총괄, 분양하마 PM</w:t>
            </w:r>
          </w:p>
        </w:tc>
      </w:tr>
      <w:tr>
        <w:trPr>
          <w:cantSplit/>
          <w:tblHeader w:val="false"/>
        </w:trPr>
        <w:tc>
          <w:tcPr>
            <w:tcW w:type="dxa" w:w="115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G2 분석</w:t>
            </w:r>
          </w:p>
        </w:tc>
        <w:tc>
          <w:tcPr>
            <w:tcW w:type="dxa" w:w="455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분석 경계·데이터·주요 판정·한계</w:t>
            </w:r>
          </w:p>
        </w:tc>
        <w:tc>
          <w:tcPr>
            <w:tcW w:type="dxa" w:w="3938"/>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시행사 담당, 분석 책임자</w:t>
            </w:r>
          </w:p>
        </w:tc>
      </w:tr>
      <w:tr>
        <w:trPr>
          <w:cantSplit/>
          <w:tblHeader w:val="false"/>
        </w:trPr>
        <w:tc>
          <w:tcPr>
            <w:tcW w:type="dxa" w:w="115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G3 표현</w:t>
            </w:r>
          </w:p>
        </w:tc>
        <w:tc>
          <w:tcPr>
            <w:tcW w:type="dxa" w:w="455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광고 문구·정부계획·가격·위험 표현</w:t>
            </w:r>
          </w:p>
        </w:tc>
        <w:tc>
          <w:tcPr>
            <w:tcW w:type="dxa" w:w="393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시행사, 법무·검수 담당</w:t>
            </w:r>
          </w:p>
        </w:tc>
      </w:tr>
      <w:tr>
        <w:trPr>
          <w:cantSplit/>
          <w:tblHeader w:val="false"/>
        </w:trPr>
        <w:tc>
          <w:tcPr>
            <w:tcW w:type="dxa" w:w="115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G4 집행</w:t>
            </w:r>
          </w:p>
        </w:tc>
        <w:tc>
          <w:tcPr>
            <w:tcW w:type="dxa" w:w="455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매체·예산·계정·전환·DB 연동</w:t>
            </w:r>
          </w:p>
        </w:tc>
        <w:tc>
          <w:tcPr>
            <w:tcW w:type="dxa" w:w="3938"/>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예산권자, 현장 총괄</w:t>
            </w:r>
          </w:p>
        </w:tc>
      </w:tr>
      <w:tr>
        <w:trPr>
          <w:cantSplit/>
          <w:tblHeader w:val="false"/>
        </w:trPr>
        <w:tc>
          <w:tcPr>
            <w:tcW w:type="dxa" w:w="115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G5 변경</w:t>
            </w:r>
          </w:p>
        </w:tc>
        <w:tc>
          <w:tcPr>
            <w:tcW w:type="dxa" w:w="455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예산 이동, 대규모 소재 변경, 범위 추가</w:t>
            </w:r>
          </w:p>
        </w:tc>
        <w:tc>
          <w:tcPr>
            <w:tcW w:type="dxa" w:w="393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계약서상 승인권자</w:t>
            </w:r>
          </w:p>
        </w:tc>
      </w:tr>
      <w:tr>
        <w:trPr>
          <w:cantSplit/>
          <w:tblHeader w:val="false"/>
        </w:trPr>
        <w:tc>
          <w:tcPr>
            <w:tcW w:type="dxa" w:w="115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G6 종료</w:t>
            </w:r>
          </w:p>
        </w:tc>
        <w:tc>
          <w:tcPr>
            <w:tcW w:type="dxa" w:w="455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집행·잔액·산출물·계정·데이터</w:t>
            </w:r>
          </w:p>
        </w:tc>
        <w:tc>
          <w:tcPr>
            <w:tcW w:type="dxa" w:w="3938"/>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시행사 PM, 재무, 현장 총괄</w:t>
            </w:r>
          </w:p>
        </w:tc>
      </w:tr>
    </w:tbl>
    <w:p>
      <w:pPr>
        <w:spacing w:after="200" w:before="0"/>
      </w:pPr>
    </w:p>
    <w:p>
      <w:pPr>
        <w:pStyle w:val="Heading2"/>
        <w:keepNext/>
        <w:spacing w:after="140" w:before="300"/>
      </w:pPr>
      <w:r>
        <w:rPr>
          <w:rFonts w:ascii="맑은 고딕" w:cs="맑은 고딕" w:eastAsia="맑은 고딕" w:hAnsi="맑은 고딕"/>
          <w:b/>
          <w:bCs/>
          <w:color w:val="1A1A1A"/>
          <w:sz w:val="23"/>
          <w:szCs w:val="23"/>
        </w:rPr>
        <w:t xml:space="preserve">12.6 소결</w:t>
      </w:r>
    </w:p>
    <w:p>
      <w:pPr>
        <w:keepNext w:val="false"/>
        <w:spacing w:after="130" w:before="60" w:line="310"/>
        <w:jc w:val="both"/>
      </w:pPr>
      <w:r>
        <w:rPr>
          <w:rFonts w:ascii="맑은 고딕" w:cs="맑은 고딕" w:eastAsia="맑은 고딕" w:hAnsi="맑은 고딕"/>
          <w:b w:val="false"/>
          <w:bCs w:val="false"/>
          <w:i w:val="false"/>
          <w:iCs w:val="false"/>
          <w:color w:val="1A1A1A"/>
          <w:sz w:val="20"/>
          <w:szCs w:val="20"/>
        </w:rPr>
        <w:t xml:space="preserve">일정보다 중요한 것은 게이트입니다. 각 단계의 승인 없이 다음 단계가 시작되지 않으며, 이 통제가 초기 예산의 소모와 기준 없는 집행을 방지합니다.</w:t>
      </w:r>
    </w:p>
    <w:p>
      <w:pPr>
        <w:keepNext w:val="false"/>
        <w:spacing w:after="130" w:before="60" w:line="310"/>
        <w:jc w:val="both"/>
      </w:pPr>
      <w:r>
        <w:rPr>
          <w:rFonts w:ascii="맑은 고딕" w:cs="맑은 고딕" w:eastAsia="맑은 고딕" w:hAnsi="맑은 고딕"/>
          <w:b w:val="false"/>
          <w:bCs w:val="false"/>
          <w:i w:val="false"/>
          <w:iCs w:val="false"/>
          <w:color w:val="1A1A1A"/>
          <w:sz w:val="20"/>
          <w:szCs w:val="20"/>
        </w:rPr>
        <w:t xml:space="preserve">각 게이트에서 승인되는 산출물의 범위와 검수 기준이 제13장의 주제입니다.</w:t>
      </w:r>
    </w:p>
    <w:p>
      <w:pPr>
        <w:pStyle w:val="Heading1"/>
        <w:pageBreakBefore/>
        <w:pBdr>
          <w:bottom w:val="single" w:color="1F3864" w:sz="10" w:space="8"/>
        </w:pBdr>
        <w:spacing w:after="240" w:before="0"/>
      </w:pPr>
      <w:r>
        <w:rPr>
          <w:rFonts w:ascii="맑은 고딕" w:cs="맑은 고딕" w:eastAsia="맑은 고딕" w:hAnsi="맑은 고딕"/>
          <w:b/>
          <w:bCs/>
          <w:color w:val="1F3864"/>
          <w:sz w:val="30"/>
          <w:szCs w:val="30"/>
        </w:rPr>
        <w:t xml:space="preserve">제13장. 제공 범위 (Scope of Work)</w:t>
      </w:r>
    </w:p>
    <w:p>
      <w:pPr>
        <w:keepNext w:val="false"/>
        <w:spacing w:after="130" w:before="60" w:line="310"/>
        <w:jc w:val="both"/>
      </w:pPr>
      <w:r>
        <w:rPr>
          <w:rFonts w:ascii="맑은 고딕" w:cs="맑은 고딕" w:eastAsia="맑은 고딕" w:hAnsi="맑은 고딕"/>
          <w:b/>
          <w:bCs/>
          <w:i w:val="false"/>
          <w:iCs w:val="false"/>
          <w:color w:val="1A1A1A"/>
          <w:sz w:val="20"/>
          <w:szCs w:val="20"/>
        </w:rPr>
        <w:t xml:space="preserve">헤드라인.</w:t>
      </w:r>
      <w:r>
        <w:rPr>
          <w:rFonts w:ascii="맑은 고딕" w:cs="맑은 고딕" w:eastAsia="맑은 고딕" w:hAnsi="맑은 고딕"/>
          <w:b w:val="false"/>
          <w:bCs w:val="false"/>
          <w:i w:val="false"/>
          <w:iCs w:val="false"/>
          <w:color w:val="1A1A1A"/>
          <w:sz w:val="20"/>
          <w:szCs w:val="20"/>
        </w:rPr>
        <w:t xml:space="preserve"> 제공·제외·검수 기준을 계약 전에 문서로 확정합니다.</w:t>
      </w:r>
    </w:p>
    <w:p>
      <w:pPr>
        <w:keepNext/>
        <w:spacing w:after="90" w:before="220"/>
      </w:pPr>
      <w:r>
        <w:rPr>
          <w:rFonts w:ascii="맑은 고딕" w:cs="맑은 고딕" w:eastAsia="맑은 고딕" w:hAnsi="맑은 고딕"/>
          <w:b/>
          <w:bCs/>
          <w:color w:val="1F3864"/>
          <w:sz w:val="18"/>
          <w:szCs w:val="18"/>
        </w:rPr>
        <w:t xml:space="preserve">[표 13-1] 장 요약</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7838"/>
      </w:tblGrid>
      <w:tr>
        <w:trPr>
          <w:cantSplit/>
          <w:tblHeader/>
        </w:trPr>
        <w:tc>
          <w:tcPr>
            <w:tcW w:type="dxa" w:w="1800"/>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구분</w:t>
            </w:r>
          </w:p>
        </w:tc>
        <w:tc>
          <w:tcPr>
            <w:tcW w:type="dxa" w:w="7838"/>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내용</w:t>
            </w:r>
          </w:p>
        </w:tc>
      </w:tr>
      <w:tr>
        <w:trPr>
          <w:cantSplit/>
          <w:tblHeader w:val="false"/>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문제 (Problem)</w:t>
            </w:r>
          </w:p>
        </w:tc>
        <w:tc>
          <w:tcPr>
            <w:tcW w:type="dxa" w:w="783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"콘텐츠 일체"와 같은 불명확한 범위는 기대 불일치와 검수·정산 분쟁을 유발한다</w:t>
            </w:r>
          </w:p>
        </w:tc>
      </w:tr>
      <w:tr>
        <w:trPr>
          <w:cantSplit/>
          <w:tblHeader w:val="false"/>
        </w:trPr>
        <w:tc>
          <w:tcPr>
            <w:tcW w:type="dxa" w:w="180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원인 (Reason)</w:t>
            </w:r>
          </w:p>
        </w:tc>
        <w:tc>
          <w:tcPr>
            <w:tcW w:type="dxa" w:w="7838"/>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범위·수량·검수 기준·변경 절차가 계약 문서에 정의되지 않기 때문이다</w:t>
            </w:r>
          </w:p>
        </w:tc>
      </w:tr>
      <w:tr>
        <w:trPr>
          <w:cantSplit/>
          <w:tblHeader w:val="false"/>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방법 (Method)</w:t>
            </w:r>
          </w:p>
        </w:tc>
        <w:tc>
          <w:tcPr>
            <w:tcW w:type="dxa" w:w="783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7분류 표준 제공범위(13.1), 제외 항목 명시(13.2), 산출물별 검수 기준(13.3), 변경관리 절차(13.5)를 계약에 반영한다</w:t>
            </w:r>
          </w:p>
        </w:tc>
      </w:tr>
      <w:tr>
        <w:trPr>
          <w:cantSplit/>
          <w:tblHeader w:val="false"/>
        </w:trPr>
        <w:tc>
          <w:tcPr>
            <w:tcW w:type="dxa" w:w="180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기대 효과 (Effect)</w:t>
            </w:r>
          </w:p>
        </w:tc>
        <w:tc>
          <w:tcPr>
            <w:tcW w:type="dxa" w:w="7838"/>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납품의 합격 기준이 사전에 정의되어 검수·정산 분쟁이 예방된다</w:t>
            </w:r>
          </w:p>
        </w:tc>
      </w:tr>
    </w:tbl>
    <w:p>
      <w:pPr>
        <w:spacing w:after="200" w:before="0"/>
      </w:pPr>
    </w:p>
    <w:p>
      <w:pPr>
        <w:pStyle w:val="Heading2"/>
        <w:keepNext/>
        <w:spacing w:after="140" w:before="300"/>
      </w:pPr>
      <w:r>
        <w:rPr>
          <w:rFonts w:ascii="맑은 고딕" w:cs="맑은 고딕" w:eastAsia="맑은 고딕" w:hAnsi="맑은 고딕"/>
          <w:b/>
          <w:bCs/>
          <w:color w:val="1A1A1A"/>
          <w:sz w:val="23"/>
          <w:szCs w:val="23"/>
        </w:rPr>
        <w:t xml:space="preserve">13.1 표준 제공범위 (90일 운영 기준)</w:t>
      </w:r>
    </w:p>
    <w:p>
      <w:pPr>
        <w:keepNext/>
        <w:spacing w:after="90" w:before="220"/>
      </w:pPr>
      <w:r>
        <w:rPr>
          <w:rFonts w:ascii="맑은 고딕" w:cs="맑은 고딕" w:eastAsia="맑은 고딕" w:hAnsi="맑은 고딕"/>
          <w:b/>
          <w:bCs/>
          <w:color w:val="1F3864"/>
          <w:sz w:val="18"/>
          <w:szCs w:val="18"/>
        </w:rPr>
        <w:t xml:space="preserve">[표 13-2] 제공 항목</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52"/>
        <w:gridCol w:w="6206"/>
        <w:gridCol w:w="1980"/>
      </w:tblGrid>
      <w:tr>
        <w:trPr>
          <w:cantSplit/>
          <w:tblHeader/>
        </w:trPr>
        <w:tc>
          <w:tcPr>
            <w:tcW w:type="dxa" w:w="1452"/>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분류</w:t>
            </w:r>
          </w:p>
        </w:tc>
        <w:tc>
          <w:tcPr>
            <w:tcW w:type="dxa" w:w="6206"/>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제공 항목</w:t>
            </w:r>
          </w:p>
        </w:tc>
        <w:tc>
          <w:tcPr>
            <w:tcW w:type="dxa" w:w="1980"/>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수량·조건</w:t>
            </w:r>
          </w:p>
        </w:tc>
      </w:tr>
      <w:tr>
        <w:trPr>
          <w:cantSplit/>
          <w:tblHeader w:val="false"/>
        </w:trPr>
        <w:tc>
          <w:tcPr>
            <w:tcW w:type="dxa" w:w="1452"/>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현장분석</w:t>
            </w:r>
          </w:p>
        </w:tc>
        <w:tc>
          <w:tcPr>
            <w:tcW w:type="dxa" w:w="620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진단리포트, 데이터 커버리지표, 근거원장</w:t>
            </w:r>
          </w:p>
        </w:tc>
        <w:tc>
          <w:tcPr>
            <w:tcW w:type="dxa" w:w="198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각 1식</w:t>
            </w:r>
          </w:p>
        </w:tc>
      </w:tr>
      <w:tr>
        <w:trPr>
          <w:cantSplit/>
          <w:tblHeader w:val="false"/>
        </w:trPr>
        <w:tc>
          <w:tcPr>
            <w:tcW w:type="dxa" w:w="1452"/>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영업자료</w:t>
            </w:r>
          </w:p>
        </w:tc>
        <w:tc>
          <w:tcPr>
            <w:tcW w:type="dxa" w:w="6206"/>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고객용 요약리포트, 상담 근거팩, 메시지맵</w:t>
            </w:r>
          </w:p>
        </w:tc>
        <w:tc>
          <w:tcPr>
            <w:tcW w:type="dxa" w:w="198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각 1식</w:t>
            </w:r>
          </w:p>
        </w:tc>
      </w:tr>
      <w:tr>
        <w:trPr>
          <w:cantSplit/>
          <w:tblHeader w:val="false"/>
        </w:trPr>
        <w:tc>
          <w:tcPr>
            <w:tcW w:type="dxa" w:w="1452"/>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콘텐츠 기획</w:t>
            </w:r>
          </w:p>
        </w:tc>
        <w:tc>
          <w:tcPr>
            <w:tcW w:type="dxa" w:w="620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광고 질문, 콘셉트, 매체별 활용안</w:t>
            </w:r>
          </w:p>
        </w:tc>
        <w:tc>
          <w:tcPr>
            <w:tcW w:type="dxa" w:w="198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초기 3~5개 방향</w:t>
            </w:r>
          </w:p>
        </w:tc>
      </w:tr>
      <w:tr>
        <w:trPr>
          <w:cantSplit/>
          <w:tblHeader w:val="false"/>
        </w:trPr>
        <w:tc>
          <w:tcPr>
            <w:tcW w:type="dxa" w:w="1452"/>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콘텐츠 제작</w:t>
            </w:r>
          </w:p>
        </w:tc>
        <w:tc>
          <w:tcPr>
            <w:tcW w:type="dxa" w:w="6206"/>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이미지, 영상, 촬영, 디자인, 편집</w:t>
            </w:r>
          </w:p>
        </w:tc>
        <w:tc>
          <w:tcPr>
            <w:tcW w:type="dxa" w:w="198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별도 제작 견적</w:t>
            </w:r>
          </w:p>
        </w:tc>
      </w:tr>
      <w:tr>
        <w:trPr>
          <w:cantSplit/>
          <w:tblHeader w:val="false"/>
        </w:trPr>
        <w:tc>
          <w:tcPr>
            <w:tcW w:type="dxa" w:w="1452"/>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광고 운영</w:t>
            </w:r>
          </w:p>
        </w:tc>
        <w:tc>
          <w:tcPr>
            <w:tcW w:type="dxa" w:w="620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계약 매체의 캠페인, 유입 추적 태깅, 예산 운영</w:t>
            </w:r>
          </w:p>
        </w:tc>
        <w:tc>
          <w:tcPr>
            <w:tcW w:type="dxa" w:w="198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운영기간 90일</w:t>
            </w:r>
          </w:p>
        </w:tc>
      </w:tr>
      <w:tr>
        <w:trPr>
          <w:cantSplit/>
          <w:tblHeader w:val="false"/>
        </w:trPr>
        <w:tc>
          <w:tcPr>
            <w:tcW w:type="dxa" w:w="1452"/>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업무 관리</w:t>
            </w:r>
          </w:p>
        </w:tc>
        <w:tc>
          <w:tcPr>
            <w:tcW w:type="dxa" w:w="6206"/>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DB 연동, 담당자 배정, 상태 관리, 알림, 대시보드</w:t>
            </w:r>
          </w:p>
        </w:tc>
        <w:tc>
          <w:tcPr>
            <w:tcW w:type="dxa" w:w="198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현장 1개</w:t>
            </w:r>
          </w:p>
        </w:tc>
      </w:tr>
      <w:tr>
        <w:trPr>
          <w:cantSplit/>
          <w:tblHeader w:val="false"/>
        </w:trPr>
        <w:tc>
          <w:tcPr>
            <w:tcW w:type="dxa" w:w="1452"/>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성과·정산</w:t>
            </w:r>
          </w:p>
        </w:tc>
        <w:tc>
          <w:tcPr>
            <w:tcW w:type="dxa" w:w="620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주간 요약, 월간 분석, 종료 정산</w:t>
            </w:r>
          </w:p>
        </w:tc>
        <w:tc>
          <w:tcPr>
            <w:tcW w:type="dxa" w:w="198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주간·월간·종료</w:t>
            </w:r>
          </w:p>
        </w:tc>
      </w:tr>
    </w:tbl>
    <w:p>
      <w:pPr>
        <w:spacing w:after="200" w:before="0"/>
      </w:pPr>
    </w:p>
    <w:p>
      <w:pPr>
        <w:pStyle w:val="Heading2"/>
        <w:keepNext/>
        <w:spacing w:after="140" w:before="300"/>
      </w:pPr>
      <w:r>
        <w:rPr>
          <w:rFonts w:ascii="맑은 고딕" w:cs="맑은 고딕" w:eastAsia="맑은 고딕" w:hAnsi="맑은 고딕"/>
          <w:b/>
          <w:bCs/>
          <w:color w:val="1A1A1A"/>
          <w:sz w:val="23"/>
          <w:szCs w:val="23"/>
        </w:rPr>
        <w:t xml:space="preserve">13.2 제외 및 별도 협의 항목</w:t>
      </w:r>
    </w:p>
    <w:p>
      <w:pPr>
        <w:keepNext/>
        <w:spacing w:after="90" w:before="220"/>
      </w:pPr>
      <w:r>
        <w:rPr>
          <w:rFonts w:ascii="맑은 고딕" w:cs="맑은 고딕" w:eastAsia="맑은 고딕" w:hAnsi="맑은 고딕"/>
          <w:b/>
          <w:bCs/>
          <w:color w:val="1F3864"/>
          <w:sz w:val="18"/>
          <w:szCs w:val="18"/>
        </w:rPr>
        <w:t xml:space="preserve">[표 13-3] 표준 제공범위 제외 항목</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7838"/>
      </w:tblGrid>
      <w:tr>
        <w:trPr>
          <w:cantSplit/>
          <w:tblHeader/>
        </w:trPr>
        <w:tc>
          <w:tcPr>
            <w:tcW w:type="dxa" w:w="1800"/>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영역</w:t>
            </w:r>
          </w:p>
        </w:tc>
        <w:tc>
          <w:tcPr>
            <w:tcW w:type="dxa" w:w="7838"/>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제외·별도 협의 항목</w:t>
            </w:r>
          </w:p>
        </w:tc>
      </w:tr>
      <w:tr>
        <w:trPr>
          <w:cantSplit/>
          <w:tblHeader w:val="false"/>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전문 의견</w:t>
            </w:r>
          </w:p>
        </w:tc>
        <w:tc>
          <w:tcPr>
            <w:tcW w:type="dxa" w:w="783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법률·세무·감정평가·투자자문에 해당하는 공식 의견서</w:t>
            </w:r>
          </w:p>
        </w:tc>
      </w:tr>
      <w:tr>
        <w:trPr>
          <w:cantSplit/>
          <w:tblHeader w:val="false"/>
        </w:trPr>
        <w:tc>
          <w:tcPr>
            <w:tcW w:type="dxa" w:w="180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데이터</w:t>
            </w:r>
          </w:p>
        </w:tc>
        <w:tc>
          <w:tcPr>
            <w:tcW w:type="dxa" w:w="7838"/>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유료 민간 데이터 구매, 별도 라이선스, 대규모 현장조사·전문기관 실측</w:t>
            </w:r>
          </w:p>
        </w:tc>
      </w:tr>
      <w:tr>
        <w:trPr>
          <w:cantSplit/>
          <w:tblHeader w:val="false"/>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제작</w:t>
            </w:r>
          </w:p>
        </w:tc>
        <w:tc>
          <w:tcPr>
            <w:tcW w:type="dxa" w:w="783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영상 촬영, 모델·스튜디오·드론·3D·VR, 다량 디자인</w:t>
            </w:r>
          </w:p>
        </w:tc>
      </w:tr>
      <w:tr>
        <w:trPr>
          <w:cantSplit/>
          <w:tblHeader w:val="false"/>
        </w:trPr>
        <w:tc>
          <w:tcPr>
            <w:tcW w:type="dxa" w:w="180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인프라</w:t>
            </w:r>
          </w:p>
        </w:tc>
        <w:tc>
          <w:tcPr>
            <w:tcW w:type="dxa" w:w="7838"/>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정보 허브의 장기 호스팅, 도메인, 외부 솔루션, 복잡한 시스템 연동</w:t>
            </w:r>
          </w:p>
        </w:tc>
      </w:tr>
      <w:tr>
        <w:trPr>
          <w:cantSplit/>
          <w:tblHeader w:val="false"/>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인력</w:t>
            </w:r>
          </w:p>
        </w:tc>
        <w:tc>
          <w:tcPr>
            <w:tcW w:type="dxa" w:w="783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분양상담 인력의 직접 고용, 콜센터 운영, 계약 체결 대행</w:t>
            </w:r>
          </w:p>
        </w:tc>
      </w:tr>
      <w:tr>
        <w:trPr>
          <w:cantSplit/>
          <w:tblHeader w:val="false"/>
        </w:trPr>
        <w:tc>
          <w:tcPr>
            <w:tcW w:type="dxa" w:w="180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시스템</w:t>
            </w:r>
          </w:p>
        </w:tc>
        <w:tc>
          <w:tcPr>
            <w:tcW w:type="dxa" w:w="7838"/>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업무툴의 현장 전용 기능 개발, 장기 데이터 보관, 타 시스템 마이그레이션</w:t>
            </w:r>
          </w:p>
        </w:tc>
      </w:tr>
    </w:tbl>
    <w:p>
      <w:pPr>
        <w:spacing w:after="200" w:before="0"/>
      </w:pPr>
    </w:p>
    <w:p>
      <w:pPr>
        <w:keepNext w:val="false"/>
        <w:spacing w:after="130" w:before="60" w:line="310"/>
        <w:jc w:val="both"/>
      </w:pPr>
      <w:r>
        <w:rPr>
          <w:rFonts w:ascii="맑은 고딕" w:cs="맑은 고딕" w:eastAsia="맑은 고딕" w:hAnsi="맑은 고딕"/>
          <w:b w:val="false"/>
          <w:bCs w:val="false"/>
          <w:i w:val="false"/>
          <w:iCs w:val="false"/>
          <w:color w:val="1A1A1A"/>
          <w:sz w:val="20"/>
          <w:szCs w:val="20"/>
        </w:rPr>
        <w:t xml:space="preserve">제외 항목은 필요 시 범위·단가·납기·수정 횟수·권리 귀속을 견적서와 계약서에 구분하여 별도 협의합니다.</w:t>
      </w:r>
    </w:p>
    <w:p>
      <w:pPr>
        <w:pStyle w:val="Heading2"/>
        <w:keepNext/>
        <w:spacing w:after="140" w:before="300"/>
      </w:pPr>
      <w:r>
        <w:rPr>
          <w:rFonts w:ascii="맑은 고딕" w:cs="맑은 고딕" w:eastAsia="맑은 고딕" w:hAnsi="맑은 고딕"/>
          <w:b/>
          <w:bCs/>
          <w:color w:val="1A1A1A"/>
          <w:sz w:val="23"/>
          <w:szCs w:val="23"/>
        </w:rPr>
        <w:t xml:space="preserve">13.3 산출물별 검수 기준</w:t>
      </w:r>
    </w:p>
    <w:p>
      <w:pPr>
        <w:keepNext/>
        <w:spacing w:after="90" w:before="220"/>
      </w:pPr>
      <w:r>
        <w:rPr>
          <w:rFonts w:ascii="맑은 고딕" w:cs="맑은 고딕" w:eastAsia="맑은 고딕" w:hAnsi="맑은 고딕"/>
          <w:b/>
          <w:bCs/>
          <w:color w:val="1F3864"/>
          <w:sz w:val="18"/>
          <w:szCs w:val="18"/>
        </w:rPr>
        <w:t xml:space="preserve">[표 13-4] 납품 인정 기준과 검수 증빙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62"/>
        <w:gridCol w:w="4874"/>
        <w:gridCol w:w="3102"/>
      </w:tblGrid>
      <w:tr>
        <w:trPr>
          <w:cantSplit/>
          <w:tblHeader/>
        </w:trPr>
        <w:tc>
          <w:tcPr>
            <w:tcW w:type="dxa" w:w="1662"/>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산출물</w:t>
            </w:r>
          </w:p>
        </w:tc>
        <w:tc>
          <w:tcPr>
            <w:tcW w:type="dxa" w:w="4874"/>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납품 인정 기준</w:t>
            </w:r>
          </w:p>
        </w:tc>
        <w:tc>
          <w:tcPr>
            <w:tcW w:type="dxa" w:w="3102"/>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검수 증빙</w:t>
            </w:r>
          </w:p>
        </w:tc>
      </w:tr>
      <w:tr>
        <w:trPr>
          <w:cantSplit/>
          <w:tblHeader w:val="false"/>
        </w:trPr>
        <w:tc>
          <w:tcPr>
            <w:tcW w:type="dxa" w:w="1662"/>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현장 진단리포트</w:t>
            </w:r>
          </w:p>
        </w:tc>
        <w:tc>
          <w:tcPr>
            <w:tcW w:type="dxa" w:w="4874"/>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기준일·경계·출처·계산·한계·반대근거 표시</w:t>
            </w:r>
          </w:p>
        </w:tc>
        <w:tc>
          <w:tcPr>
            <w:tcW w:type="dxa" w:w="3102"/>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근거원장, 체크리스트, 버전</w:t>
            </w:r>
          </w:p>
        </w:tc>
      </w:tr>
      <w:tr>
        <w:trPr>
          <w:cantSplit/>
          <w:tblHeader w:val="false"/>
        </w:trPr>
        <w:tc>
          <w:tcPr>
            <w:tcW w:type="dxa" w:w="1662"/>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정보 허브</w:t>
            </w:r>
          </w:p>
        </w:tc>
        <w:tc>
          <w:tcPr>
            <w:tcW w:type="dxa" w:w="4874"/>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필수 정보·링크·폼·모바일·추적·표현 승인 정상</w:t>
            </w:r>
          </w:p>
        </w:tc>
        <w:tc>
          <w:tcPr>
            <w:tcW w:type="dxa" w:w="3102"/>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테스트 결과, 승인 기록</w:t>
            </w:r>
          </w:p>
        </w:tc>
      </w:tr>
      <w:tr>
        <w:trPr>
          <w:cantSplit/>
          <w:tblHeader w:val="false"/>
        </w:trPr>
        <w:tc>
          <w:tcPr>
            <w:tcW w:type="dxa" w:w="1662"/>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콘텐츠</w:t>
            </w:r>
          </w:p>
        </w:tc>
        <w:tc>
          <w:tcPr>
            <w:tcW w:type="dxa" w:w="4874"/>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규격·수량·브랜드·근거·오탈자·권리 적합</w:t>
            </w:r>
          </w:p>
        </w:tc>
        <w:tc>
          <w:tcPr>
            <w:tcW w:type="dxa" w:w="3102"/>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소재 목록, 수정·승인 기록</w:t>
            </w:r>
          </w:p>
        </w:tc>
      </w:tr>
      <w:tr>
        <w:trPr>
          <w:cantSplit/>
          <w:tblHeader w:val="false"/>
        </w:trPr>
        <w:tc>
          <w:tcPr>
            <w:tcW w:type="dxa" w:w="1662"/>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광고계정</w:t>
            </w:r>
          </w:p>
        </w:tc>
        <w:tc>
          <w:tcPr>
            <w:tcW w:type="dxa" w:w="4874"/>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소유·권한·결제·전환·유입 추적·명명 규칙</w:t>
            </w:r>
          </w:p>
        </w:tc>
        <w:tc>
          <w:tcPr>
            <w:tcW w:type="dxa" w:w="3102"/>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계정 점검표, 집행 화면</w:t>
            </w:r>
          </w:p>
        </w:tc>
      </w:tr>
      <w:tr>
        <w:trPr>
          <w:cantSplit/>
          <w:tblHeader w:val="false"/>
        </w:trPr>
        <w:tc>
          <w:tcPr>
            <w:tcW w:type="dxa" w:w="1662"/>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업무툴</w:t>
            </w:r>
          </w:p>
        </w:tc>
        <w:tc>
          <w:tcPr>
            <w:tcW w:type="dxa" w:w="4874"/>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DB 유입·중복·배정·알림·상태·내보내기 정상</w:t>
            </w:r>
          </w:p>
        </w:tc>
        <w:tc>
          <w:tcPr>
            <w:tcW w:type="dxa" w:w="3102"/>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시나리오 테스트, 사용자 승인</w:t>
            </w:r>
          </w:p>
        </w:tc>
      </w:tr>
      <w:tr>
        <w:trPr>
          <w:cantSplit/>
          <w:tblHeader w:val="false"/>
        </w:trPr>
        <w:tc>
          <w:tcPr>
            <w:tcW w:type="dxa" w:w="1662"/>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대시보드</w:t>
            </w:r>
          </w:p>
        </w:tc>
        <w:tc>
          <w:tcPr>
            <w:tcW w:type="dxa" w:w="4874"/>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예산·성과 수치가 원천 자료와 일치</w:t>
            </w:r>
          </w:p>
        </w:tc>
        <w:tc>
          <w:tcPr>
            <w:tcW w:type="dxa" w:w="3102"/>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원천 자료 대사표</w:t>
            </w:r>
          </w:p>
        </w:tc>
      </w:tr>
      <w:tr>
        <w:trPr>
          <w:cantSplit/>
          <w:tblHeader w:val="false"/>
        </w:trPr>
        <w:tc>
          <w:tcPr>
            <w:tcW w:type="dxa" w:w="1662"/>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종료 정산</w:t>
            </w:r>
          </w:p>
        </w:tc>
        <w:tc>
          <w:tcPr>
            <w:tcW w:type="dxa" w:w="4874"/>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계약·실집행·수수료·제작비·잔액 일치</w:t>
            </w:r>
          </w:p>
        </w:tc>
        <w:tc>
          <w:tcPr>
            <w:tcW w:type="dxa" w:w="3102"/>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매체 결제·원장·정산서</w:t>
            </w:r>
          </w:p>
        </w:tc>
      </w:tr>
    </w:tbl>
    <w:p>
      <w:pPr>
        <w:spacing w:after="200" w:before="0"/>
      </w:pPr>
    </w:p>
    <w:p>
      <w:pPr>
        <w:pStyle w:val="Heading2"/>
        <w:keepNext/>
        <w:spacing w:after="140" w:before="300"/>
      </w:pPr>
      <w:r>
        <w:rPr>
          <w:rFonts w:ascii="맑은 고딕" w:cs="맑은 고딕" w:eastAsia="맑은 고딕" w:hAnsi="맑은 고딕"/>
          <w:b/>
          <w:bCs/>
          <w:color w:val="1A1A1A"/>
          <w:sz w:val="23"/>
          <w:szCs w:val="23"/>
        </w:rPr>
        <w:t xml:space="preserve">13.4 별도 콘텐츠 제작 계약의 필수 확정 항목</w:t>
      </w:r>
    </w:p>
    <w:p>
      <w:pPr>
        <w:keepNext/>
        <w:spacing w:after="90" w:before="220"/>
      </w:pPr>
      <w:r>
        <w:rPr>
          <w:rFonts w:ascii="맑은 고딕" w:cs="맑은 고딕" w:eastAsia="맑은 고딕" w:hAnsi="맑은 고딕"/>
          <w:b/>
          <w:bCs/>
          <w:color w:val="1F3864"/>
          <w:sz w:val="18"/>
          <w:szCs w:val="18"/>
        </w:rPr>
        <w:t xml:space="preserve">[표 13-5] 제작 계약 확정 항목</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7838"/>
      </w:tblGrid>
      <w:tr>
        <w:trPr>
          <w:cantSplit/>
          <w:tblHeader/>
        </w:trPr>
        <w:tc>
          <w:tcPr>
            <w:tcW w:type="dxa" w:w="1800"/>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확정 항목</w:t>
            </w:r>
          </w:p>
        </w:tc>
        <w:tc>
          <w:tcPr>
            <w:tcW w:type="dxa" w:w="7838"/>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세부 확인 내용</w:t>
            </w:r>
          </w:p>
        </w:tc>
      </w:tr>
      <w:tr>
        <w:trPr>
          <w:cantSplit/>
          <w:tblHeader w:val="false"/>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품목·수량</w:t>
            </w:r>
          </w:p>
        </w:tc>
        <w:tc>
          <w:tcPr>
            <w:tcW w:type="dxa" w:w="783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이미지, 카드뉴스, 숏폼, 인터뷰, 현장영상, 리포트, 정보 허브의 규격과 수량</w:t>
            </w:r>
          </w:p>
        </w:tc>
      </w:tr>
      <w:tr>
        <w:trPr>
          <w:cantSplit/>
          <w:tblHeader w:val="false"/>
        </w:trPr>
        <w:tc>
          <w:tcPr>
            <w:tcW w:type="dxa" w:w="180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기획·원고</w:t>
            </w:r>
          </w:p>
        </w:tc>
        <w:tc>
          <w:tcPr>
            <w:tcW w:type="dxa" w:w="7838"/>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분석 원고 포함 여부, 카피, 콘티, 출연자 인터뷰</w:t>
            </w:r>
          </w:p>
        </w:tc>
      </w:tr>
      <w:tr>
        <w:trPr>
          <w:cantSplit/>
          <w:tblHeader w:val="false"/>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촬영</w:t>
            </w:r>
          </w:p>
        </w:tc>
        <w:tc>
          <w:tcPr>
            <w:tcW w:type="dxa" w:w="783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장소, 일수, 장비, 드론, 모델, 교통, 기상 예비일</w:t>
            </w:r>
          </w:p>
        </w:tc>
      </w:tr>
      <w:tr>
        <w:trPr>
          <w:cantSplit/>
          <w:tblHeader w:val="false"/>
        </w:trPr>
        <w:tc>
          <w:tcPr>
            <w:tcW w:type="dxa" w:w="180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디자인·편집</w:t>
            </w:r>
          </w:p>
        </w:tc>
        <w:tc>
          <w:tcPr>
            <w:tcW w:type="dxa" w:w="7838"/>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템플릿 또는 신규 제작, 러닝타임, 자막, 모션, 색보정, 음원</w:t>
            </w:r>
          </w:p>
        </w:tc>
      </w:tr>
      <w:tr>
        <w:trPr>
          <w:cantSplit/>
          <w:tblHeader w:val="false"/>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수정</w:t>
            </w:r>
          </w:p>
        </w:tc>
        <w:tc>
          <w:tcPr>
            <w:tcW w:type="dxa" w:w="783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초안·1차·최종, 무상 수정 횟수, 범위 변경 기준</w:t>
            </w:r>
          </w:p>
        </w:tc>
      </w:tr>
      <w:tr>
        <w:trPr>
          <w:cantSplit/>
          <w:tblHeader w:val="false"/>
        </w:trPr>
        <w:tc>
          <w:tcPr>
            <w:tcW w:type="dxa" w:w="180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권리</w:t>
            </w:r>
          </w:p>
        </w:tc>
        <w:tc>
          <w:tcPr>
            <w:tcW w:type="dxa" w:w="7838"/>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원본·소스파일, 폰트·음원·이미지·초상권, 광고 사용기간</w:t>
            </w:r>
          </w:p>
        </w:tc>
      </w:tr>
      <w:tr>
        <w:trPr>
          <w:cantSplit/>
          <w:tblHeader w:val="false"/>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납기·승인</w:t>
            </w:r>
          </w:p>
        </w:tc>
        <w:tc>
          <w:tcPr>
            <w:tcW w:type="dxa" w:w="783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자료 마감, 초안일, 승인자, 최종 납품 형식</w:t>
            </w:r>
          </w:p>
        </w:tc>
      </w:tr>
    </w:tbl>
    <w:p>
      <w:pPr>
        <w:spacing w:after="200" w:before="0"/>
      </w:pPr>
    </w:p>
    <w:p>
      <w:pPr>
        <w:pStyle w:val="Heading2"/>
        <w:keepNext/>
        <w:spacing w:after="140" w:before="300"/>
      </w:pPr>
      <w:r>
        <w:rPr>
          <w:rFonts w:ascii="맑은 고딕" w:cs="맑은 고딕" w:eastAsia="맑은 고딕" w:hAnsi="맑은 고딕"/>
          <w:b/>
          <w:bCs/>
          <w:color w:val="1A1A1A"/>
          <w:sz w:val="23"/>
          <w:szCs w:val="23"/>
        </w:rPr>
        <w:t xml:space="preserve">13.5 변경관리와 종료·인계</w:t>
      </w:r>
    </w:p>
    <w:p>
      <w:pPr>
        <w:keepNext/>
        <w:spacing w:after="90" w:before="220"/>
      </w:pPr>
      <w:r>
        <w:rPr>
          <w:rFonts w:ascii="맑은 고딕" w:cs="맑은 고딕" w:eastAsia="맑은 고딕" w:hAnsi="맑은 고딕"/>
          <w:b/>
          <w:bCs/>
          <w:color w:val="1F3864"/>
          <w:sz w:val="18"/>
          <w:szCs w:val="18"/>
        </w:rPr>
        <w:t xml:space="preserve">[표 13-6] 변경관리 5단계</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12"/>
        <w:gridCol w:w="7526"/>
      </w:tblGrid>
      <w:tr>
        <w:trPr>
          <w:cantSplit/>
          <w:tblHeader/>
        </w:trPr>
        <w:tc>
          <w:tcPr>
            <w:tcW w:type="dxa" w:w="2112"/>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단계</w:t>
            </w:r>
          </w:p>
        </w:tc>
        <w:tc>
          <w:tcPr>
            <w:tcW w:type="dxa" w:w="7526"/>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내용</w:t>
            </w:r>
          </w:p>
        </w:tc>
      </w:tr>
      <w:tr>
        <w:trPr>
          <w:cantSplit/>
          <w:tblHeader w:val="false"/>
        </w:trPr>
        <w:tc>
          <w:tcPr>
            <w:tcW w:type="dxa" w:w="2112"/>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① 변경요청 등록</w:t>
            </w:r>
          </w:p>
        </w:tc>
        <w:tc>
          <w:tcPr>
            <w:tcW w:type="dxa" w:w="75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요청 내용, 사유, 긴급도, 요청자 기록</w:t>
            </w:r>
          </w:p>
        </w:tc>
      </w:tr>
      <w:tr>
        <w:trPr>
          <w:cantSplit/>
          <w:tblHeader w:val="false"/>
        </w:trPr>
        <w:tc>
          <w:tcPr>
            <w:tcW w:type="dxa" w:w="2112"/>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② 영향 분석</w:t>
            </w:r>
          </w:p>
        </w:tc>
        <w:tc>
          <w:tcPr>
            <w:tcW w:type="dxa" w:w="7526"/>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일정·비용·데이터·광고 성과·개인정보·표현 위험 영향 검토</w:t>
            </w:r>
          </w:p>
        </w:tc>
      </w:tr>
      <w:tr>
        <w:trPr>
          <w:cantSplit/>
          <w:tblHeader w:val="false"/>
        </w:trPr>
        <w:tc>
          <w:tcPr>
            <w:tcW w:type="dxa" w:w="2112"/>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③ 견적·승인</w:t>
            </w:r>
          </w:p>
        </w:tc>
        <w:tc>
          <w:tcPr>
            <w:tcW w:type="dxa" w:w="75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무상 범위와 추가 비용, 납기, 기존 산출물 영향을 서면 승인</w:t>
            </w:r>
          </w:p>
        </w:tc>
      </w:tr>
      <w:tr>
        <w:trPr>
          <w:cantSplit/>
          <w:tblHeader w:val="false"/>
        </w:trPr>
        <w:tc>
          <w:tcPr>
            <w:tcW w:type="dxa" w:w="2112"/>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④ 실행·검수</w:t>
            </w:r>
          </w:p>
        </w:tc>
        <w:tc>
          <w:tcPr>
            <w:tcW w:type="dxa" w:w="7526"/>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변경 버전 구분, 테스트와 표현 검수 수행</w:t>
            </w:r>
          </w:p>
        </w:tc>
      </w:tr>
      <w:tr>
        <w:trPr>
          <w:cantSplit/>
          <w:tblHeader w:val="false"/>
        </w:trPr>
        <w:tc>
          <w:tcPr>
            <w:tcW w:type="dxa" w:w="2112"/>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⑤ 이력 보존</w:t>
            </w:r>
          </w:p>
        </w:tc>
        <w:tc>
          <w:tcPr>
            <w:tcW w:type="dxa" w:w="75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승인자·승인일·변경 내용을 변경원장에 저장</w:t>
            </w:r>
          </w:p>
        </w:tc>
      </w:tr>
    </w:tbl>
    <w:p>
      <w:pPr>
        <w:spacing w:after="200" w:before="0"/>
      </w:pPr>
    </w:p>
    <w:p>
      <w:pPr>
        <w:keepNext/>
        <w:spacing w:after="90" w:before="220"/>
      </w:pPr>
      <w:r>
        <w:rPr>
          <w:rFonts w:ascii="맑은 고딕" w:cs="맑은 고딕" w:eastAsia="맑은 고딕" w:hAnsi="맑은 고딕"/>
          <w:b/>
          <w:bCs/>
          <w:color w:val="1F3864"/>
          <w:sz w:val="18"/>
          <w:szCs w:val="18"/>
        </w:rPr>
        <w:t xml:space="preserve">[표 13-7] 종료·인계 항목</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7838"/>
      </w:tblGrid>
      <w:tr>
        <w:trPr>
          <w:cantSplit/>
          <w:tblHeader/>
        </w:trPr>
        <w:tc>
          <w:tcPr>
            <w:tcW w:type="dxa" w:w="1800"/>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영역</w:t>
            </w:r>
          </w:p>
        </w:tc>
        <w:tc>
          <w:tcPr>
            <w:tcW w:type="dxa" w:w="7838"/>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인계 내용</w:t>
            </w:r>
          </w:p>
        </w:tc>
      </w:tr>
      <w:tr>
        <w:trPr>
          <w:cantSplit/>
          <w:tblHeader w:val="false"/>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계정</w:t>
            </w:r>
          </w:p>
        </w:tc>
        <w:tc>
          <w:tcPr>
            <w:tcW w:type="dxa" w:w="783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광고계정 권한·소유 관계, 결제 수단, 잔여 예산 처리</w:t>
            </w:r>
          </w:p>
        </w:tc>
      </w:tr>
      <w:tr>
        <w:trPr>
          <w:cantSplit/>
          <w:tblHeader w:val="false"/>
        </w:trPr>
        <w:tc>
          <w:tcPr>
            <w:tcW w:type="dxa" w:w="180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운영 자산</w:t>
            </w:r>
          </w:p>
        </w:tc>
        <w:tc>
          <w:tcPr>
            <w:tcW w:type="dxa" w:w="7838"/>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캠페인·소재·전환 설정·유입 추적·대시보드의 최종 상태</w:t>
            </w:r>
          </w:p>
        </w:tc>
      </w:tr>
      <w:tr>
        <w:trPr>
          <w:cantSplit/>
          <w:tblHeader w:val="false"/>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고객 데이터</w:t>
            </w:r>
          </w:p>
        </w:tc>
        <w:tc>
          <w:tcPr>
            <w:tcW w:type="dxa" w:w="783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DB 내보내기, 개인정보 보관·반환·삭제 및 파기 확인</w:t>
            </w:r>
          </w:p>
        </w:tc>
      </w:tr>
      <w:tr>
        <w:trPr>
          <w:cantSplit/>
          <w:tblHeader w:val="false"/>
        </w:trPr>
        <w:tc>
          <w:tcPr>
            <w:tcW w:type="dxa" w:w="180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제작물</w:t>
            </w:r>
          </w:p>
        </w:tc>
        <w:tc>
          <w:tcPr>
            <w:tcW w:type="dxa" w:w="7838"/>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산출물·원본·소스파일의 계약상 인도 범위</w:t>
            </w:r>
          </w:p>
        </w:tc>
      </w:tr>
      <w:tr>
        <w:trPr>
          <w:cantSplit/>
          <w:tblHeader w:val="false"/>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문서</w:t>
            </w:r>
          </w:p>
        </w:tc>
        <w:tc>
          <w:tcPr>
            <w:tcW w:type="dxa" w:w="783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근거원장·분석 리포트·운영 리포트·정산서의 최종 버전</w:t>
            </w:r>
          </w:p>
        </w:tc>
      </w:tr>
      <w:tr>
        <w:trPr>
          <w:cantSplit/>
          <w:tblHeader w:val="false"/>
        </w:trPr>
        <w:tc>
          <w:tcPr>
            <w:tcW w:type="dxa" w:w="180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미결 과제</w:t>
            </w:r>
          </w:p>
        </w:tc>
        <w:tc>
          <w:tcPr>
            <w:tcW w:type="dxa" w:w="7838"/>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후속 모니터링, 재계약 또는 종료 지원 일정</w:t>
            </w:r>
          </w:p>
        </w:tc>
      </w:tr>
    </w:tbl>
    <w:p>
      <w:pPr>
        <w:spacing w:after="200" w:before="0"/>
      </w:pPr>
    </w:p>
    <w:p>
      <w:pPr>
        <w:pStyle w:val="Heading2"/>
        <w:keepNext/>
        <w:spacing w:after="140" w:before="300"/>
      </w:pPr>
      <w:r>
        <w:rPr>
          <w:rFonts w:ascii="맑은 고딕" w:cs="맑은 고딕" w:eastAsia="맑은 고딕" w:hAnsi="맑은 고딕"/>
          <w:b/>
          <w:bCs/>
          <w:color w:val="1A1A1A"/>
          <w:sz w:val="23"/>
          <w:szCs w:val="23"/>
        </w:rPr>
        <w:t xml:space="preserve">13.6 소결</w:t>
      </w:r>
    </w:p>
    <w:p>
      <w:pPr>
        <w:keepNext w:val="false"/>
        <w:spacing w:after="130" w:before="60" w:line="310"/>
        <w:jc w:val="both"/>
      </w:pPr>
      <w:r>
        <w:rPr>
          <w:rFonts w:ascii="맑은 고딕" w:cs="맑은 고딕" w:eastAsia="맑은 고딕" w:hAnsi="맑은 고딕"/>
          <w:b w:val="false"/>
          <w:bCs w:val="false"/>
          <w:i w:val="false"/>
          <w:iCs w:val="false"/>
          <w:color w:val="1A1A1A"/>
          <w:sz w:val="20"/>
          <w:szCs w:val="20"/>
        </w:rPr>
        <w:t xml:space="preserve">범위의 명확성은 협업 신뢰의 전제입니다.</w:t>
      </w:r>
    </w:p>
    <w:p>
      <w:pPr>
        <w:keepNext w:val="false"/>
        <w:spacing w:after="130" w:before="60" w:line="310"/>
        <w:jc w:val="both"/>
      </w:pPr>
      <w:r>
        <w:rPr>
          <w:rFonts w:ascii="맑은 고딕" w:cs="맑은 고딕" w:eastAsia="맑은 고딕" w:hAnsi="맑은 고딕"/>
          <w:b w:val="false"/>
          <w:bCs w:val="false"/>
          <w:i w:val="false"/>
          <w:iCs w:val="false"/>
          <w:color w:val="1A1A1A"/>
          <w:sz w:val="20"/>
          <w:szCs w:val="20"/>
        </w:rPr>
        <w:t xml:space="preserve">확정된 제공범위는 검수(13.3)와 정산(제11장)의 기준 문서가 되며, 범위 밖 요청은 변경관리 절차(13.5)를 통해 서면으로 처리됩니다. 이 범위를 누가 책임지고 수행하는지가 제14장의 주제입니다.</w:t>
      </w:r>
    </w:p>
    <w:p>
      <w:pPr>
        <w:pStyle w:val="Heading1"/>
        <w:pageBreakBefore/>
        <w:pBdr>
          <w:bottom w:val="single" w:color="1F3864" w:sz="10" w:space="8"/>
        </w:pBdr>
        <w:spacing w:after="240" w:before="0"/>
      </w:pPr>
      <w:r>
        <w:rPr>
          <w:rFonts w:ascii="맑은 고딕" w:cs="맑은 고딕" w:eastAsia="맑은 고딕" w:hAnsi="맑은 고딕"/>
          <w:b/>
          <w:bCs/>
          <w:color w:val="1F3864"/>
          <w:sz w:val="30"/>
          <w:szCs w:val="30"/>
        </w:rPr>
        <w:t xml:space="preserve">제14장. 수행 조직·책임과 위험 통제</w:t>
      </w:r>
    </w:p>
    <w:p>
      <w:pPr>
        <w:keepNext w:val="false"/>
        <w:spacing w:after="130" w:before="60" w:line="310"/>
        <w:jc w:val="both"/>
      </w:pPr>
      <w:r>
        <w:rPr>
          <w:rFonts w:ascii="맑은 고딕" w:cs="맑은 고딕" w:eastAsia="맑은 고딕" w:hAnsi="맑은 고딕"/>
          <w:b/>
          <w:bCs/>
          <w:i w:val="false"/>
          <w:iCs w:val="false"/>
          <w:color w:val="1A1A1A"/>
          <w:sz w:val="20"/>
          <w:szCs w:val="20"/>
        </w:rPr>
        <w:t xml:space="preserve">헤드라인.</w:t>
      </w:r>
      <w:r>
        <w:rPr>
          <w:rFonts w:ascii="맑은 고딕" w:cs="맑은 고딕" w:eastAsia="맑은 고딕" w:hAnsi="맑은 고딕"/>
          <w:b w:val="false"/>
          <w:bCs w:val="false"/>
          <w:i w:val="false"/>
          <w:iCs w:val="false"/>
          <w:color w:val="1A1A1A"/>
          <w:sz w:val="20"/>
          <w:szCs w:val="20"/>
        </w:rPr>
        <w:t xml:space="preserve"> 책임은 RACI로 분리하고, 위험은 8개 범주로 사전 통제합니다.</w:t>
      </w:r>
    </w:p>
    <w:p>
      <w:pPr>
        <w:keepNext/>
        <w:spacing w:after="90" w:before="220"/>
      </w:pPr>
      <w:r>
        <w:rPr>
          <w:rFonts w:ascii="맑은 고딕" w:cs="맑은 고딕" w:eastAsia="맑은 고딕" w:hAnsi="맑은 고딕"/>
          <w:b/>
          <w:bCs/>
          <w:color w:val="1F3864"/>
          <w:sz w:val="18"/>
          <w:szCs w:val="18"/>
        </w:rPr>
        <w:t xml:space="preserve">[표 14-1] 장 요약</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7838"/>
      </w:tblGrid>
      <w:tr>
        <w:trPr>
          <w:cantSplit/>
          <w:tblHeader/>
        </w:trPr>
        <w:tc>
          <w:tcPr>
            <w:tcW w:type="dxa" w:w="1800"/>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구분</w:t>
            </w:r>
          </w:p>
        </w:tc>
        <w:tc>
          <w:tcPr>
            <w:tcW w:type="dxa" w:w="7838"/>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내용</w:t>
            </w:r>
          </w:p>
        </w:tc>
      </w:tr>
      <w:tr>
        <w:trPr>
          <w:cantSplit/>
          <w:tblHeader w:val="false"/>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문제 (Problem)</w:t>
            </w:r>
          </w:p>
        </w:tc>
        <w:tc>
          <w:tcPr>
            <w:tcW w:type="dxa" w:w="783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책임 소재가 불명확하면 사고의 예방과 발생 시 대응이 모두 지연된다</w:t>
            </w:r>
          </w:p>
        </w:tc>
      </w:tr>
      <w:tr>
        <w:trPr>
          <w:cantSplit/>
          <w:tblHeader w:val="false"/>
        </w:trPr>
        <w:tc>
          <w:tcPr>
            <w:tcW w:type="dxa" w:w="180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원인 (Reason)</w:t>
            </w:r>
          </w:p>
        </w:tc>
        <w:tc>
          <w:tcPr>
            <w:tcW w:type="dxa" w:w="7838"/>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분석·표현·집행·입력·개인정보의 책임 주체가 관행적으로 정의되지 않기 때문이다</w:t>
            </w:r>
          </w:p>
        </w:tc>
      </w:tr>
      <w:tr>
        <w:trPr>
          <w:cantSplit/>
          <w:tblHeader w:val="false"/>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방법 (Method)</w:t>
            </w:r>
          </w:p>
        </w:tc>
        <w:tc>
          <w:tcPr>
            <w:tcW w:type="dxa" w:w="783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수행 조직과 RACI(14.1~14.2), 8범주 위험통제표(14.3), 개인정보 원칙(14.4), 표현 등급·금지 목록(14.5)을 계약에 반영한다</w:t>
            </w:r>
          </w:p>
        </w:tc>
      </w:tr>
      <w:tr>
        <w:trPr>
          <w:cantSplit/>
          <w:tblHeader w:val="false"/>
        </w:trPr>
        <w:tc>
          <w:tcPr>
            <w:tcW w:type="dxa" w:w="180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기대 효과 (Effect)</w:t>
            </w:r>
          </w:p>
        </w:tc>
        <w:tc>
          <w:tcPr>
            <w:tcW w:type="dxa" w:w="7838"/>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표현·개인정보·성과 왜곡 사고가 절차로 예방되고, 발생 시 대응 경로가 사전에 정의된다</w:t>
            </w:r>
          </w:p>
        </w:tc>
      </w:tr>
    </w:tbl>
    <w:p>
      <w:pPr>
        <w:spacing w:after="200" w:before="0"/>
      </w:pPr>
    </w:p>
    <w:p>
      <w:pPr>
        <w:pStyle w:val="Heading2"/>
        <w:keepNext/>
        <w:spacing w:after="140" w:before="300"/>
      </w:pPr>
      <w:r>
        <w:rPr>
          <w:rFonts w:ascii="맑은 고딕" w:cs="맑은 고딕" w:eastAsia="맑은 고딕" w:hAnsi="맑은 고딕"/>
          <w:b/>
          <w:bCs/>
          <w:color w:val="1A1A1A"/>
          <w:sz w:val="23"/>
          <w:szCs w:val="23"/>
        </w:rPr>
        <w:t xml:space="preserve">14.1 수행 조직</w:t>
      </w:r>
    </w:p>
    <w:p>
      <w:pPr>
        <w:keepNext/>
        <w:spacing w:after="90" w:before="220"/>
      </w:pPr>
      <w:r>
        <w:rPr>
          <w:rFonts w:ascii="맑은 고딕" w:cs="맑은 고딕" w:eastAsia="맑은 고딕" w:hAnsi="맑은 고딕"/>
          <w:b/>
          <w:bCs/>
          <w:color w:val="1F3864"/>
          <w:sz w:val="18"/>
          <w:szCs w:val="18"/>
        </w:rPr>
        <w:t xml:space="preserve">[표 14-2] 표준 역할과 책임</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52"/>
        <w:gridCol w:w="5140"/>
        <w:gridCol w:w="2846"/>
      </w:tblGrid>
      <w:tr>
        <w:trPr>
          <w:cantSplit/>
          <w:tblHeader/>
        </w:trPr>
        <w:tc>
          <w:tcPr>
            <w:tcW w:type="dxa" w:w="1652"/>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역할</w:t>
            </w:r>
          </w:p>
        </w:tc>
        <w:tc>
          <w:tcPr>
            <w:tcW w:type="dxa" w:w="5140"/>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주요 책임</w:t>
            </w:r>
          </w:p>
        </w:tc>
        <w:tc>
          <w:tcPr>
            <w:tcW w:type="dxa" w:w="2846"/>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핵심 승인·보고</w:t>
            </w:r>
          </w:p>
        </w:tc>
      </w:tr>
      <w:tr>
        <w:trPr>
          <w:cantSplit/>
          <w:tblHeader w:val="false"/>
        </w:trPr>
        <w:tc>
          <w:tcPr>
            <w:tcW w:type="dxa" w:w="1652"/>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총괄 책임자</w:t>
            </w:r>
          </w:p>
        </w:tc>
        <w:tc>
          <w:tcPr>
            <w:tcW w:type="dxa" w:w="514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계약·범위·중요 위험·상위 의사결정</w:t>
            </w:r>
          </w:p>
        </w:tc>
        <w:tc>
          <w:tcPr>
            <w:tcW w:type="dxa" w:w="284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범위·예산·중요 변경·종료</w:t>
            </w:r>
          </w:p>
        </w:tc>
      </w:tr>
      <w:tr>
        <w:trPr>
          <w:cantSplit/>
          <w:tblHeader w:val="false"/>
        </w:trPr>
        <w:tc>
          <w:tcPr>
            <w:tcW w:type="dxa" w:w="1652"/>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프로젝트 매니저</w:t>
            </w:r>
          </w:p>
        </w:tc>
        <w:tc>
          <w:tcPr>
            <w:tcW w:type="dxa" w:w="514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일정·회의·자료·이슈·변경·산출물 통합, 발주처 창구 일원화</w:t>
            </w:r>
          </w:p>
        </w:tc>
        <w:tc>
          <w:tcPr>
            <w:tcW w:type="dxa" w:w="2846"/>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주간 보고, 게이트, 이슈 원장</w:t>
            </w:r>
          </w:p>
        </w:tc>
      </w:tr>
      <w:tr>
        <w:trPr>
          <w:cantSplit/>
          <w:tblHeader w:val="false"/>
        </w:trPr>
        <w:tc>
          <w:tcPr>
            <w:tcW w:type="dxa" w:w="1652"/>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AI·데이터 분석</w:t>
            </w:r>
          </w:p>
        </w:tc>
        <w:tc>
          <w:tcPr>
            <w:tcW w:type="dxa" w:w="514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데이터 수집, 공간·가격·수요·촉매 분석, 근거원장 관리</w:t>
            </w:r>
          </w:p>
        </w:tc>
        <w:tc>
          <w:tcPr>
            <w:tcW w:type="dxa" w:w="284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분석 결과, 한계, 표현 등급</w:t>
            </w:r>
          </w:p>
        </w:tc>
      </w:tr>
      <w:tr>
        <w:trPr>
          <w:cantSplit/>
          <w:tblHeader w:val="false"/>
        </w:trPr>
        <w:tc>
          <w:tcPr>
            <w:tcW w:type="dxa" w:w="1652"/>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콘텐츠·GEO</w:t>
            </w:r>
          </w:p>
        </w:tc>
        <w:tc>
          <w:tcPr>
            <w:tcW w:type="dxa" w:w="514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메시지·원고·디자인·영상·정보 허브</w:t>
            </w:r>
          </w:p>
        </w:tc>
        <w:tc>
          <w:tcPr>
            <w:tcW w:type="dxa" w:w="2846"/>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콘텐츠 버전, 권리, 표현 승인</w:t>
            </w:r>
          </w:p>
        </w:tc>
      </w:tr>
      <w:tr>
        <w:trPr>
          <w:cantSplit/>
          <w:tblHeader w:val="false"/>
        </w:trPr>
        <w:tc>
          <w:tcPr>
            <w:tcW w:type="dxa" w:w="1652"/>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퍼포먼스 광고</w:t>
            </w:r>
          </w:p>
        </w:tc>
        <w:tc>
          <w:tcPr>
            <w:tcW w:type="dxa" w:w="514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계정·캠페인·예산·전환·최적화·리포트</w:t>
            </w:r>
          </w:p>
        </w:tc>
        <w:tc>
          <w:tcPr>
            <w:tcW w:type="dxa" w:w="284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집행, 예산 이동, 성과</w:t>
            </w:r>
          </w:p>
        </w:tc>
      </w:tr>
      <w:tr>
        <w:trPr>
          <w:cantSplit/>
          <w:tblHeader w:val="false"/>
        </w:trPr>
        <w:tc>
          <w:tcPr>
            <w:tcW w:type="dxa" w:w="1652"/>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업무툴·데이터 운영</w:t>
            </w:r>
          </w:p>
        </w:tc>
        <w:tc>
          <w:tcPr>
            <w:tcW w:type="dxa" w:w="514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DB 연동·배정·상태·알림·대시보드</w:t>
            </w:r>
          </w:p>
        </w:tc>
        <w:tc>
          <w:tcPr>
            <w:tcW w:type="dxa" w:w="2846"/>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데이터 품질, 접근 권한, 장애</w:t>
            </w:r>
          </w:p>
        </w:tc>
      </w:tr>
      <w:tr>
        <w:trPr>
          <w:cantSplit/>
          <w:tblHeader w:val="false"/>
        </w:trPr>
        <w:tc>
          <w:tcPr>
            <w:tcW w:type="dxa" w:w="1652"/>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현장 운영 책임자</w:t>
            </w:r>
          </w:p>
        </w:tc>
        <w:tc>
          <w:tcPr>
            <w:tcW w:type="dxa" w:w="514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담당자·상담·방문·계약·거절 사유 품질</w:t>
            </w:r>
          </w:p>
        </w:tc>
        <w:tc>
          <w:tcPr>
            <w:tcW w:type="dxa" w:w="284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현장 퍼널, 연락 기준, 후속 조치</w:t>
            </w:r>
          </w:p>
        </w:tc>
      </w:tr>
    </w:tbl>
    <w:p>
      <w:pPr>
        <w:spacing w:after="200" w:before="0"/>
      </w:pPr>
    </w:p>
    <w:p>
      <w:pPr>
        <w:pStyle w:val="Heading2"/>
        <w:keepNext/>
        <w:spacing w:after="140" w:before="300"/>
      </w:pPr>
      <w:r>
        <w:rPr>
          <w:rFonts w:ascii="맑은 고딕" w:cs="맑은 고딕" w:eastAsia="맑은 고딕" w:hAnsi="맑은 고딕"/>
          <w:b/>
          <w:bCs/>
          <w:color w:val="1A1A1A"/>
          <w:sz w:val="23"/>
          <w:szCs w:val="23"/>
        </w:rPr>
        <w:t xml:space="preserve">14.2 역할 분담 (RACI)</w:t>
      </w:r>
    </w:p>
    <w:p>
      <w:pPr>
        <w:keepNext/>
        <w:spacing w:after="90" w:before="220"/>
      </w:pPr>
      <w:r>
        <w:rPr>
          <w:rFonts w:ascii="맑은 고딕" w:cs="맑은 고딕" w:eastAsia="맑은 고딕" w:hAnsi="맑은 고딕"/>
          <w:b/>
          <w:bCs/>
          <w:color w:val="1F3864"/>
          <w:sz w:val="18"/>
          <w:szCs w:val="18"/>
        </w:rPr>
        <w:t xml:space="preserve">[표 14-3] 업무별 책임 구분</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433"/>
        <w:gridCol w:w="1735"/>
        <w:gridCol w:w="1735"/>
        <w:gridCol w:w="1735"/>
      </w:tblGrid>
      <w:tr>
        <w:trPr>
          <w:cantSplit/>
          <w:tblHeader/>
        </w:trPr>
        <w:tc>
          <w:tcPr>
            <w:tcW w:type="dxa" w:w="4433"/>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업무</w:t>
            </w:r>
          </w:p>
        </w:tc>
        <w:tc>
          <w:tcPr>
            <w:tcW w:type="dxa" w:w="1735"/>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시행사</w:t>
            </w:r>
          </w:p>
        </w:tc>
        <w:tc>
          <w:tcPr>
            <w:tcW w:type="dxa" w:w="1735"/>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현장 총괄</w:t>
            </w:r>
          </w:p>
        </w:tc>
        <w:tc>
          <w:tcPr>
            <w:tcW w:type="dxa" w:w="1735"/>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분양하마</w:t>
            </w:r>
          </w:p>
        </w:tc>
      </w:tr>
      <w:tr>
        <w:trPr>
          <w:cantSplit/>
          <w:tblHeader w:val="false"/>
        </w:trPr>
        <w:tc>
          <w:tcPr>
            <w:tcW w:type="dxa" w:w="443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분양조건·예산 확정</w:t>
            </w:r>
          </w:p>
        </w:tc>
        <w:tc>
          <w:tcPr>
            <w:tcW w:type="dxa" w:w="1735"/>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최종 책임</w:t>
            </w:r>
          </w:p>
        </w:tc>
        <w:tc>
          <w:tcPr>
            <w:tcW w:type="dxa" w:w="1735"/>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협의</w:t>
            </w:r>
          </w:p>
        </w:tc>
        <w:tc>
          <w:tcPr>
            <w:tcW w:type="dxa" w:w="1735"/>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협의</w:t>
            </w:r>
          </w:p>
        </w:tc>
      </w:tr>
      <w:tr>
        <w:trPr>
          <w:cantSplit/>
          <w:tblHeader w:val="false"/>
        </w:trPr>
        <w:tc>
          <w:tcPr>
            <w:tcW w:type="dxa" w:w="4433"/>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분석자료 제공·사실 확인</w:t>
            </w:r>
          </w:p>
        </w:tc>
        <w:tc>
          <w:tcPr>
            <w:tcW w:type="dxa" w:w="1735"/>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최종 책임</w:t>
            </w:r>
          </w:p>
        </w:tc>
        <w:tc>
          <w:tcPr>
            <w:tcW w:type="dxa" w:w="1735"/>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실행</w:t>
            </w:r>
          </w:p>
        </w:tc>
        <w:tc>
          <w:tcPr>
            <w:tcW w:type="dxa" w:w="1735"/>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실행</w:t>
            </w:r>
          </w:p>
        </w:tc>
      </w:tr>
      <w:tr>
        <w:trPr>
          <w:cantSplit/>
          <w:tblHeader w:val="false"/>
        </w:trPr>
        <w:tc>
          <w:tcPr>
            <w:tcW w:type="dxa" w:w="443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분석·근거원장</w:t>
            </w:r>
          </w:p>
        </w:tc>
        <w:tc>
          <w:tcPr>
            <w:tcW w:type="dxa" w:w="1735"/>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협의</w:t>
            </w:r>
          </w:p>
        </w:tc>
        <w:tc>
          <w:tcPr>
            <w:tcW w:type="dxa" w:w="1735"/>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협의</w:t>
            </w:r>
          </w:p>
        </w:tc>
        <w:tc>
          <w:tcPr>
            <w:tcW w:type="dxa" w:w="1735"/>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최종 책임</w:t>
            </w:r>
          </w:p>
        </w:tc>
      </w:tr>
      <w:tr>
        <w:trPr>
          <w:cantSplit/>
          <w:tblHeader w:val="false"/>
        </w:trPr>
        <w:tc>
          <w:tcPr>
            <w:tcW w:type="dxa" w:w="4433"/>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광고 표현 최종 승인</w:t>
            </w:r>
          </w:p>
        </w:tc>
        <w:tc>
          <w:tcPr>
            <w:tcW w:type="dxa" w:w="1735"/>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최종 책임</w:t>
            </w:r>
          </w:p>
        </w:tc>
        <w:tc>
          <w:tcPr>
            <w:tcW w:type="dxa" w:w="1735"/>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협의</w:t>
            </w:r>
          </w:p>
        </w:tc>
        <w:tc>
          <w:tcPr>
            <w:tcW w:type="dxa" w:w="1735"/>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실행</w:t>
            </w:r>
          </w:p>
        </w:tc>
      </w:tr>
      <w:tr>
        <w:trPr>
          <w:cantSplit/>
          <w:tblHeader w:val="false"/>
        </w:trPr>
        <w:tc>
          <w:tcPr>
            <w:tcW w:type="dxa" w:w="443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콘텐츠 제작</w:t>
            </w:r>
          </w:p>
        </w:tc>
        <w:tc>
          <w:tcPr>
            <w:tcW w:type="dxa" w:w="1735"/>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승인</w:t>
            </w:r>
          </w:p>
        </w:tc>
        <w:tc>
          <w:tcPr>
            <w:tcW w:type="dxa" w:w="1735"/>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협의</w:t>
            </w:r>
          </w:p>
        </w:tc>
        <w:tc>
          <w:tcPr>
            <w:tcW w:type="dxa" w:w="1735"/>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실행 책임</w:t>
            </w:r>
          </w:p>
        </w:tc>
      </w:tr>
      <w:tr>
        <w:trPr>
          <w:cantSplit/>
          <w:tblHeader w:val="false"/>
        </w:trPr>
        <w:tc>
          <w:tcPr>
            <w:tcW w:type="dxa" w:w="4433"/>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매체 집행·최적화</w:t>
            </w:r>
          </w:p>
        </w:tc>
        <w:tc>
          <w:tcPr>
            <w:tcW w:type="dxa" w:w="1735"/>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승인</w:t>
            </w:r>
          </w:p>
        </w:tc>
        <w:tc>
          <w:tcPr>
            <w:tcW w:type="dxa" w:w="1735"/>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협의</w:t>
            </w:r>
          </w:p>
        </w:tc>
        <w:tc>
          <w:tcPr>
            <w:tcW w:type="dxa" w:w="1735"/>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실행 책임</w:t>
            </w:r>
          </w:p>
        </w:tc>
      </w:tr>
      <w:tr>
        <w:trPr>
          <w:cantSplit/>
          <w:tblHeader w:val="false"/>
        </w:trPr>
        <w:tc>
          <w:tcPr>
            <w:tcW w:type="dxa" w:w="443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DB 연락·상담·상태 갱신</w:t>
            </w:r>
          </w:p>
        </w:tc>
        <w:tc>
          <w:tcPr>
            <w:tcW w:type="dxa" w:w="1735"/>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승인</w:t>
            </w:r>
          </w:p>
        </w:tc>
        <w:tc>
          <w:tcPr>
            <w:tcW w:type="dxa" w:w="1735"/>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실행 책임</w:t>
            </w:r>
          </w:p>
        </w:tc>
        <w:tc>
          <w:tcPr>
            <w:tcW w:type="dxa" w:w="1735"/>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협의·지원</w:t>
            </w:r>
          </w:p>
        </w:tc>
      </w:tr>
      <w:tr>
        <w:trPr>
          <w:cantSplit/>
          <w:tblHeader w:val="false"/>
        </w:trPr>
        <w:tc>
          <w:tcPr>
            <w:tcW w:type="dxa" w:w="4433"/>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대시보드·성과 분석</w:t>
            </w:r>
          </w:p>
        </w:tc>
        <w:tc>
          <w:tcPr>
            <w:tcW w:type="dxa" w:w="1735"/>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협의</w:t>
            </w:r>
          </w:p>
        </w:tc>
        <w:tc>
          <w:tcPr>
            <w:tcW w:type="dxa" w:w="1735"/>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협의</w:t>
            </w:r>
          </w:p>
        </w:tc>
        <w:tc>
          <w:tcPr>
            <w:tcW w:type="dxa" w:w="1735"/>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최종 책임</w:t>
            </w:r>
          </w:p>
        </w:tc>
      </w:tr>
      <w:tr>
        <w:trPr>
          <w:cantSplit/>
          <w:tblHeader w:val="false"/>
        </w:trPr>
        <w:tc>
          <w:tcPr>
            <w:tcW w:type="dxa" w:w="443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개인정보 기준·위탁</w:t>
            </w:r>
          </w:p>
        </w:tc>
        <w:tc>
          <w:tcPr>
            <w:tcW w:type="dxa" w:w="1735"/>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최종 책임</w:t>
            </w:r>
          </w:p>
        </w:tc>
        <w:tc>
          <w:tcPr>
            <w:tcW w:type="dxa" w:w="1735"/>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실행</w:t>
            </w:r>
          </w:p>
        </w:tc>
        <w:tc>
          <w:tcPr>
            <w:tcW w:type="dxa" w:w="1735"/>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실행</w:t>
            </w:r>
          </w:p>
        </w:tc>
      </w:tr>
      <w:tr>
        <w:trPr>
          <w:cantSplit/>
          <w:tblHeader w:val="false"/>
        </w:trPr>
        <w:tc>
          <w:tcPr>
            <w:tcW w:type="dxa" w:w="4433"/>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종료 정산·인계</w:t>
            </w:r>
          </w:p>
        </w:tc>
        <w:tc>
          <w:tcPr>
            <w:tcW w:type="dxa" w:w="1735"/>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승인</w:t>
            </w:r>
          </w:p>
        </w:tc>
        <w:tc>
          <w:tcPr>
            <w:tcW w:type="dxa" w:w="1735"/>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협의</w:t>
            </w:r>
          </w:p>
        </w:tc>
        <w:tc>
          <w:tcPr>
            <w:tcW w:type="dxa" w:w="1735"/>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실행 책임</w:t>
            </w:r>
          </w:p>
        </w:tc>
      </w:tr>
    </w:tbl>
    <w:p>
      <w:pPr>
        <w:spacing w:after="200" w:before="0"/>
      </w:pPr>
    </w:p>
    <w:p>
      <w:pPr>
        <w:keepNext w:val="false"/>
        <w:spacing w:after="130" w:before="60" w:line="310"/>
        <w:jc w:val="both"/>
      </w:pPr>
      <w:r>
        <w:rPr>
          <w:rFonts w:ascii="맑은 고딕" w:cs="맑은 고딕" w:eastAsia="맑은 고딕" w:hAnsi="맑은 고딕"/>
          <w:b w:val="false"/>
          <w:bCs w:val="false"/>
          <w:i w:val="false"/>
          <w:iCs w:val="false"/>
          <w:color w:val="1A1A1A"/>
          <w:sz w:val="20"/>
          <w:szCs w:val="20"/>
        </w:rPr>
        <w:t xml:space="preserve">이 분담이 명시하는 두 가지 사실을 강조합니다.</w:t>
      </w:r>
    </w:p>
    <w:p>
      <w:pPr>
        <w:keepNext w:val="false"/>
        <w:spacing w:after="130" w:before="60" w:line="310"/>
        <w:jc w:val="both"/>
      </w:pPr>
      <w:r>
        <w:rPr>
          <w:rFonts w:ascii="맑은 고딕" w:cs="맑은 고딕" w:eastAsia="맑은 고딕" w:hAnsi="맑은 고딕"/>
          <w:b w:val="false"/>
          <w:bCs w:val="false"/>
          <w:i w:val="false"/>
          <w:iCs w:val="false"/>
          <w:color w:val="1A1A1A"/>
          <w:sz w:val="20"/>
          <w:szCs w:val="20"/>
        </w:rPr>
        <w:t xml:space="preserve">첫째, </w:t>
      </w:r>
      <w:r>
        <w:rPr>
          <w:rFonts w:ascii="맑은 고딕" w:cs="맑은 고딕" w:eastAsia="맑은 고딕" w:hAnsi="맑은 고딕"/>
          <w:b/>
          <w:bCs/>
          <w:i w:val="false"/>
          <w:iCs w:val="false"/>
          <w:color w:val="1A1A1A"/>
          <w:sz w:val="20"/>
          <w:szCs w:val="20"/>
        </w:rPr>
        <w:t xml:space="preserve">광고 표현의 최종 승인권은 시행사에 있습니다.</w:t>
      </w:r>
      <w:r>
        <w:rPr>
          <w:rFonts w:ascii="맑은 고딕" w:cs="맑은 고딕" w:eastAsia="맑은 고딕" w:hAnsi="맑은 고딕"/>
          <w:b w:val="false"/>
          <w:bCs w:val="false"/>
          <w:i w:val="false"/>
          <w:iCs w:val="false"/>
          <w:color w:val="1A1A1A"/>
          <w:sz w:val="20"/>
          <w:szCs w:val="20"/>
        </w:rPr>
        <w:t xml:space="preserve"> 당사는 근거와 표현 등급을 제시하고, 시행사가 판매 주장을 확정합니다.</w:t>
      </w:r>
    </w:p>
    <w:p>
      <w:pPr>
        <w:keepNext w:val="false"/>
        <w:spacing w:after="130" w:before="60" w:line="310"/>
        <w:jc w:val="both"/>
      </w:pPr>
      <w:r>
        <w:rPr>
          <w:rFonts w:ascii="맑은 고딕" w:cs="맑은 고딕" w:eastAsia="맑은 고딕" w:hAnsi="맑은 고딕"/>
          <w:b w:val="false"/>
          <w:bCs w:val="false"/>
          <w:i w:val="false"/>
          <w:iCs w:val="false"/>
          <w:color w:val="1A1A1A"/>
          <w:sz w:val="20"/>
          <w:szCs w:val="20"/>
        </w:rPr>
        <w:t xml:space="preserve">둘째, </w:t>
      </w:r>
      <w:r>
        <w:rPr>
          <w:rFonts w:ascii="맑은 고딕" w:cs="맑은 고딕" w:eastAsia="맑은 고딕" w:hAnsi="맑은 고딕"/>
          <w:b/>
          <w:bCs/>
          <w:i w:val="false"/>
          <w:iCs w:val="false"/>
          <w:color w:val="1A1A1A"/>
          <w:sz w:val="20"/>
          <w:szCs w:val="20"/>
        </w:rPr>
        <w:t xml:space="preserve">DB 연락·상담·상태 입력의 실행 책임은 현장에 있습니다.</w:t>
      </w:r>
      <w:r>
        <w:rPr>
          <w:rFonts w:ascii="맑은 고딕" w:cs="맑은 고딕" w:eastAsia="맑은 고딕" w:hAnsi="맑은 고딕"/>
          <w:b w:val="false"/>
          <w:bCs w:val="false"/>
          <w:i w:val="false"/>
          <w:iCs w:val="false"/>
          <w:color w:val="1A1A1A"/>
          <w:sz w:val="20"/>
          <w:szCs w:val="20"/>
        </w:rPr>
        <w:t xml:space="preserve"> 당사는 이를 시스템과 알림으로 지원하지만 대행하지 않습니다(9.5).</w:t>
      </w:r>
    </w:p>
    <w:p>
      <w:pPr>
        <w:keepNext/>
        <w:spacing w:after="90" w:before="220"/>
      </w:pPr>
      <w:r>
        <w:rPr>
          <w:rFonts w:ascii="맑은 고딕" w:cs="맑은 고딕" w:eastAsia="맑은 고딕" w:hAnsi="맑은 고딕"/>
          <w:b/>
          <w:bCs/>
          <w:color w:val="1F3864"/>
          <w:sz w:val="18"/>
          <w:szCs w:val="18"/>
        </w:rPr>
        <w:t xml:space="preserve">[표 14-4] 운영 회의체</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54"/>
        <w:gridCol w:w="1549"/>
        <w:gridCol w:w="5335"/>
      </w:tblGrid>
      <w:tr>
        <w:trPr>
          <w:cantSplit/>
          <w:tblHeader/>
        </w:trPr>
        <w:tc>
          <w:tcPr>
            <w:tcW w:type="dxa" w:w="2754"/>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회의체</w:t>
            </w:r>
          </w:p>
        </w:tc>
        <w:tc>
          <w:tcPr>
            <w:tcW w:type="dxa" w:w="1549"/>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주기</w:t>
            </w:r>
          </w:p>
        </w:tc>
        <w:tc>
          <w:tcPr>
            <w:tcW w:type="dxa" w:w="5335"/>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주요 안건</w:t>
            </w:r>
          </w:p>
        </w:tc>
      </w:tr>
      <w:tr>
        <w:trPr>
          <w:cantSplit/>
          <w:tblHeader w:val="false"/>
        </w:trPr>
        <w:tc>
          <w:tcPr>
            <w:tcW w:type="dxa" w:w="2754"/>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착수·게이트 회의</w:t>
            </w:r>
          </w:p>
        </w:tc>
        <w:tc>
          <w:tcPr>
            <w:tcW w:type="dxa" w:w="1549"/>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단계별</w:t>
            </w:r>
          </w:p>
        </w:tc>
        <w:tc>
          <w:tcPr>
            <w:tcW w:type="dxa" w:w="5335"/>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범위·분석·표현·집행·종료 승인</w:t>
            </w:r>
          </w:p>
        </w:tc>
      </w:tr>
      <w:tr>
        <w:trPr>
          <w:cantSplit/>
          <w:tblHeader w:val="false"/>
        </w:trPr>
        <w:tc>
          <w:tcPr>
            <w:tcW w:type="dxa" w:w="2754"/>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주간 운영회의</w:t>
            </w:r>
          </w:p>
        </w:tc>
        <w:tc>
          <w:tcPr>
            <w:tcW w:type="dxa" w:w="1549"/>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주 1회</w:t>
            </w:r>
          </w:p>
        </w:tc>
        <w:tc>
          <w:tcPr>
            <w:tcW w:type="dxa" w:w="5335"/>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광고비·DB·상담·방문·계약·개선안</w:t>
            </w:r>
          </w:p>
        </w:tc>
      </w:tr>
      <w:tr>
        <w:trPr>
          <w:cantSplit/>
          <w:tblHeader w:val="false"/>
        </w:trPr>
        <w:tc>
          <w:tcPr>
            <w:tcW w:type="dxa" w:w="2754"/>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콘텐츠 검수</w:t>
            </w:r>
          </w:p>
        </w:tc>
        <w:tc>
          <w:tcPr>
            <w:tcW w:type="dxa" w:w="1549"/>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제작 단계</w:t>
            </w:r>
          </w:p>
        </w:tc>
        <w:tc>
          <w:tcPr>
            <w:tcW w:type="dxa" w:w="5335"/>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근거·표현·브랜드·권리·납기</w:t>
            </w:r>
          </w:p>
        </w:tc>
      </w:tr>
      <w:tr>
        <w:trPr>
          <w:cantSplit/>
          <w:tblHeader w:val="false"/>
        </w:trPr>
        <w:tc>
          <w:tcPr>
            <w:tcW w:type="dxa" w:w="2754"/>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예산 검토</w:t>
            </w:r>
          </w:p>
        </w:tc>
        <w:tc>
          <w:tcPr>
            <w:tcW w:type="dxa" w:w="1549"/>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주간·월간</w:t>
            </w:r>
          </w:p>
        </w:tc>
        <w:tc>
          <w:tcPr>
            <w:tcW w:type="dxa" w:w="5335"/>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매체 배분·소진 속도·잔액·지원금</w:t>
            </w:r>
          </w:p>
        </w:tc>
      </w:tr>
      <w:tr>
        <w:trPr>
          <w:cantSplit/>
          <w:tblHeader w:val="false"/>
        </w:trPr>
        <w:tc>
          <w:tcPr>
            <w:tcW w:type="dxa" w:w="2754"/>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위험·이슈 회의</w:t>
            </w:r>
          </w:p>
        </w:tc>
        <w:tc>
          <w:tcPr>
            <w:tcW w:type="dxa" w:w="1549"/>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발생 시</w:t>
            </w:r>
          </w:p>
        </w:tc>
        <w:tc>
          <w:tcPr>
            <w:tcW w:type="dxa" w:w="5335"/>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개인정보·표현·계정·데이터·민원</w:t>
            </w:r>
          </w:p>
        </w:tc>
      </w:tr>
      <w:tr>
        <w:trPr>
          <w:cantSplit/>
          <w:tblHeader w:val="false"/>
        </w:trPr>
        <w:tc>
          <w:tcPr>
            <w:tcW w:type="dxa" w:w="2754"/>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성과 평가</w:t>
            </w:r>
          </w:p>
        </w:tc>
        <w:tc>
          <w:tcPr>
            <w:tcW w:type="dxa" w:w="1549"/>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월간·종료</w:t>
            </w:r>
          </w:p>
        </w:tc>
        <w:tc>
          <w:tcPr>
            <w:tcW w:type="dxa" w:w="5335"/>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기준선·KPI·기여·확장·중단 판단</w:t>
            </w:r>
          </w:p>
        </w:tc>
      </w:tr>
    </w:tbl>
    <w:p>
      <w:pPr>
        <w:spacing w:after="200" w:before="0"/>
      </w:pPr>
    </w:p>
    <w:p>
      <w:pPr>
        <w:keepNext w:val="false"/>
        <w:spacing w:after="130" w:before="60" w:line="310"/>
        <w:jc w:val="both"/>
      </w:pPr>
      <w:r>
        <w:rPr>
          <w:rFonts w:ascii="맑은 고딕" w:cs="맑은 고딕" w:eastAsia="맑은 고딕" w:hAnsi="맑은 고딕"/>
          <w:b w:val="false"/>
          <w:bCs w:val="false"/>
          <w:i w:val="false"/>
          <w:iCs w:val="false"/>
          <w:color w:val="1A1A1A"/>
          <w:sz w:val="20"/>
          <w:szCs w:val="20"/>
        </w:rPr>
        <w:t xml:space="preserve">의사결정은 이슈·의사결정·변경·예산의 4개 원장에 기록됩니다.</w:t>
      </w:r>
    </w:p>
    <w:p>
      <w:pPr>
        <w:pStyle w:val="Heading2"/>
        <w:keepNext/>
        <w:spacing w:after="140" w:before="300"/>
      </w:pPr>
      <w:r>
        <w:rPr>
          <w:rFonts w:ascii="맑은 고딕" w:cs="맑은 고딕" w:eastAsia="맑은 고딕" w:hAnsi="맑은 고딕"/>
          <w:b/>
          <w:bCs/>
          <w:color w:val="1A1A1A"/>
          <w:sz w:val="23"/>
          <w:szCs w:val="23"/>
        </w:rPr>
        <w:t xml:space="preserve">14.3 핵심 위험통제표</w:t>
      </w:r>
    </w:p>
    <w:p>
      <w:pPr>
        <w:keepNext/>
        <w:spacing w:after="90" w:before="220"/>
      </w:pPr>
      <w:r>
        <w:rPr>
          <w:rFonts w:ascii="맑은 고딕" w:cs="맑은 고딕" w:eastAsia="맑은 고딕" w:hAnsi="맑은 고딕"/>
          <w:b/>
          <w:bCs/>
          <w:color w:val="1F3864"/>
          <w:sz w:val="18"/>
          <w:szCs w:val="18"/>
        </w:rPr>
        <w:t xml:space="preserve">[표 14-5] 8범주 위험과 통제 방안</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3"/>
        <w:gridCol w:w="3759"/>
        <w:gridCol w:w="4626"/>
      </w:tblGrid>
      <w:tr>
        <w:trPr>
          <w:cantSplit/>
          <w:tblHeader/>
        </w:trPr>
        <w:tc>
          <w:tcPr>
            <w:tcW w:type="dxa" w:w="1253"/>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위험</w:t>
            </w:r>
          </w:p>
        </w:tc>
        <w:tc>
          <w:tcPr>
            <w:tcW w:type="dxa" w:w="3759"/>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발생 가능 문제</w:t>
            </w:r>
          </w:p>
        </w:tc>
        <w:tc>
          <w:tcPr>
            <w:tcW w:type="dxa" w:w="4626"/>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통제 방안</w:t>
            </w:r>
          </w:p>
        </w:tc>
      </w:tr>
      <w:tr>
        <w:trPr>
          <w:cantSplit/>
          <w:tblHeader w:val="false"/>
        </w:trPr>
        <w:tc>
          <w:tcPr>
            <w:tcW w:type="dxa" w:w="125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데이터 오류</w:t>
            </w:r>
          </w:p>
        </w:tc>
        <w:tc>
          <w:tcPr>
            <w:tcW w:type="dxa" w:w="3759"/>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주소·단지·거래·경계의 잘못된 매칭</w:t>
            </w:r>
          </w:p>
        </w:tc>
        <w:tc>
          <w:tcPr>
            <w:tcW w:type="dxa" w:w="46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입력 검증, 표본 확인, 원천 링크, 이중 검수</w:t>
            </w:r>
          </w:p>
        </w:tc>
      </w:tr>
      <w:tr>
        <w:trPr>
          <w:cantSplit/>
          <w:tblHeader w:val="false"/>
        </w:trPr>
        <w:tc>
          <w:tcPr>
            <w:tcW w:type="dxa" w:w="1253"/>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공간 오용</w:t>
            </w:r>
          </w:p>
        </w:tc>
        <w:tc>
          <w:tcPr>
            <w:tcW w:type="dxa" w:w="3759"/>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시·구 통계를 현장 생활권처럼 사용</w:t>
            </w:r>
          </w:p>
        </w:tc>
        <w:tc>
          <w:tcPr>
            <w:tcW w:type="dxa" w:w="4626"/>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지표별 경계·중첩 가중·시간권 명시 (5.4.1)</w:t>
            </w:r>
          </w:p>
        </w:tc>
      </w:tr>
      <w:tr>
        <w:trPr>
          <w:cantSplit/>
          <w:tblHeader w:val="false"/>
        </w:trPr>
        <w:tc>
          <w:tcPr>
            <w:tcW w:type="dxa" w:w="125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예측 과신</w:t>
            </w:r>
          </w:p>
        </w:tc>
        <w:tc>
          <w:tcPr>
            <w:tcW w:type="dxa" w:w="3759"/>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단일 미래 가격·확정적 상승 표현</w:t>
            </w:r>
          </w:p>
        </w:tc>
        <w:tc>
          <w:tcPr>
            <w:tcW w:type="dxa" w:w="46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시나리오·민감도·백테스트·한계 표시 (5.7)</w:t>
            </w:r>
          </w:p>
        </w:tc>
      </w:tr>
      <w:tr>
        <w:trPr>
          <w:cantSplit/>
          <w:tblHeader w:val="false"/>
        </w:trPr>
        <w:tc>
          <w:tcPr>
            <w:tcW w:type="dxa" w:w="1253"/>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호재 과장</w:t>
            </w:r>
          </w:p>
        </w:tc>
        <w:tc>
          <w:tcPr>
            <w:tcW w:type="dxa" w:w="3759"/>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검토 사업을 확정 또는 "역세권"처럼 표현</w:t>
            </w:r>
          </w:p>
        </w:tc>
        <w:tc>
          <w:tcPr>
            <w:tcW w:type="dxa" w:w="4626"/>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성숙도·공간 효과·예산·반대근거 검증 (5.6)</w:t>
            </w:r>
          </w:p>
        </w:tc>
      </w:tr>
      <w:tr>
        <w:trPr>
          <w:cantSplit/>
          <w:tblHeader w:val="false"/>
        </w:trPr>
        <w:tc>
          <w:tcPr>
            <w:tcW w:type="dxa" w:w="125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라이선스 위반</w:t>
            </w:r>
          </w:p>
        </w:tc>
        <w:tc>
          <w:tcPr>
            <w:tcW w:type="dxa" w:w="3759"/>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허용되지 않은 데이터 재배포</w:t>
            </w:r>
          </w:p>
        </w:tc>
        <w:tc>
          <w:tcPr>
            <w:tcW w:type="dxa" w:w="46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출처별 권한 상태·저장·가공·공개 범위 관리</w:t>
            </w:r>
          </w:p>
        </w:tc>
      </w:tr>
      <w:tr>
        <w:trPr>
          <w:cantSplit/>
          <w:tblHeader w:val="false"/>
        </w:trPr>
        <w:tc>
          <w:tcPr>
            <w:tcW w:type="dxa" w:w="1253"/>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개인정보 침해</w:t>
            </w:r>
          </w:p>
        </w:tc>
        <w:tc>
          <w:tcPr>
            <w:tcW w:type="dxa" w:w="3759"/>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동의 없는 광고·DB 공유·과다 보관</w:t>
            </w:r>
          </w:p>
        </w:tc>
        <w:tc>
          <w:tcPr>
            <w:tcW w:type="dxa" w:w="4626"/>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동의·처리위탁·최소 권한·보관·삭제·기록 (14.4)</w:t>
            </w:r>
          </w:p>
        </w:tc>
      </w:tr>
      <w:tr>
        <w:trPr>
          <w:cantSplit/>
          <w:tblHeader w:val="false"/>
        </w:trPr>
        <w:tc>
          <w:tcPr>
            <w:tcW w:type="dxa" w:w="125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계정 통제</w:t>
            </w:r>
          </w:p>
        </w:tc>
        <w:tc>
          <w:tcPr>
            <w:tcW w:type="dxa" w:w="3759"/>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광고계정·결제·권한의 소유 불명</w:t>
            </w:r>
          </w:p>
        </w:tc>
        <w:tc>
          <w:tcPr>
            <w:tcW w:type="dxa" w:w="46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소유·관리자·결제·종료 인계 사전 확정</w:t>
            </w:r>
          </w:p>
        </w:tc>
      </w:tr>
      <w:tr>
        <w:trPr>
          <w:cantSplit/>
          <w:tblHeader w:val="false"/>
        </w:trPr>
        <w:tc>
          <w:tcPr>
            <w:tcW w:type="dxa" w:w="1253"/>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성과 왜곡</w:t>
            </w:r>
          </w:p>
        </w:tc>
        <w:tc>
          <w:tcPr>
            <w:tcW w:type="dxa" w:w="3759"/>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DB 수량만 강조, 계약 기여 과대평가</w:t>
            </w:r>
          </w:p>
        </w:tc>
        <w:tc>
          <w:tcPr>
            <w:tcW w:type="dxa" w:w="4626"/>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퍼널 정의·중복 제거·기준선·기여 한계 표시 (14.6)</w:t>
            </w:r>
          </w:p>
        </w:tc>
      </w:tr>
    </w:tbl>
    <w:p>
      <w:pPr>
        <w:spacing w:after="200" w:before="0"/>
      </w:pPr>
    </w:p>
    <w:p>
      <w:pPr>
        <w:keepNext w:val="false"/>
        <w:spacing w:after="130" w:before="60" w:line="310"/>
        <w:jc w:val="both"/>
      </w:pPr>
      <w:r>
        <w:rPr>
          <w:rFonts w:ascii="맑은 고딕" w:cs="맑은 고딕" w:eastAsia="맑은 고딕" w:hAnsi="맑은 고딕"/>
          <w:b w:val="false"/>
          <w:bCs w:val="false"/>
          <w:i w:val="false"/>
          <w:iCs w:val="false"/>
          <w:color w:val="1A1A1A"/>
          <w:sz w:val="20"/>
          <w:szCs w:val="20"/>
        </w:rPr>
        <w:t xml:space="preserve">위험 항목은 열거 후 종료되는 목록이 아니라 주간 사이클(12.4)의 상시 모니터링 대상입니다. 발생 시 위험·이슈 회의를 소집하고 처리 결과를 이슈 원장에 기록합니다.</w:t>
      </w:r>
    </w:p>
    <w:p>
      <w:pPr>
        <w:pStyle w:val="Heading2"/>
        <w:keepNext/>
        <w:spacing w:after="140" w:before="300"/>
      </w:pPr>
      <w:r>
        <w:rPr>
          <w:rFonts w:ascii="맑은 고딕" w:cs="맑은 고딕" w:eastAsia="맑은 고딕" w:hAnsi="맑은 고딕"/>
          <w:b/>
          <w:bCs/>
          <w:color w:val="1A1A1A"/>
          <w:sz w:val="23"/>
          <w:szCs w:val="23"/>
        </w:rPr>
        <w:t xml:space="preserve">14.4 개인정보 처리 원칙</w:t>
      </w:r>
    </w:p>
    <w:p>
      <w:pPr>
        <w:keepNext w:val="false"/>
        <w:spacing w:after="130" w:before="60" w:line="310"/>
        <w:jc w:val="both"/>
      </w:pPr>
      <w:r>
        <w:rPr>
          <w:rFonts w:ascii="맑은 고딕" w:cs="맑은 고딕" w:eastAsia="맑은 고딕" w:hAnsi="맑은 고딕"/>
          <w:b w:val="false"/>
          <w:bCs w:val="false"/>
          <w:i w:val="false"/>
          <w:iCs w:val="false"/>
          <w:color w:val="1A1A1A"/>
          <w:sz w:val="20"/>
          <w:szCs w:val="20"/>
        </w:rPr>
        <w:t xml:space="preserve">고객 DB는 본 시스템의 핵심 자산인 동시에 가장 엄격한 법적 책임의 대상입니다. </w:t>
      </w:r>
      <w:r>
        <w:rPr>
          <w:rFonts w:ascii="맑은 고딕" w:cs="맑은 고딕" w:eastAsia="맑은 고딕" w:hAnsi="맑은 고딕"/>
          <w:b/>
          <w:bCs/>
          <w:i w:val="false"/>
          <w:iCs w:val="false"/>
          <w:color w:val="1A1A1A"/>
          <w:sz w:val="20"/>
          <w:szCs w:val="20"/>
        </w:rPr>
        <w:t xml:space="preserve">DB 연동 전에</w:t>
      </w:r>
      <w:r>
        <w:rPr>
          <w:rFonts w:ascii="맑은 고딕" w:cs="맑은 고딕" w:eastAsia="맑은 고딕" w:hAnsi="맑은 고딕"/>
          <w:b w:val="false"/>
          <w:bCs w:val="false"/>
          <w:i w:val="false"/>
          <w:iCs w:val="false"/>
          <w:color w:val="1A1A1A"/>
          <w:sz w:val="20"/>
          <w:szCs w:val="20"/>
        </w:rPr>
        <w:t xml:space="preserve"> 다음을 확정합니다.</w:t>
      </w:r>
    </w:p>
    <w:p>
      <w:pPr>
        <w:keepNext/>
        <w:spacing w:after="90" w:before="220"/>
      </w:pPr>
      <w:r>
        <w:rPr>
          <w:rFonts w:ascii="맑은 고딕" w:cs="맑은 고딕" w:eastAsia="맑은 고딕" w:hAnsi="맑은 고딕"/>
          <w:b/>
          <w:bCs/>
          <w:color w:val="1F3864"/>
          <w:sz w:val="18"/>
          <w:szCs w:val="18"/>
        </w:rPr>
        <w:t xml:space="preserve">[표 14-6] 개인정보 사전 확정 항목</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7838"/>
      </w:tblGrid>
      <w:tr>
        <w:trPr>
          <w:cantSplit/>
          <w:tblHeader/>
        </w:trPr>
        <w:tc>
          <w:tcPr>
            <w:tcW w:type="dxa" w:w="1800"/>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영역</w:t>
            </w:r>
          </w:p>
        </w:tc>
        <w:tc>
          <w:tcPr>
            <w:tcW w:type="dxa" w:w="7838"/>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확정 내용</w:t>
            </w:r>
          </w:p>
        </w:tc>
      </w:tr>
      <w:tr>
        <w:trPr>
          <w:cantSplit/>
          <w:tblHeader w:val="false"/>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역할 관계</w:t>
            </w:r>
          </w:p>
        </w:tc>
        <w:tc>
          <w:tcPr>
            <w:tcW w:type="dxa" w:w="783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개인정보 처리자·수탁자·제3자 제공의 역할 정의</w:t>
            </w:r>
          </w:p>
        </w:tc>
      </w:tr>
      <w:tr>
        <w:trPr>
          <w:cantSplit/>
          <w:tblHeader w:val="false"/>
        </w:trPr>
        <w:tc>
          <w:tcPr>
            <w:tcW w:type="dxa" w:w="180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수집 범위</w:t>
            </w:r>
          </w:p>
        </w:tc>
        <w:tc>
          <w:tcPr>
            <w:tcW w:type="dxa" w:w="7838"/>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수집 항목·목적·보유 기간·동의 문구 (업무 필요 최소 정보)</w:t>
            </w:r>
          </w:p>
        </w:tc>
      </w:tr>
      <w:tr>
        <w:trPr>
          <w:cantSplit/>
          <w:tblHeader w:val="false"/>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접근 통제</w:t>
            </w:r>
          </w:p>
        </w:tc>
        <w:tc>
          <w:tcPr>
            <w:tcW w:type="dxa" w:w="783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관리자·팀장·담당자별 권한, 계정 공유 금지, 접근 기록, 인사 이동 시 권한 회수</w:t>
            </w:r>
          </w:p>
        </w:tc>
      </w:tr>
      <w:tr>
        <w:trPr>
          <w:cantSplit/>
          <w:tblHeader w:val="false"/>
        </w:trPr>
        <w:tc>
          <w:tcPr>
            <w:tcW w:type="dxa" w:w="180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광고성 정보</w:t>
            </w:r>
          </w:p>
        </w:tc>
        <w:tc>
          <w:tcPr>
            <w:tcW w:type="dxa" w:w="7838"/>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후속 메시지·리타기팅의 동의 범위, 수신 거부, 표시 기준</w:t>
            </w:r>
          </w:p>
        </w:tc>
      </w:tr>
      <w:tr>
        <w:trPr>
          <w:cantSplit/>
          <w:tblHeader w:val="false"/>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종료 처리</w:t>
            </w:r>
          </w:p>
        </w:tc>
        <w:tc>
          <w:tcPr>
            <w:tcW w:type="dxa" w:w="783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내보내기·반환·삭제·파기 확인 일정, 백업 보존 기간</w:t>
            </w:r>
          </w:p>
        </w:tc>
      </w:tr>
      <w:tr>
        <w:trPr>
          <w:cantSplit/>
          <w:tblHeader w:val="false"/>
        </w:trPr>
        <w:tc>
          <w:tcPr>
            <w:tcW w:type="dxa" w:w="180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외부 전송</w:t>
            </w:r>
          </w:p>
        </w:tc>
        <w:tc>
          <w:tcPr>
            <w:tcW w:type="dxa" w:w="7838"/>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외부 연동·클라우드·메시징·광고 플랫폼에 제공되는 항목과 처리 지역</w:t>
            </w:r>
          </w:p>
        </w:tc>
      </w:tr>
    </w:tbl>
    <w:p>
      <w:pPr>
        <w:spacing w:after="200" w:before="0"/>
      </w:pPr>
    </w:p>
    <w:p>
      <w:pPr>
        <w:keepNext w:val="false"/>
        <w:spacing w:after="160" w:before="20" w:line="310"/>
        <w:jc w:val="left"/>
      </w:pPr>
      <w:r>
        <w:rPr>
          <w:rFonts w:ascii="맑은 고딕" w:cs="맑은 고딕" w:eastAsia="맑은 고딕" w:hAnsi="맑은 고딕"/>
          <w:b w:val="false"/>
          <w:bCs w:val="false"/>
          <w:i/>
          <w:iCs/>
          <w:color w:val="5A5A5A"/>
          <w:sz w:val="17"/>
          <w:szCs w:val="17"/>
        </w:rPr>
        <w:t xml:space="preserve">실제 적용 시 개인정보 보호법, 광고성 정보 관련 규정, 플랫폼 정책, 시행사 내부 기준을 기준일 현재로 다시 확인합니다.</w:t>
      </w:r>
    </w:p>
    <w:p>
      <w:pPr>
        <w:keepNext w:val="false"/>
        <w:spacing w:after="130" w:before="60" w:line="310"/>
        <w:jc w:val="both"/>
      </w:pPr>
      <w:r>
        <w:rPr>
          <w:rFonts w:ascii="맑은 고딕" w:cs="맑은 고딕" w:eastAsia="맑은 고딕" w:hAnsi="맑은 고딕"/>
          <w:b w:val="false"/>
          <w:bCs w:val="false"/>
          <w:i w:val="false"/>
          <w:iCs w:val="false"/>
          <w:color w:val="1A1A1A"/>
          <w:sz w:val="20"/>
          <w:szCs w:val="20"/>
        </w:rPr>
        <w:t xml:space="preserve">업무툴에서 개인 기기·개인 메신저를 통한 고객 정보 보관·전송을 금지하는 것은 보안 조치인 동시에, 고객 정보의 개인 귀속(2.3)을 차단하는 운영 조치입니다.</w:t>
      </w:r>
    </w:p>
    <w:p>
      <w:pPr>
        <w:pStyle w:val="Heading2"/>
        <w:keepNext/>
        <w:spacing w:after="140" w:before="300"/>
      </w:pPr>
      <w:r>
        <w:rPr>
          <w:rFonts w:ascii="맑은 고딕" w:cs="맑은 고딕" w:eastAsia="맑은 고딕" w:hAnsi="맑은 고딕"/>
          <w:b/>
          <w:bCs/>
          <w:color w:val="1A1A1A"/>
          <w:sz w:val="23"/>
          <w:szCs w:val="23"/>
        </w:rPr>
        <w:t xml:space="preserve">14.5 광고 표현 등급과 금지 항목</w:t>
      </w:r>
    </w:p>
    <w:p>
      <w:pPr>
        <w:pStyle w:val="Heading3"/>
        <w:keepNext/>
        <w:spacing w:after="110" w:before="240"/>
      </w:pPr>
      <w:r>
        <w:rPr>
          <w:rFonts w:ascii="맑은 고딕" w:cs="맑은 고딕" w:eastAsia="맑은 고딕" w:hAnsi="맑은 고딕"/>
          <w:b/>
          <w:bCs/>
          <w:color w:val="5A5A5A"/>
          <w:sz w:val="20"/>
          <w:szCs w:val="20"/>
        </w:rPr>
        <w:t xml:space="preserve">14.5.1 표현 3등급</w:t>
      </w:r>
    </w:p>
    <w:p>
      <w:pPr>
        <w:keepNext/>
        <w:spacing w:after="90" w:before="220"/>
      </w:pPr>
      <w:r>
        <w:rPr>
          <w:rFonts w:ascii="맑은 고딕" w:cs="맑은 고딕" w:eastAsia="맑은 고딕" w:hAnsi="맑은 고딕"/>
          <w:b/>
          <w:bCs/>
          <w:color w:val="1F3864"/>
          <w:sz w:val="18"/>
          <w:szCs w:val="18"/>
        </w:rPr>
        <w:t xml:space="preserve">[표 14-7] 광고 표현 등급 판정 기준</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0"/>
        <w:gridCol w:w="4213"/>
        <w:gridCol w:w="4275"/>
      </w:tblGrid>
      <w:tr>
        <w:trPr>
          <w:cantSplit/>
          <w:tblHeader/>
        </w:trPr>
        <w:tc>
          <w:tcPr>
            <w:tcW w:type="dxa" w:w="1150"/>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등급</w:t>
            </w:r>
          </w:p>
        </w:tc>
        <w:tc>
          <w:tcPr>
            <w:tcW w:type="dxa" w:w="4213"/>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사용 기준</w:t>
            </w:r>
          </w:p>
        </w:tc>
        <w:tc>
          <w:tcPr>
            <w:tcW w:type="dxa" w:w="4275"/>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예시</w:t>
            </w:r>
          </w:p>
        </w:tc>
      </w:tr>
      <w:tr>
        <w:trPr>
          <w:cantSplit/>
          <w:tblHeader w:val="false"/>
        </w:trPr>
        <w:tc>
          <w:tcPr>
            <w:tcW w:type="dxa" w:w="115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사용 가능</w:t>
            </w:r>
          </w:p>
        </w:tc>
        <w:tc>
          <w:tcPr>
            <w:tcW w:type="dxa" w:w="421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공식 자료와 기준일이 확인되고 문맥 왜곡이 없는 사실·계산</w:t>
            </w:r>
          </w:p>
        </w:tc>
        <w:tc>
          <w:tcPr>
            <w:tcW w:type="dxa" w:w="4275"/>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최근 실거래, 확정 분양조건, 법정 고시, 현재 이동시간</w:t>
            </w:r>
          </w:p>
        </w:tc>
      </w:tr>
      <w:tr>
        <w:trPr>
          <w:cantSplit/>
          <w:tblHeader w:val="false"/>
        </w:trPr>
        <w:tc>
          <w:tcPr>
            <w:tcW w:type="dxa" w:w="115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조건부 사용</w:t>
            </w:r>
          </w:p>
        </w:tc>
        <w:tc>
          <w:tcPr>
            <w:tcW w:type="dxa" w:w="4213"/>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가정·예정·추정이 포함되며 조건과 한계를 함께 제시</w:t>
            </w:r>
          </w:p>
        </w:tc>
        <w:tc>
          <w:tcPr>
            <w:tcW w:type="dxa" w:w="4275"/>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"사업 추진 시 접근성 개선 가능", 기준 시나리오 범위</w:t>
            </w:r>
          </w:p>
        </w:tc>
      </w:tr>
      <w:tr>
        <w:trPr>
          <w:cantSplit/>
          <w:tblHeader w:val="false"/>
        </w:trPr>
        <w:tc>
          <w:tcPr>
            <w:tcW w:type="dxa" w:w="115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사용 금지</w:t>
            </w:r>
          </w:p>
        </w:tc>
        <w:tc>
          <w:tcPr>
            <w:tcW w:type="dxa" w:w="421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보장·확정·단정 또는 출처·권한이 불명확한 주장</w:t>
            </w:r>
          </w:p>
        </w:tc>
        <w:tc>
          <w:tcPr>
            <w:tcW w:type="dxa" w:w="4275"/>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"무조건 상승", "확정 수익", "역 신설 확정", "AI 추천 1위"</w:t>
            </w:r>
          </w:p>
        </w:tc>
      </w:tr>
    </w:tbl>
    <w:p>
      <w:pPr>
        <w:spacing w:after="200" w:before="0"/>
      </w:pPr>
    </w:p>
    <w:p>
      <w:pPr>
        <w:pStyle w:val="Heading3"/>
        <w:keepNext/>
        <w:spacing w:after="110" w:before="240"/>
      </w:pPr>
      <w:r>
        <w:rPr>
          <w:rFonts w:ascii="맑은 고딕" w:cs="맑은 고딕" w:eastAsia="맑은 고딕" w:hAnsi="맑은 고딕"/>
          <w:b/>
          <w:bCs/>
          <w:color w:val="5A5A5A"/>
          <w:sz w:val="20"/>
          <w:szCs w:val="20"/>
        </w:rPr>
        <w:t xml:space="preserve">14.5.2 당사가 하지 않는 것</w:t>
      </w:r>
    </w:p>
    <w:p>
      <w:pPr>
        <w:keepNext/>
        <w:spacing w:after="90" w:before="220"/>
      </w:pPr>
      <w:r>
        <w:rPr>
          <w:rFonts w:ascii="맑은 고딕" w:cs="맑은 고딕" w:eastAsia="맑은 고딕" w:hAnsi="맑은 고딕"/>
          <w:b/>
          <w:bCs/>
          <w:color w:val="1F3864"/>
          <w:sz w:val="18"/>
          <w:szCs w:val="18"/>
        </w:rPr>
        <w:t xml:space="preserve">[표 14-8] 금지 항목</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727"/>
        <w:gridCol w:w="3911"/>
      </w:tblGrid>
      <w:tr>
        <w:trPr>
          <w:cantSplit/>
          <w:tblHeader/>
        </w:trPr>
        <w:tc>
          <w:tcPr>
            <w:tcW w:type="dxa" w:w="5727"/>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금지 항목</w:t>
            </w:r>
          </w:p>
        </w:tc>
        <w:tc>
          <w:tcPr>
            <w:tcW w:type="dxa" w:w="3911"/>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사유</w:t>
            </w:r>
          </w:p>
        </w:tc>
      </w:tr>
      <w:tr>
        <w:trPr>
          <w:cantSplit/>
          <w:tblHeader w:val="false"/>
        </w:trPr>
        <w:tc>
          <w:tcPr>
            <w:tcW w:type="dxa" w:w="572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가격 상승·수익·계약을 보장하는 표현</w:t>
            </w:r>
          </w:p>
        </w:tc>
        <w:tc>
          <w:tcPr>
            <w:tcW w:type="dxa" w:w="391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근거로 뒷받침될 수 없는 주장</w:t>
            </w:r>
          </w:p>
        </w:tc>
      </w:tr>
      <w:tr>
        <w:trPr>
          <w:cantSplit/>
          <w:tblHeader w:val="false"/>
        </w:trPr>
        <w:tc>
          <w:tcPr>
            <w:tcW w:type="dxa" w:w="5727"/>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"AI 추천 1위", "국내 최초" 등 무근거 표현</w:t>
            </w:r>
          </w:p>
        </w:tc>
        <w:tc>
          <w:tcPr>
            <w:tcW w:type="dxa" w:w="3911"/>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검증 불가한 최상급 표현</w:t>
            </w:r>
          </w:p>
        </w:tc>
      </w:tr>
      <w:tr>
        <w:trPr>
          <w:cantSplit/>
          <w:tblHeader w:val="false"/>
        </w:trPr>
        <w:tc>
          <w:tcPr>
            <w:tcW w:type="dxa" w:w="572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발표된 호재의 무조건적 반영</w:t>
            </w:r>
          </w:p>
        </w:tc>
        <w:tc>
          <w:tcPr>
            <w:tcW w:type="dxa" w:w="391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성숙도 검증(5.6) 없는 사용</w:t>
            </w:r>
          </w:p>
        </w:tc>
      </w:tr>
      <w:tr>
        <w:trPr>
          <w:cantSplit/>
          <w:tblHeader w:val="false"/>
        </w:trPr>
        <w:tc>
          <w:tcPr>
            <w:tcW w:type="dxa" w:w="5727"/>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라이선스가 확인되지 않은 민간 데이터 사용</w:t>
            </w:r>
          </w:p>
        </w:tc>
        <w:tc>
          <w:tcPr>
            <w:tcW w:type="dxa" w:w="3911"/>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권리 위반 위험</w:t>
            </w:r>
          </w:p>
        </w:tc>
      </w:tr>
      <w:tr>
        <w:trPr>
          <w:cantSplit/>
          <w:tblHeader w:val="false"/>
        </w:trPr>
        <w:tc>
          <w:tcPr>
            <w:tcW w:type="dxa" w:w="572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감정평가·투자자문으로 오인될 수 있는 표현</w:t>
            </w:r>
          </w:p>
        </w:tc>
        <w:tc>
          <w:tcPr>
            <w:tcW w:type="dxa" w:w="391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업역 및 자격 문제</w:t>
            </w:r>
          </w:p>
        </w:tc>
      </w:tr>
    </w:tbl>
    <w:p>
      <w:pPr>
        <w:spacing w:after="200" w:before="0"/>
      </w:pPr>
    </w:p>
    <w:p>
      <w:pPr>
        <w:keepNext w:val="false"/>
        <w:spacing w:after="130" w:before="60" w:line="310"/>
        <w:jc w:val="both"/>
      </w:pPr>
      <w:r>
        <w:rPr>
          <w:rFonts w:ascii="맑은 고딕" w:cs="맑은 고딕" w:eastAsia="맑은 고딕" w:hAnsi="맑은 고딕"/>
          <w:b/>
          <w:bCs/>
          <w:i w:val="false"/>
          <w:iCs w:val="false"/>
          <w:color w:val="1A1A1A"/>
          <w:sz w:val="20"/>
          <w:szCs w:val="20"/>
        </w:rPr>
        <w:t xml:space="preserve">현장가치 분석은 분양 마케팅·판매전략 수립을 목적으로 하며, 감정평가·투자자문·미래 가격 보장이 아닙니다.</w:t>
      </w:r>
    </w:p>
    <w:p>
      <w:pPr>
        <w:pStyle w:val="Heading3"/>
        <w:keepNext/>
        <w:spacing w:after="110" w:before="240"/>
      </w:pPr>
      <w:r>
        <w:rPr>
          <w:rFonts w:ascii="맑은 고딕" w:cs="맑은 고딕" w:eastAsia="맑은 고딕" w:hAnsi="맑은 고딕"/>
          <w:b/>
          <w:bCs/>
          <w:color w:val="5A5A5A"/>
          <w:sz w:val="20"/>
          <w:szCs w:val="20"/>
        </w:rPr>
        <w:t xml:space="preserve">14.5.3 표현 검수 체크리스트</w:t>
      </w:r>
    </w:p>
    <w:p>
      <w:pPr>
        <w:keepNext/>
        <w:spacing w:after="90" w:before="220"/>
      </w:pPr>
      <w:r>
        <w:rPr>
          <w:rFonts w:ascii="맑은 고딕" w:cs="맑은 고딕" w:eastAsia="맑은 고딕" w:hAnsi="맑은 고딕"/>
          <w:b/>
          <w:bCs/>
          <w:color w:val="1F3864"/>
          <w:sz w:val="18"/>
          <w:szCs w:val="18"/>
        </w:rPr>
        <w:t xml:space="preserve">[표 14-9] 광고 표현 검수 항목</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blHeader/>
        </w:trPr>
        <w:tc>
          <w:tcPr>
            <w:tcW w:type="dxa" w:w="9638"/>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검수 질문</w:t>
            </w:r>
          </w:p>
        </w:tc>
      </w:tr>
      <w:tr>
        <w:trPr>
          <w:cantSplit/>
          <w:tblHeader w:val="false"/>
        </w:trPr>
        <w:tc>
          <w:tcPr>
            <w:tcW w:type="dxa" w:w="963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"확정·보장·무조건·유일·최고" 등 단정 표현의 근거가 있는가</w:t>
            </w:r>
          </w:p>
        </w:tc>
      </w:tr>
      <w:tr>
        <w:trPr>
          <w:cantSplit/>
          <w:tblHeader w:val="false"/>
        </w:trPr>
        <w:tc>
          <w:tcPr>
            <w:tcW w:type="dxa" w:w="9638"/>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검토·예정·추진·고시·착공·개통을 정확히 구분했는가</w:t>
            </w:r>
          </w:p>
        </w:tc>
      </w:tr>
      <w:tr>
        <w:trPr>
          <w:cantSplit/>
          <w:tblHeader w:val="false"/>
        </w:trPr>
        <w:tc>
          <w:tcPr>
            <w:tcW w:type="dxa" w:w="963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미래 가격을 조건·범위·한계와 함께 제시했는가</w:t>
            </w:r>
          </w:p>
        </w:tc>
      </w:tr>
      <w:tr>
        <w:trPr>
          <w:cantSplit/>
          <w:tblHeader w:val="false"/>
        </w:trPr>
        <w:tc>
          <w:tcPr>
            <w:tcW w:type="dxa" w:w="9638"/>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비교 대상·기간·단위·출처가 문구와 가까운 위치에 있는가</w:t>
            </w:r>
          </w:p>
        </w:tc>
      </w:tr>
      <w:tr>
        <w:trPr>
          <w:cantSplit/>
          <w:tblHeader w:val="false"/>
        </w:trPr>
        <w:tc>
          <w:tcPr>
            <w:tcW w:type="dxa" w:w="963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고객에게 불리한 위험·비용·제약을 누락하지 않았는가</w:t>
            </w:r>
          </w:p>
        </w:tc>
      </w:tr>
      <w:tr>
        <w:trPr>
          <w:cantSplit/>
          <w:tblHeader w:val="false"/>
        </w:trPr>
        <w:tc>
          <w:tcPr>
            <w:tcW w:type="dxa" w:w="9638"/>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데이터 라이선스와 이미지·음원·초상권을 확인했는가</w:t>
            </w:r>
          </w:p>
        </w:tc>
      </w:tr>
      <w:tr>
        <w:trPr>
          <w:cantSplit/>
          <w:tblHeader w:val="false"/>
        </w:trPr>
        <w:tc>
          <w:tcPr>
            <w:tcW w:type="dxa" w:w="963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최종 승인자·승인일·게시 기간·철회 조건을 기록했는가</w:t>
            </w:r>
          </w:p>
        </w:tc>
      </w:tr>
    </w:tbl>
    <w:p>
      <w:pPr>
        <w:spacing w:after="200" w:before="0"/>
      </w:pPr>
    </w:p>
    <w:p>
      <w:pPr>
        <w:pStyle w:val="Heading2"/>
        <w:keepNext/>
        <w:spacing w:after="140" w:before="300"/>
      </w:pPr>
      <w:r>
        <w:rPr>
          <w:rFonts w:ascii="맑은 고딕" w:cs="맑은 고딕" w:eastAsia="맑은 고딕" w:hAnsi="맑은 고딕"/>
          <w:b/>
          <w:bCs/>
          <w:color w:val="1A1A1A"/>
          <w:sz w:val="23"/>
          <w:szCs w:val="23"/>
        </w:rPr>
        <w:t xml:space="preserve">14.6 성과 해석의 통제</w:t>
      </w:r>
    </w:p>
    <w:p>
      <w:pPr>
        <w:keepNext w:val="false"/>
        <w:spacing w:after="130" w:before="60" w:line="310"/>
        <w:jc w:val="both"/>
      </w:pPr>
      <w:r>
        <w:rPr>
          <w:rFonts w:ascii="맑은 고딕" w:cs="맑은 고딕" w:eastAsia="맑은 고딕" w:hAnsi="맑은 고딕"/>
          <w:b w:val="false"/>
          <w:bCs w:val="false"/>
          <w:i w:val="false"/>
          <w:iCs w:val="false"/>
          <w:color w:val="1A1A1A"/>
          <w:sz w:val="20"/>
          <w:szCs w:val="20"/>
        </w:rPr>
        <w:t xml:space="preserve">성과 왜곡의 위험은 외부가 아니라 운영사 자신에게서 발생할 수 있습니다. 당사는 다음을 내부 규정으로 금지합니다.</w:t>
      </w:r>
    </w:p>
    <w:p>
      <w:pPr>
        <w:keepNext/>
        <w:spacing w:after="90" w:before="220"/>
      </w:pPr>
      <w:r>
        <w:rPr>
          <w:rFonts w:ascii="맑은 고딕" w:cs="맑은 고딕" w:eastAsia="맑은 고딕" w:hAnsi="맑은 고딕"/>
          <w:b/>
          <w:bCs/>
          <w:color w:val="1F3864"/>
          <w:sz w:val="18"/>
          <w:szCs w:val="18"/>
        </w:rPr>
        <w:t xml:space="preserve">[표 14-10] 성과 보고 금지 사항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62"/>
        <w:gridCol w:w="7676"/>
      </w:tblGrid>
      <w:tr>
        <w:trPr>
          <w:cantSplit/>
          <w:tblHeader/>
        </w:trPr>
        <w:tc>
          <w:tcPr>
            <w:tcW w:type="dxa" w:w="1962"/>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금지 사항</w:t>
            </w:r>
          </w:p>
        </w:tc>
        <w:tc>
          <w:tcPr>
            <w:tcW w:type="dxa" w:w="7676"/>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통제 방법</w:t>
            </w:r>
          </w:p>
        </w:tc>
      </w:tr>
      <w:tr>
        <w:trPr>
          <w:cantSplit/>
          <w:tblHeader w:val="false"/>
        </w:trPr>
        <w:tc>
          <w:tcPr>
            <w:tcW w:type="dxa" w:w="1962"/>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기여의 과대평가</w:t>
            </w:r>
          </w:p>
        </w:tc>
        <w:tc>
          <w:tcPr>
            <w:tcW w:type="dxa" w:w="767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계약 고객의 유입 경로 연결은 합의된 귀속 기준으로만 판정. 광고 외 요인(가격 조정, 시즌, 현장 인력)의 기여를 광고 성과로 흡수하지 않음</w:t>
            </w:r>
          </w:p>
        </w:tc>
      </w:tr>
      <w:tr>
        <w:trPr>
          <w:cantSplit/>
          <w:tblHeader w:val="false"/>
        </w:trPr>
        <w:tc>
          <w:tcPr>
            <w:tcW w:type="dxa" w:w="1962"/>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불리한 수치의 지연 보고</w:t>
            </w:r>
          </w:p>
        </w:tc>
        <w:tc>
          <w:tcPr>
            <w:tcW w:type="dxa" w:w="7676"/>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나쁜 신호일수록 조기에 보고. 조기 대응의 전제 조건</w:t>
            </w:r>
          </w:p>
        </w:tc>
      </w:tr>
      <w:tr>
        <w:trPr>
          <w:cantSplit/>
          <w:tblHeader w:val="false"/>
        </w:trPr>
        <w:tc>
          <w:tcPr>
            <w:tcW w:type="dxa" w:w="1962"/>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지표 정의의 사후 변경</w:t>
            </w:r>
          </w:p>
        </w:tc>
        <w:tc>
          <w:tcPr>
            <w:tcW w:type="dxa" w:w="767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KPI 정의는 착수 시 문서로 고정(10.2). 변경 시 이력과 소급 재산출 병기</w:t>
            </w:r>
          </w:p>
        </w:tc>
      </w:tr>
    </w:tbl>
    <w:p>
      <w:pPr>
        <w:spacing w:after="200" w:before="0"/>
      </w:pPr>
    </w:p>
    <w:p>
      <w:pPr>
        <w:keepNext w:val="false"/>
        <w:spacing w:after="130" w:before="60" w:line="310"/>
        <w:jc w:val="both"/>
      </w:pPr>
      <w:r>
        <w:rPr>
          <w:rFonts w:ascii="맑은 고딕" w:cs="맑은 고딕" w:eastAsia="맑은 고딕" w:hAnsi="맑은 고딕"/>
          <w:b w:val="false"/>
          <w:bCs w:val="false"/>
          <w:i w:val="false"/>
          <w:iCs w:val="false"/>
          <w:color w:val="1A1A1A"/>
          <w:sz w:val="20"/>
          <w:szCs w:val="20"/>
        </w:rPr>
        <w:t xml:space="preserve">수요 부족이 실제 원인인 현장에서는 그 사실을 데이터로 보고하고 조건 재검토를 안건화하는 것이 당사의 역할입니다. </w:t>
      </w:r>
      <w:r>
        <w:rPr>
          <w:rFonts w:ascii="맑은 고딕" w:cs="맑은 고딕" w:eastAsia="맑은 고딕" w:hAnsi="맑은 고딕"/>
          <w:b/>
          <w:bCs/>
          <w:i w:val="false"/>
          <w:iCs w:val="false"/>
          <w:color w:val="1A1A1A"/>
          <w:sz w:val="20"/>
          <w:szCs w:val="20"/>
        </w:rPr>
        <w:t xml:space="preserve">운영이 해결할 수 없는 문제를 운영이 해결할 수 있다고 말하지 않는 것</w:t>
      </w:r>
      <w:r>
        <w:rPr>
          <w:rFonts w:ascii="맑은 고딕" w:cs="맑은 고딕" w:eastAsia="맑은 고딕" w:hAnsi="맑은 고딕"/>
          <w:b w:val="false"/>
          <w:bCs w:val="false"/>
          <w:i w:val="false"/>
          <w:iCs w:val="false"/>
          <w:color w:val="1A1A1A"/>
          <w:sz w:val="20"/>
          <w:szCs w:val="20"/>
        </w:rPr>
        <w:t xml:space="preserve">이 본 제안서 전체의 서술 원칙입니다.</w:t>
      </w:r>
    </w:p>
    <w:p>
      <w:pPr>
        <w:pStyle w:val="Heading2"/>
        <w:keepNext/>
        <w:spacing w:after="140" w:before="300"/>
      </w:pPr>
      <w:r>
        <w:rPr>
          <w:rFonts w:ascii="맑은 고딕" w:cs="맑은 고딕" w:eastAsia="맑은 고딕" w:hAnsi="맑은 고딕"/>
          <w:b/>
          <w:bCs/>
          <w:color w:val="1A1A1A"/>
          <w:sz w:val="23"/>
          <w:szCs w:val="23"/>
        </w:rPr>
        <w:t xml:space="preserve">14.7 소결</w:t>
      </w:r>
    </w:p>
    <w:p>
      <w:pPr>
        <w:keepNext w:val="false"/>
        <w:spacing w:after="130" w:before="60" w:line="310"/>
        <w:jc w:val="both"/>
      </w:pPr>
      <w:r>
        <w:rPr>
          <w:rFonts w:ascii="맑은 고딕" w:cs="맑은 고딕" w:eastAsia="맑은 고딕" w:hAnsi="맑은 고딕"/>
          <w:b w:val="false"/>
          <w:bCs w:val="false"/>
          <w:i w:val="false"/>
          <w:iCs w:val="false"/>
          <w:color w:val="1A1A1A"/>
          <w:sz w:val="20"/>
          <w:szCs w:val="20"/>
        </w:rPr>
        <w:t xml:space="preserve">통제의 목적은 형식이 아니라 예방입니다.</w:t>
      </w:r>
    </w:p>
    <w:p>
      <w:pPr>
        <w:keepNext w:val="false"/>
        <w:spacing w:after="130" w:before="60" w:line="310"/>
        <w:jc w:val="both"/>
      </w:pPr>
      <w:r>
        <w:rPr>
          <w:rFonts w:ascii="맑은 고딕" w:cs="맑은 고딕" w:eastAsia="맑은 고딕" w:hAnsi="맑은 고딕"/>
          <w:b w:val="false"/>
          <w:bCs w:val="false"/>
          <w:i w:val="false"/>
          <w:iCs w:val="false"/>
          <w:color w:val="1A1A1A"/>
          <w:sz w:val="20"/>
          <w:szCs w:val="20"/>
        </w:rPr>
        <w:t xml:space="preserve">금지 항목의 목록과 검수 절차는 계약 문서에 포함되어 발주처의 권리가 되며, 위험 항목은 주간 사이클의 상시 모니터링 대상으로 관리됩니다. 이러한 운영 구조가 만들어내는 변화가 제15장의 주제입니다.</w:t>
      </w:r>
    </w:p>
    <w:p>
      <w:pPr>
        <w:pStyle w:val="Heading1"/>
        <w:pageBreakBefore/>
        <w:pBdr>
          <w:bottom w:val="single" w:color="1F3864" w:sz="10" w:space="8"/>
        </w:pBdr>
        <w:spacing w:after="240" w:before="0"/>
      </w:pPr>
      <w:r>
        <w:rPr>
          <w:rFonts w:ascii="맑은 고딕" w:cs="맑은 고딕" w:eastAsia="맑은 고딕" w:hAnsi="맑은 고딕"/>
          <w:b/>
          <w:bCs/>
          <w:color w:val="1F3864"/>
          <w:sz w:val="30"/>
          <w:szCs w:val="30"/>
        </w:rPr>
        <w:t xml:space="preserve">제15장. 기대 효과</w:t>
      </w:r>
    </w:p>
    <w:p>
      <w:pPr>
        <w:keepNext w:val="false"/>
        <w:spacing w:after="130" w:before="60" w:line="310"/>
        <w:jc w:val="both"/>
      </w:pPr>
      <w:r>
        <w:rPr>
          <w:rFonts w:ascii="맑은 고딕" w:cs="맑은 고딕" w:eastAsia="맑은 고딕" w:hAnsi="맑은 고딕"/>
          <w:b/>
          <w:bCs/>
          <w:i w:val="false"/>
          <w:iCs w:val="false"/>
          <w:color w:val="1A1A1A"/>
          <w:sz w:val="20"/>
          <w:szCs w:val="20"/>
        </w:rPr>
        <w:t xml:space="preserve">헤드라인.</w:t>
      </w:r>
      <w:r>
        <w:rPr>
          <w:rFonts w:ascii="맑은 고딕" w:cs="맑은 고딕" w:eastAsia="맑은 고딕" w:hAnsi="맑은 고딕"/>
          <w:b w:val="false"/>
          <w:bCs w:val="false"/>
          <w:i w:val="false"/>
          <w:iCs w:val="false"/>
          <w:color w:val="1A1A1A"/>
          <w:sz w:val="20"/>
          <w:szCs w:val="20"/>
        </w:rPr>
        <w:t xml:space="preserve"> 기대 효과는 확인 방법이 지정된 상태 변화로 서술하며, 보장 수치를 제시하지 않습니다.</w:t>
      </w:r>
    </w:p>
    <w:p>
      <w:pPr>
        <w:keepNext/>
        <w:spacing w:after="90" w:before="220"/>
      </w:pPr>
      <w:r>
        <w:rPr>
          <w:rFonts w:ascii="맑은 고딕" w:cs="맑은 고딕" w:eastAsia="맑은 고딕" w:hAnsi="맑은 고딕"/>
          <w:b/>
          <w:bCs/>
          <w:color w:val="1F3864"/>
          <w:sz w:val="18"/>
          <w:szCs w:val="18"/>
        </w:rPr>
        <w:t xml:space="preserve">[표 15-1] 장 요약</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7838"/>
      </w:tblGrid>
      <w:tr>
        <w:trPr>
          <w:cantSplit/>
          <w:tblHeader/>
        </w:trPr>
        <w:tc>
          <w:tcPr>
            <w:tcW w:type="dxa" w:w="1800"/>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구분</w:t>
            </w:r>
          </w:p>
        </w:tc>
        <w:tc>
          <w:tcPr>
            <w:tcW w:type="dxa" w:w="7838"/>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내용</w:t>
            </w:r>
          </w:p>
        </w:tc>
      </w:tr>
      <w:tr>
        <w:trPr>
          <w:cantSplit/>
          <w:tblHeader w:val="false"/>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문제 (Problem)</w:t>
            </w:r>
          </w:p>
        </w:tc>
        <w:tc>
          <w:tcPr>
            <w:tcW w:type="dxa" w:w="783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근거 없는 기대 수치는 검증이 불가능하고, 제안 전체의 신뢰를 훼손한다</w:t>
            </w:r>
          </w:p>
        </w:tc>
      </w:tr>
      <w:tr>
        <w:trPr>
          <w:cantSplit/>
          <w:tblHeader w:val="false"/>
        </w:trPr>
        <w:tc>
          <w:tcPr>
            <w:tcW w:type="dxa" w:w="180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원인 (Reason)</w:t>
            </w:r>
          </w:p>
        </w:tc>
        <w:tc>
          <w:tcPr>
            <w:tcW w:type="dxa" w:w="7838"/>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성과는 상품·가격·시장 국면·현장 인력 등 외부 요인의 영향을 함께 받기 때문이다</w:t>
            </w:r>
          </w:p>
        </w:tc>
      </w:tr>
      <w:tr>
        <w:trPr>
          <w:cantSplit/>
          <w:tblHeader w:val="false"/>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방법 (Method)</w:t>
            </w:r>
          </w:p>
        </w:tc>
        <w:tc>
          <w:tcPr>
            <w:tcW w:type="dxa" w:w="783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7개 기대 영역마다 확인 방법을 지정하고(15.1), 이해관계자 관점별 의미를 구분한다(15.2)</w:t>
            </w:r>
          </w:p>
        </w:tc>
      </w:tr>
      <w:tr>
        <w:trPr>
          <w:cantSplit/>
          <w:tblHeader w:val="false"/>
        </w:trPr>
        <w:tc>
          <w:tcPr>
            <w:tcW w:type="dxa" w:w="180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기대 효과 (Effect)</w:t>
            </w:r>
          </w:p>
        </w:tc>
        <w:tc>
          <w:tcPr>
            <w:tcW w:type="dxa" w:w="7838"/>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"달라졌는가"의 판단 자체가 데이터로 검증 가능해진다</w:t>
            </w:r>
          </w:p>
        </w:tc>
      </w:tr>
    </w:tbl>
    <w:p>
      <w:pPr>
        <w:spacing w:after="200" w:before="0"/>
      </w:pPr>
    </w:p>
    <w:p>
      <w:pPr>
        <w:pStyle w:val="Heading2"/>
        <w:keepNext/>
        <w:spacing w:after="140" w:before="300"/>
      </w:pPr>
      <w:r>
        <w:rPr>
          <w:rFonts w:ascii="맑은 고딕" w:cs="맑은 고딕" w:eastAsia="맑은 고딕" w:hAnsi="맑은 고딕"/>
          <w:b/>
          <w:bCs/>
          <w:color w:val="1A1A1A"/>
          <w:sz w:val="23"/>
          <w:szCs w:val="23"/>
        </w:rPr>
        <w:t xml:space="preserve">15.1 기대 효과와 확인 방법</w:t>
      </w:r>
    </w:p>
    <w:p>
      <w:pPr>
        <w:keepNext/>
        <w:spacing w:after="90" w:before="220"/>
      </w:pPr>
      <w:r>
        <w:rPr>
          <w:rFonts w:ascii="맑은 고딕" w:cs="맑은 고딕" w:eastAsia="맑은 고딕" w:hAnsi="맑은 고딕"/>
          <w:b/>
          <w:bCs/>
          <w:color w:val="1F3864"/>
          <w:sz w:val="18"/>
          <w:szCs w:val="18"/>
        </w:rPr>
        <w:t xml:space="preserve">[표 15-2] 영역별 기대 효과와 검증 수단</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87"/>
        <w:gridCol w:w="4536"/>
        <w:gridCol w:w="3515"/>
      </w:tblGrid>
      <w:tr>
        <w:trPr>
          <w:cantSplit/>
          <w:tblHeader/>
        </w:trPr>
        <w:tc>
          <w:tcPr>
            <w:tcW w:type="dxa" w:w="1587"/>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기대 영역</w:t>
            </w:r>
          </w:p>
        </w:tc>
        <w:tc>
          <w:tcPr>
            <w:tcW w:type="dxa" w:w="4536"/>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기대 효과</w:t>
            </w:r>
          </w:p>
        </w:tc>
        <w:tc>
          <w:tcPr>
            <w:tcW w:type="dxa" w:w="3515"/>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확인 방법</w:t>
            </w:r>
          </w:p>
        </w:tc>
      </w:tr>
      <w:tr>
        <w:trPr>
          <w:cantSplit/>
          <w:tblHeader w:val="false"/>
        </w:trPr>
        <w:tc>
          <w:tcPr>
            <w:tcW w:type="dxa" w:w="158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경영 가시성</w:t>
            </w:r>
          </w:p>
        </w:tc>
        <w:tc>
          <w:tcPr>
            <w:tcW w:type="dxa" w:w="453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광고비와 고객 상태를 동일 화면에서 확인</w:t>
            </w:r>
          </w:p>
        </w:tc>
        <w:tc>
          <w:tcPr>
            <w:tcW w:type="dxa" w:w="3515"/>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대시보드, 정산, 주간 보고</w:t>
            </w:r>
          </w:p>
        </w:tc>
      </w:tr>
      <w:tr>
        <w:trPr>
          <w:cantSplit/>
          <w:tblHeader w:val="false"/>
        </w:trPr>
        <w:tc>
          <w:tcPr>
            <w:tcW w:type="dxa" w:w="1587"/>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근거 신뢰</w:t>
            </w:r>
          </w:p>
        </w:tc>
        <w:tc>
          <w:tcPr>
            <w:tcW w:type="dxa" w:w="4536"/>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가격·호재·비교 문구의 출처와 한계를 추적</w:t>
            </w:r>
          </w:p>
        </w:tc>
        <w:tc>
          <w:tcPr>
            <w:tcW w:type="dxa" w:w="3515"/>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근거원장, 표현 검수 기록</w:t>
            </w:r>
          </w:p>
        </w:tc>
      </w:tr>
      <w:tr>
        <w:trPr>
          <w:cantSplit/>
          <w:tblHeader w:val="false"/>
        </w:trPr>
        <w:tc>
          <w:tcPr>
            <w:tcW w:type="dxa" w:w="158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예산 효율</w:t>
            </w:r>
          </w:p>
        </w:tc>
        <w:tc>
          <w:tcPr>
            <w:tcW w:type="dxa" w:w="453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증빙 편향이 아닌 고객 단계별 매체 배분</w:t>
            </w:r>
          </w:p>
        </w:tc>
        <w:tc>
          <w:tcPr>
            <w:tcW w:type="dxa" w:w="3515"/>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매체별 실집행, 퍼널 비용</w:t>
            </w:r>
          </w:p>
        </w:tc>
      </w:tr>
      <w:tr>
        <w:trPr>
          <w:cantSplit/>
          <w:tblHeader w:val="false"/>
        </w:trPr>
        <w:tc>
          <w:tcPr>
            <w:tcW w:type="dxa" w:w="1587"/>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현장 속도</w:t>
            </w:r>
          </w:p>
        </w:tc>
        <w:tc>
          <w:tcPr>
            <w:tcW w:type="dxa" w:w="4536"/>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DB 배정과 연락 지연을 조기에 확인</w:t>
            </w:r>
          </w:p>
        </w:tc>
        <w:tc>
          <w:tcPr>
            <w:tcW w:type="dxa" w:w="3515"/>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배정·최초 연락시간, 미처리 현황</w:t>
            </w:r>
          </w:p>
        </w:tc>
      </w:tr>
      <w:tr>
        <w:trPr>
          <w:cantSplit/>
          <w:tblHeader w:val="false"/>
        </w:trPr>
        <w:tc>
          <w:tcPr>
            <w:tcW w:type="dxa" w:w="158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상담 품질</w:t>
            </w:r>
          </w:p>
        </w:tc>
        <w:tc>
          <w:tcPr>
            <w:tcW w:type="dxa" w:w="453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고객 질문별 근거와 거절 대응 자료의 통일</w:t>
            </w:r>
          </w:p>
        </w:tc>
        <w:tc>
          <w:tcPr>
            <w:tcW w:type="dxa" w:w="3515"/>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상담완료율, 고감도율, 거절 사유</w:t>
            </w:r>
          </w:p>
        </w:tc>
      </w:tr>
      <w:tr>
        <w:trPr>
          <w:cantSplit/>
          <w:tblHeader w:val="false"/>
        </w:trPr>
        <w:tc>
          <w:tcPr>
            <w:tcW w:type="dxa" w:w="1587"/>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방문·계약 학습</w:t>
            </w:r>
          </w:p>
        </w:tc>
        <w:tc>
          <w:tcPr>
            <w:tcW w:type="dxa" w:w="4536"/>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실제 전환에 기여한 소재·매체·과정 파악</w:t>
            </w:r>
          </w:p>
        </w:tc>
        <w:tc>
          <w:tcPr>
            <w:tcW w:type="dxa" w:w="3515"/>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기여 경로, 전환 퍼널, 사례 분석</w:t>
            </w:r>
          </w:p>
        </w:tc>
      </w:tr>
      <w:tr>
        <w:trPr>
          <w:cantSplit/>
          <w:tblHeader w:val="false"/>
        </w:trPr>
        <w:tc>
          <w:tcPr>
            <w:tcW w:type="dxa" w:w="158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지식 자산화</w:t>
            </w:r>
          </w:p>
        </w:tc>
        <w:tc>
          <w:tcPr>
            <w:tcW w:type="dxa" w:w="453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현장별 분석·콘텐츠·상담 데이터의 축적</w:t>
            </w:r>
          </w:p>
        </w:tc>
        <w:tc>
          <w:tcPr>
            <w:tcW w:type="dxa" w:w="3515"/>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버전, 표준 템플릿, 학습 원장</w:t>
            </w:r>
          </w:p>
        </w:tc>
      </w:tr>
    </w:tbl>
    <w:p>
      <w:pPr>
        <w:spacing w:after="200" w:before="0"/>
      </w:pPr>
    </w:p>
    <w:p>
      <w:pPr>
        <w:pStyle w:val="Heading2"/>
        <w:keepNext/>
        <w:spacing w:after="140" w:before="300"/>
      </w:pPr>
      <w:r>
        <w:rPr>
          <w:rFonts w:ascii="맑은 고딕" w:cs="맑은 고딕" w:eastAsia="맑은 고딕" w:hAnsi="맑은 고딕"/>
          <w:b/>
          <w:bCs/>
          <w:color w:val="1A1A1A"/>
          <w:sz w:val="23"/>
          <w:szCs w:val="23"/>
        </w:rPr>
        <w:t xml:space="preserve">15.2 이해관계자별 의미</w:t>
      </w:r>
    </w:p>
    <w:p>
      <w:pPr>
        <w:keepNext/>
        <w:spacing w:after="90" w:before="220"/>
      </w:pPr>
      <w:r>
        <w:rPr>
          <w:rFonts w:ascii="맑은 고딕" w:cs="맑은 고딕" w:eastAsia="맑은 고딕" w:hAnsi="맑은 고딕"/>
          <w:b/>
          <w:bCs/>
          <w:color w:val="1F3864"/>
          <w:sz w:val="18"/>
          <w:szCs w:val="18"/>
        </w:rPr>
        <w:t xml:space="preserve">[표 15-3] 관점별 변화</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95"/>
        <w:gridCol w:w="7543"/>
      </w:tblGrid>
      <w:tr>
        <w:trPr>
          <w:cantSplit/>
          <w:tblHeader/>
        </w:trPr>
        <w:tc>
          <w:tcPr>
            <w:tcW w:type="dxa" w:w="2095"/>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관점</w:t>
            </w:r>
          </w:p>
        </w:tc>
        <w:tc>
          <w:tcPr>
            <w:tcW w:type="dxa" w:w="7543"/>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변화 내용</w:t>
            </w:r>
          </w:p>
        </w:tc>
      </w:tr>
      <w:tr>
        <w:trPr>
          <w:cantSplit/>
          <w:tblHeader w:val="false"/>
        </w:trPr>
        <w:tc>
          <w:tcPr>
            <w:tcW w:type="dxa" w:w="2095"/>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시행사 경영진</w:t>
            </w:r>
          </w:p>
        </w:tc>
        <w:tc>
          <w:tcPr>
            <w:tcW w:type="dxa" w:w="754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광고비 집행과 분양 성과 사이의 블랙박스가 해소됨. 예산 증액·조건 조정·운영 변경의 의사결정을 데이터 위에서 수행. 부진의 원인이 광고·상담·조건·수요 중 어디에 있는지 구분되어 대응의 정확성과 속도가 개선됨</w:t>
            </w:r>
          </w:p>
        </w:tc>
      </w:tr>
      <w:tr>
        <w:trPr>
          <w:cantSplit/>
          <w:tblHeader w:val="false"/>
        </w:trPr>
        <w:tc>
          <w:tcPr>
            <w:tcW w:type="dxa" w:w="2095"/>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현장 본부장·총괄</w:t>
            </w:r>
          </w:p>
        </w:tc>
        <w:tc>
          <w:tcPr>
            <w:tcW w:type="dxa" w:w="7543"/>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별도 보고 요청 없이 미연락·지연·고감도·방문 일정을 상시 확인. 관리의 초점이 보고 취합에서 병목 해소로 이동. 담당자별 처리 품질이 표준 지표로 비교되어 코칭과 배정 조정의 근거 확보</w:t>
            </w:r>
          </w:p>
        </w:tc>
      </w:tr>
      <w:tr>
        <w:trPr>
          <w:cantSplit/>
          <w:tblHeader w:val="false"/>
        </w:trPr>
        <w:tc>
          <w:tcPr>
            <w:tcW w:type="dxa" w:w="2095"/>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광고비 지원 주체</w:t>
            </w:r>
          </w:p>
        </w:tc>
        <w:tc>
          <w:tcPr>
            <w:tcW w:type="dxa" w:w="754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지원금의 사용처와 성과가 매체·캠페인·고객 단위로 추적됨. 지원 제도의 통제 문제(2.4)가 해소되고 지원 확대·축소 판단의 근거 확보</w:t>
            </w:r>
          </w:p>
        </w:tc>
      </w:tr>
      <w:tr>
        <w:trPr>
          <w:cantSplit/>
          <w:tblHeader w:val="false"/>
        </w:trPr>
        <w:tc>
          <w:tcPr>
            <w:tcW w:type="dxa" w:w="2095"/>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분양 담당자</w:t>
            </w:r>
          </w:p>
        </w:tc>
        <w:tc>
          <w:tcPr>
            <w:tcW w:type="dxa" w:w="7543"/>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유입 소재와 관심 주제가 보존된 DB를 수령하여 첫 통화의 품질이 개선됨. 표준 근거팩과 거절 대응 자료로 상담의 개인 편차 감소. 가망 없는 응대 시간이 감소하고 고감도 고객에 집중 가능</w:t>
            </w:r>
          </w:p>
        </w:tc>
      </w:tr>
      <w:tr>
        <w:trPr>
          <w:cantSplit/>
          <w:tblHeader w:val="false"/>
        </w:trPr>
        <w:tc>
          <w:tcPr>
            <w:tcW w:type="dxa" w:w="2095"/>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대외 보고 (대주단·신탁사)</w:t>
            </w:r>
          </w:p>
        </w:tc>
        <w:tc>
          <w:tcPr>
            <w:tcW w:type="dxa" w:w="754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분양 전망과 대응 계획을 검증 가능한 데이터에 기반하여 작성 가능</w:t>
            </w:r>
          </w:p>
        </w:tc>
      </w:tr>
    </w:tbl>
    <w:p>
      <w:pPr>
        <w:spacing w:after="200" w:before="0"/>
      </w:pPr>
    </w:p>
    <w:p>
      <w:pPr>
        <w:pStyle w:val="Heading2"/>
        <w:keepNext/>
        <w:spacing w:after="140" w:before="300"/>
      </w:pPr>
      <w:r>
        <w:rPr>
          <w:rFonts w:ascii="맑은 고딕" w:cs="맑은 고딕" w:eastAsia="맑은 고딕" w:hAnsi="맑은 고딕"/>
          <w:b/>
          <w:bCs/>
          <w:color w:val="1A1A1A"/>
          <w:sz w:val="23"/>
          <w:szCs w:val="23"/>
        </w:rPr>
        <w:t xml:space="preserve">15.3 성과에 대한 한계</w:t>
      </w:r>
    </w:p>
    <w:p>
      <w:pPr>
        <w:keepNext w:val="false"/>
        <w:spacing w:after="130" w:before="60" w:line="310"/>
        <w:jc w:val="both"/>
      </w:pPr>
      <w:r>
        <w:rPr>
          <w:rFonts w:ascii="맑은 고딕" w:cs="맑은 고딕" w:eastAsia="맑은 고딕" w:hAnsi="맑은 고딕"/>
          <w:b w:val="false"/>
          <w:bCs w:val="false"/>
          <w:i w:val="false"/>
          <w:iCs w:val="false"/>
          <w:color w:val="1A1A1A"/>
          <w:sz w:val="20"/>
          <w:szCs w:val="20"/>
        </w:rPr>
        <w:t xml:space="preserve">성과 보장 배제의 전제(중요 전제)는 본 장의 기대 효과에 동일하게 적용됩니다.</w:t>
      </w:r>
    </w:p>
    <w:p>
      <w:pPr>
        <w:keepNext w:val="false"/>
        <w:spacing w:after="130" w:before="60" w:line="310"/>
        <w:jc w:val="both"/>
      </w:pPr>
      <w:r>
        <w:rPr>
          <w:rFonts w:ascii="맑은 고딕" w:cs="맑은 고딕" w:eastAsia="맑은 고딕" w:hAnsi="맑은 고딕"/>
          <w:b w:val="false"/>
          <w:bCs w:val="false"/>
          <w:i w:val="false"/>
          <w:iCs w:val="false"/>
          <w:color w:val="1A1A1A"/>
          <w:sz w:val="20"/>
          <w:szCs w:val="20"/>
        </w:rPr>
        <w:t xml:space="preserve">위 기대 효과는 </w:t>
      </w:r>
      <w:r>
        <w:rPr>
          <w:rFonts w:ascii="맑은 고딕" w:cs="맑은 고딕" w:eastAsia="맑은 고딕" w:hAnsi="맑은 고딕"/>
          <w:b/>
          <w:bCs/>
          <w:i w:val="false"/>
          <w:iCs w:val="false"/>
          <w:color w:val="1A1A1A"/>
          <w:sz w:val="20"/>
          <w:szCs w:val="20"/>
        </w:rPr>
        <w:t xml:space="preserve">운영 구조가 만들어내는 확인 가능한 상태의 변화</w:t>
      </w:r>
      <w:r>
        <w:rPr>
          <w:rFonts w:ascii="맑은 고딕" w:cs="맑은 고딕" w:eastAsia="맑은 고딕" w:hAnsi="맑은 고딕"/>
          <w:b w:val="false"/>
          <w:bCs w:val="false"/>
          <w:i w:val="false"/>
          <w:iCs w:val="false"/>
          <w:color w:val="1A1A1A"/>
          <w:sz w:val="20"/>
          <w:szCs w:val="20"/>
        </w:rPr>
        <w:t xml:space="preserve">이며, 그 상태 위에서 계약 성과의 확률을 높여가는 것이 본 시스템의 작동 방식입니다. 성과는 계약 시 합의한 데이터로 측정합니다(10.2).</w:t>
      </w:r>
    </w:p>
    <w:p>
      <w:pPr>
        <w:pStyle w:val="Heading2"/>
        <w:keepNext/>
        <w:spacing w:after="140" w:before="300"/>
      </w:pPr>
      <w:r>
        <w:rPr>
          <w:rFonts w:ascii="맑은 고딕" w:cs="맑은 고딕" w:eastAsia="맑은 고딕" w:hAnsi="맑은 고딕"/>
          <w:b/>
          <w:bCs/>
          <w:color w:val="1A1A1A"/>
          <w:sz w:val="23"/>
          <w:szCs w:val="23"/>
        </w:rPr>
        <w:t xml:space="preserve">15.4 소결</w:t>
      </w:r>
    </w:p>
    <w:p>
      <w:pPr>
        <w:keepNext w:val="false"/>
        <w:spacing w:after="130" w:before="60" w:line="310"/>
        <w:jc w:val="both"/>
      </w:pPr>
      <w:r>
        <w:rPr>
          <w:rFonts w:ascii="맑은 고딕" w:cs="맑은 고딕" w:eastAsia="맑은 고딕" w:hAnsi="맑은 고딕"/>
          <w:b w:val="false"/>
          <w:bCs w:val="false"/>
          <w:i w:val="false"/>
          <w:iCs w:val="false"/>
          <w:color w:val="1A1A1A"/>
          <w:sz w:val="20"/>
          <w:szCs w:val="20"/>
        </w:rPr>
        <w:t xml:space="preserve">보장할 수 없는 것을 보장하지 않는 것이 본 제안의 신뢰 기반입니다.</w:t>
      </w:r>
    </w:p>
    <w:p>
      <w:pPr>
        <w:keepNext w:val="false"/>
        <w:spacing w:after="130" w:before="60" w:line="310"/>
        <w:jc w:val="both"/>
      </w:pPr>
      <w:r>
        <w:rPr>
          <w:rFonts w:ascii="맑은 고딕" w:cs="맑은 고딕" w:eastAsia="맑은 고딕" w:hAnsi="맑은 고딕"/>
          <w:b w:val="false"/>
          <w:bCs w:val="false"/>
          <w:i w:val="false"/>
          <w:iCs w:val="false"/>
          <w:color w:val="1A1A1A"/>
          <w:sz w:val="20"/>
          <w:szCs w:val="20"/>
        </w:rPr>
        <w:t xml:space="preserve">검증 가능한 상태 변화가 축적될수록 계약 성과의 기대값은 상승하며, 그 축적 과정 전체를 발주처가 데이터로 확인할 수 있습니다.</w:t>
      </w:r>
    </w:p>
    <w:p>
      <w:pPr>
        <w:pStyle w:val="Heading1"/>
        <w:pageBreakBefore/>
        <w:pBdr>
          <w:bottom w:val="single" w:color="1F3864" w:sz="10" w:space="8"/>
        </w:pBdr>
        <w:spacing w:after="240" w:before="0"/>
      </w:pPr>
      <w:r>
        <w:rPr>
          <w:rFonts w:ascii="맑은 고딕" w:cs="맑은 고딕" w:eastAsia="맑은 고딕" w:hAnsi="맑은 고딕"/>
          <w:b/>
          <w:bCs/>
          <w:color w:val="1F3864"/>
          <w:sz w:val="30"/>
          <w:szCs w:val="30"/>
        </w:rPr>
        <w:t xml:space="preserve">제16장. 다음 단계</w:t>
      </w:r>
    </w:p>
    <w:p>
      <w:pPr>
        <w:keepNext w:val="false"/>
        <w:spacing w:after="130" w:before="60" w:line="310"/>
        <w:jc w:val="both"/>
      </w:pPr>
      <w:r>
        <w:rPr>
          <w:rFonts w:ascii="맑은 고딕" w:cs="맑은 고딕" w:eastAsia="맑은 고딕" w:hAnsi="맑은 고딕"/>
          <w:b/>
          <w:bCs/>
          <w:i w:val="false"/>
          <w:iCs w:val="false"/>
          <w:color w:val="1A1A1A"/>
          <w:sz w:val="20"/>
          <w:szCs w:val="20"/>
        </w:rPr>
        <w:t xml:space="preserve">헤드라인.</w:t>
      </w:r>
      <w:r>
        <w:rPr>
          <w:rFonts w:ascii="맑은 고딕" w:cs="맑은 고딕" w:eastAsia="맑은 고딕" w:hAnsi="맑은 고딕"/>
          <w:b w:val="false"/>
          <w:bCs w:val="false"/>
          <w:i w:val="false"/>
          <w:iCs w:val="false"/>
          <w:color w:val="1A1A1A"/>
          <w:sz w:val="20"/>
          <w:szCs w:val="20"/>
        </w:rPr>
        <w:t xml:space="preserve"> 첫 미팅은 판매가 아니라 진단으로 진행합니다.</w:t>
      </w:r>
    </w:p>
    <w:p>
      <w:pPr>
        <w:keepNext/>
        <w:spacing w:after="90" w:before="220"/>
      </w:pPr>
      <w:r>
        <w:rPr>
          <w:rFonts w:ascii="맑은 고딕" w:cs="맑은 고딕" w:eastAsia="맑은 고딕" w:hAnsi="맑은 고딕"/>
          <w:b/>
          <w:bCs/>
          <w:color w:val="1F3864"/>
          <w:sz w:val="18"/>
          <w:szCs w:val="18"/>
        </w:rPr>
        <w:t xml:space="preserve">[표 16-1] 장 요약</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7838"/>
      </w:tblGrid>
      <w:tr>
        <w:trPr>
          <w:cantSplit/>
          <w:tblHeader/>
        </w:trPr>
        <w:tc>
          <w:tcPr>
            <w:tcW w:type="dxa" w:w="1800"/>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구분</w:t>
            </w:r>
          </w:p>
        </w:tc>
        <w:tc>
          <w:tcPr>
            <w:tcW w:type="dxa" w:w="7838"/>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내용</w:t>
            </w:r>
          </w:p>
        </w:tc>
      </w:tr>
      <w:tr>
        <w:trPr>
          <w:cantSplit/>
          <w:tblHeader w:val="false"/>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문제 (Problem)</w:t>
            </w:r>
          </w:p>
        </w:tc>
        <w:tc>
          <w:tcPr>
            <w:tcW w:type="dxa" w:w="783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착수 전 합의가 부족한 계약은 운영 중 분쟁과 지연으로 되돌아온다</w:t>
            </w:r>
          </w:p>
        </w:tc>
      </w:tr>
      <w:tr>
        <w:trPr>
          <w:cantSplit/>
          <w:tblHeader w:val="false"/>
        </w:trPr>
        <w:tc>
          <w:tcPr>
            <w:tcW w:type="dxa" w:w="180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원인 (Reason)</w:t>
            </w:r>
          </w:p>
        </w:tc>
        <w:tc>
          <w:tcPr>
            <w:tcW w:type="dxa" w:w="7838"/>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데이터 가용성·계정 권한·개인정보·범위가 계약 후에야 확인되는 관행 때문이다</w:t>
            </w:r>
          </w:p>
        </w:tc>
      </w:tr>
      <w:tr>
        <w:trPr>
          <w:cantSplit/>
          <w:tblHeader w:val="false"/>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방법 (Method)</w:t>
            </w:r>
          </w:p>
        </w:tc>
        <w:tc>
          <w:tcPr>
            <w:tcW w:type="dxa" w:w="783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첫 미팅 진단(16.1) → 우선 진단 항목(16.2) → 계약 전 5단계 절차(16.3)로 착수 전에 기준을 확정한다</w:t>
            </w:r>
          </w:p>
        </w:tc>
      </w:tr>
      <w:tr>
        <w:trPr>
          <w:cantSplit/>
          <w:tblHeader w:val="false"/>
        </w:trPr>
        <w:tc>
          <w:tcPr>
            <w:tcW w:type="dxa" w:w="180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기대 효과 (Effect)</w:t>
            </w:r>
          </w:p>
        </w:tc>
        <w:tc>
          <w:tcPr>
            <w:tcW w:type="dxa" w:w="7838"/>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착수 시점에 기준선·범위·책임이 확정된 상태로 운영이 시작된다</w:t>
            </w:r>
          </w:p>
        </w:tc>
      </w:tr>
    </w:tbl>
    <w:p>
      <w:pPr>
        <w:spacing w:after="200" w:before="0"/>
      </w:pPr>
    </w:p>
    <w:p>
      <w:pPr>
        <w:pStyle w:val="Heading2"/>
        <w:keepNext/>
        <w:spacing w:after="140" w:before="300"/>
      </w:pPr>
      <w:r>
        <w:rPr>
          <w:rFonts w:ascii="맑은 고딕" w:cs="맑은 고딕" w:eastAsia="맑은 고딕" w:hAnsi="맑은 고딕"/>
          <w:b/>
          <w:bCs/>
          <w:color w:val="1A1A1A"/>
          <w:sz w:val="23"/>
          <w:szCs w:val="23"/>
        </w:rPr>
        <w:t xml:space="preserve">16.1 첫 미팅에서 확인할 사항</w:t>
      </w:r>
    </w:p>
    <w:p>
      <w:pPr>
        <w:keepNext/>
        <w:spacing w:after="90" w:before="220"/>
      </w:pPr>
      <w:r>
        <w:rPr>
          <w:rFonts w:ascii="맑은 고딕" w:cs="맑은 고딕" w:eastAsia="맑은 고딕" w:hAnsi="맑은 고딕"/>
          <w:b/>
          <w:bCs/>
          <w:color w:val="1F3864"/>
          <w:sz w:val="18"/>
          <w:szCs w:val="18"/>
        </w:rPr>
        <w:t xml:space="preserve">[표 16-2] 첫 미팅 진행 순서</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7838"/>
      </w:tblGrid>
      <w:tr>
        <w:trPr>
          <w:cantSplit/>
          <w:tblHeader/>
        </w:trPr>
        <w:tc>
          <w:tcPr>
            <w:tcW w:type="dxa" w:w="1800"/>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순서</w:t>
            </w:r>
          </w:p>
        </w:tc>
        <w:tc>
          <w:tcPr>
            <w:tcW w:type="dxa" w:w="7838"/>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확인 내용</w:t>
            </w:r>
          </w:p>
        </w:tc>
      </w:tr>
      <w:tr>
        <w:trPr>
          <w:cantSplit/>
          <w:tblHeader w:val="false"/>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1</w:t>
            </w:r>
          </w:p>
        </w:tc>
        <w:tc>
          <w:tcPr>
            <w:tcW w:type="dxa" w:w="783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현장 기본 정보와 현재 가장 큰 판매·광고·상담 문제</w:t>
            </w:r>
          </w:p>
        </w:tc>
      </w:tr>
      <w:tr>
        <w:trPr>
          <w:cantSplit/>
          <w:tblHeader w:val="false"/>
        </w:trPr>
        <w:tc>
          <w:tcPr>
            <w:tcW w:type="dxa" w:w="180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2</w:t>
            </w:r>
          </w:p>
        </w:tc>
        <w:tc>
          <w:tcPr>
            <w:tcW w:type="dxa" w:w="7838"/>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기존 광고비·계정·DB·방문·계약 데이터의 확인 가능 범위</w:t>
            </w:r>
          </w:p>
        </w:tc>
      </w:tr>
      <w:tr>
        <w:trPr>
          <w:cantSplit/>
          <w:tblHeader w:val="false"/>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3</w:t>
            </w:r>
          </w:p>
        </w:tc>
        <w:tc>
          <w:tcPr>
            <w:tcW w:type="dxa" w:w="783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현장분석에 필요한 자료와 외부 데이터의 가용성·권한</w:t>
            </w:r>
          </w:p>
        </w:tc>
      </w:tr>
      <w:tr>
        <w:trPr>
          <w:cantSplit/>
          <w:tblHeader w:val="false"/>
        </w:trPr>
        <w:tc>
          <w:tcPr>
            <w:tcW w:type="dxa" w:w="180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4</w:t>
            </w:r>
          </w:p>
        </w:tc>
        <w:tc>
          <w:tcPr>
            <w:tcW w:type="dxa" w:w="7838"/>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착수 범위와 성공 기준의 합의 방향</w:t>
            </w:r>
          </w:p>
        </w:tc>
      </w:tr>
      <w:tr>
        <w:trPr>
          <w:cantSplit/>
          <w:tblHeader w:val="false"/>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5</w:t>
            </w:r>
          </w:p>
        </w:tc>
        <w:tc>
          <w:tcPr>
            <w:tcW w:type="dxa" w:w="783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광고비·수수료·콘텐츠 제작비·업무툴·개인정보·종료 정산의 구분 기준</w:t>
            </w:r>
          </w:p>
        </w:tc>
      </w:tr>
    </w:tbl>
    <w:p>
      <w:pPr>
        <w:spacing w:after="200" w:before="0"/>
      </w:pPr>
    </w:p>
    <w:p>
      <w:pPr>
        <w:keepNext w:val="false"/>
        <w:spacing w:after="130" w:before="60" w:line="310"/>
        <w:jc w:val="both"/>
      </w:pPr>
      <w:r>
        <w:rPr>
          <w:rFonts w:ascii="맑은 고딕" w:cs="맑은 고딕" w:eastAsia="맑은 고딕" w:hAnsi="맑은 고딕"/>
          <w:b/>
          <w:bCs/>
          <w:i w:val="false"/>
          <w:iCs w:val="false"/>
          <w:color w:val="1A1A1A"/>
          <w:sz w:val="20"/>
          <w:szCs w:val="20"/>
        </w:rPr>
        <w:t xml:space="preserve">당사의 첫 제안.</w:t>
      </w:r>
      <w:r>
        <w:rPr>
          <w:rFonts w:ascii="맑은 고딕" w:cs="맑은 고딕" w:eastAsia="맑은 고딕" w:hAnsi="맑은 고딕"/>
          <w:b w:val="false"/>
          <w:bCs w:val="false"/>
          <w:i w:val="false"/>
          <w:iCs w:val="false"/>
          <w:color w:val="1A1A1A"/>
          <w:sz w:val="20"/>
          <w:szCs w:val="20"/>
        </w:rPr>
        <w:t xml:space="preserve"> 현재 현장의 분양가, 주변 실거래, 입주 물량, 청약 결과, 경쟁 현장을 먼저 분석하겠습니다. 분석 결과를 바탕으로 고객이 반응할 광고 질문과 AI 진단리포트 샘플을 제시하겠습니다.</w:t>
      </w:r>
    </w:p>
    <w:p>
      <w:pPr>
        <w:pStyle w:val="Heading2"/>
        <w:keepNext/>
        <w:spacing w:after="140" w:before="300"/>
      </w:pPr>
      <w:r>
        <w:rPr>
          <w:rFonts w:ascii="맑은 고딕" w:cs="맑은 고딕" w:eastAsia="맑은 고딕" w:hAnsi="맑은 고딕"/>
          <w:b/>
          <w:bCs/>
          <w:color w:val="1A1A1A"/>
          <w:sz w:val="23"/>
          <w:szCs w:val="23"/>
        </w:rPr>
        <w:t xml:space="preserve">16.2 우선 진단 항목</w:t>
      </w:r>
    </w:p>
    <w:p>
      <w:pPr>
        <w:keepNext/>
        <w:spacing w:after="90" w:before="220"/>
      </w:pPr>
      <w:r>
        <w:rPr>
          <w:rFonts w:ascii="맑은 고딕" w:cs="맑은 고딕" w:eastAsia="맑은 고딕" w:hAnsi="맑은 고딕"/>
          <w:b/>
          <w:bCs/>
          <w:color w:val="1F3864"/>
          <w:sz w:val="18"/>
          <w:szCs w:val="18"/>
        </w:rPr>
        <w:t xml:space="preserve">[표 16-3] 착수 전 진단 항목</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7838"/>
      </w:tblGrid>
      <w:tr>
        <w:trPr>
          <w:cantSplit/>
          <w:tblHeader/>
        </w:trPr>
        <w:tc>
          <w:tcPr>
            <w:tcW w:type="dxa" w:w="1800"/>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영역</w:t>
            </w:r>
          </w:p>
        </w:tc>
        <w:tc>
          <w:tcPr>
            <w:tcW w:type="dxa" w:w="7838"/>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진단 내용</w:t>
            </w:r>
          </w:p>
        </w:tc>
      </w:tr>
      <w:tr>
        <w:trPr>
          <w:cantSplit/>
          <w:tblHeader w:val="false"/>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가격</w:t>
            </w:r>
          </w:p>
        </w:tc>
        <w:tc>
          <w:tcPr>
            <w:tcW w:type="dxa" w:w="783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현재 분양가와 총취득원가, 주변 실거래·전세·비교단지의 차이</w:t>
            </w:r>
          </w:p>
        </w:tc>
      </w:tr>
      <w:tr>
        <w:trPr>
          <w:cantSplit/>
          <w:tblHeader w:val="false"/>
        </w:trPr>
        <w:tc>
          <w:tcPr>
            <w:tcW w:type="dxa" w:w="180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공급</w:t>
            </w:r>
          </w:p>
        </w:tc>
        <w:tc>
          <w:tcPr>
            <w:tcW w:type="dxa" w:w="7838"/>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입주 물량·미분양·청약 결과·경쟁 현장의 시기와 공급 부담</w:t>
            </w:r>
          </w:p>
        </w:tc>
      </w:tr>
      <w:tr>
        <w:trPr>
          <w:cantSplit/>
          <w:tblHeader w:val="false"/>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수요</w:t>
            </w:r>
          </w:p>
        </w:tc>
        <w:tc>
          <w:tcPr>
            <w:tcW w:type="dxa" w:w="783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상주·근무·방문·이동·주택구매 수요의 실제 생활권</w:t>
            </w:r>
          </w:p>
        </w:tc>
      </w:tr>
      <w:tr>
        <w:trPr>
          <w:cantSplit/>
          <w:tblHeader w:val="false"/>
        </w:trPr>
        <w:tc>
          <w:tcPr>
            <w:tcW w:type="dxa" w:w="180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촉매</w:t>
            </w:r>
          </w:p>
        </w:tc>
        <w:tc>
          <w:tcPr>
            <w:tcW w:type="dxa" w:w="7838"/>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교통·도시계획·공공투자·일자리 프로젝트의 추진 단계와 현장 효과</w:t>
            </w:r>
          </w:p>
        </w:tc>
      </w:tr>
      <w:tr>
        <w:trPr>
          <w:cantSplit/>
          <w:tblHeader w:val="false"/>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설득</w:t>
            </w:r>
          </w:p>
        </w:tc>
        <w:tc>
          <w:tcPr>
            <w:tcW w:type="dxa" w:w="783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고객이 반응할 질문, 가격 설득 논리, 반대근거와 표현 위험</w:t>
            </w:r>
          </w:p>
        </w:tc>
      </w:tr>
      <w:tr>
        <w:trPr>
          <w:cantSplit/>
          <w:tblHeader w:val="false"/>
        </w:trPr>
        <w:tc>
          <w:tcPr>
            <w:tcW w:type="dxa" w:w="180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매체</w:t>
            </w:r>
          </w:p>
        </w:tc>
        <w:tc>
          <w:tcPr>
            <w:tcW w:type="dxa" w:w="7838"/>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적용 가능한 광고 채널과 콘텐츠 구성, 실제 매체 집행 예산</w:t>
            </w:r>
          </w:p>
        </w:tc>
      </w:tr>
      <w:tr>
        <w:trPr>
          <w:cantSplit/>
          <w:tblHeader w:val="false"/>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비용</w:t>
            </w:r>
          </w:p>
        </w:tc>
        <w:tc>
          <w:tcPr>
            <w:tcW w:type="dxa" w:w="783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광고 운영수수료, 별도 콘텐츠 제작비, 계정·잔액 확인 방법</w:t>
            </w:r>
          </w:p>
        </w:tc>
      </w:tr>
      <w:tr>
        <w:trPr>
          <w:cantSplit/>
          <w:tblHeader w:val="false"/>
        </w:trPr>
        <w:tc>
          <w:tcPr>
            <w:tcW w:type="dxa" w:w="180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현장</w:t>
            </w:r>
          </w:p>
        </w:tc>
        <w:tc>
          <w:tcPr>
            <w:tcW w:type="dxa" w:w="7838"/>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DB 배정·연락·상담·방문·계약 관리와 개선 가능한 현장 병목</w:t>
            </w:r>
          </w:p>
        </w:tc>
      </w:tr>
    </w:tbl>
    <w:p>
      <w:pPr>
        <w:spacing w:after="200" w:before="0"/>
      </w:pPr>
    </w:p>
    <w:p>
      <w:pPr>
        <w:pStyle w:val="Heading2"/>
        <w:keepNext/>
        <w:spacing w:after="140" w:before="300"/>
      </w:pPr>
      <w:r>
        <w:rPr>
          <w:rFonts w:ascii="맑은 고딕" w:cs="맑은 고딕" w:eastAsia="맑은 고딕" w:hAnsi="맑은 고딕"/>
          <w:b/>
          <w:bCs/>
          <w:color w:val="1A1A1A"/>
          <w:sz w:val="23"/>
          <w:szCs w:val="23"/>
        </w:rPr>
        <w:t xml:space="preserve">16.3 계약 전 진행 절차</w:t>
      </w:r>
    </w:p>
    <w:p>
      <w:pPr>
        <w:keepNext/>
        <w:spacing w:after="90" w:before="220"/>
      </w:pPr>
      <w:r>
        <w:rPr>
          <w:rFonts w:ascii="맑은 고딕" w:cs="맑은 고딕" w:eastAsia="맑은 고딕" w:hAnsi="맑은 고딕"/>
          <w:b/>
          <w:bCs/>
          <w:color w:val="1F3864"/>
          <w:sz w:val="18"/>
          <w:szCs w:val="18"/>
        </w:rPr>
        <w:t xml:space="preserve">[표 16-4] 계약 전 5단계</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0"/>
        <w:gridCol w:w="3411"/>
        <w:gridCol w:w="5077"/>
      </w:tblGrid>
      <w:tr>
        <w:trPr>
          <w:cantSplit/>
          <w:tblHeader/>
        </w:trPr>
        <w:tc>
          <w:tcPr>
            <w:tcW w:type="dxa" w:w="1150"/>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순서</w:t>
            </w:r>
          </w:p>
        </w:tc>
        <w:tc>
          <w:tcPr>
            <w:tcW w:type="dxa" w:w="3411"/>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의사결정</w:t>
            </w:r>
          </w:p>
        </w:tc>
        <w:tc>
          <w:tcPr>
            <w:tcW w:type="dxa" w:w="5077"/>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필요 자료·결과</w:t>
            </w:r>
          </w:p>
        </w:tc>
      </w:tr>
      <w:tr>
        <w:trPr>
          <w:cantSplit/>
          <w:tblHeader w:val="false"/>
        </w:trPr>
        <w:tc>
          <w:tcPr>
            <w:tcW w:type="dxa" w:w="115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1</w:t>
            </w:r>
          </w:p>
        </w:tc>
        <w:tc>
          <w:tcPr>
            <w:tcW w:type="dxa" w:w="341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비밀유지·자료 제공 범위 합의</w:t>
            </w:r>
          </w:p>
        </w:tc>
        <w:tc>
          <w:tcPr>
            <w:tcW w:type="dxa" w:w="507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NDA, 자료 목록, 담당자 지정</w:t>
            </w:r>
          </w:p>
        </w:tc>
      </w:tr>
      <w:tr>
        <w:trPr>
          <w:cantSplit/>
          <w:tblHeader w:val="false"/>
        </w:trPr>
        <w:tc>
          <w:tcPr>
            <w:tcW w:type="dxa" w:w="115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2</w:t>
            </w:r>
          </w:p>
        </w:tc>
        <w:tc>
          <w:tcPr>
            <w:tcW w:type="dxa" w:w="3411"/>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현장 진단 범위·일정·가격 확정</w:t>
            </w:r>
          </w:p>
        </w:tc>
        <w:tc>
          <w:tcPr>
            <w:tcW w:type="dxa" w:w="5077"/>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현장명·주소·분양조건, 데이터 가용성</w:t>
            </w:r>
          </w:p>
        </w:tc>
      </w:tr>
      <w:tr>
        <w:trPr>
          <w:cantSplit/>
          <w:tblHeader w:val="false"/>
        </w:trPr>
        <w:tc>
          <w:tcPr>
            <w:tcW w:type="dxa" w:w="115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3</w:t>
            </w:r>
          </w:p>
        </w:tc>
        <w:tc>
          <w:tcPr>
            <w:tcW w:type="dxa" w:w="341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광고·업무 운영 기준 확정</w:t>
            </w:r>
          </w:p>
        </w:tc>
        <w:tc>
          <w:tcPr>
            <w:tcW w:type="dxa" w:w="507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예산, 계정, 퍼널 정의, 연락 기준, 개인정보</w:t>
            </w:r>
          </w:p>
        </w:tc>
      </w:tr>
      <w:tr>
        <w:trPr>
          <w:cantSplit/>
          <w:tblHeader w:val="false"/>
        </w:trPr>
        <w:tc>
          <w:tcPr>
            <w:tcW w:type="dxa" w:w="115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4</w:t>
            </w:r>
          </w:p>
        </w:tc>
        <w:tc>
          <w:tcPr>
            <w:tcW w:type="dxa" w:w="3411"/>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별도 제작 범위 확정</w:t>
            </w:r>
          </w:p>
        </w:tc>
        <w:tc>
          <w:tcPr>
            <w:tcW w:type="dxa" w:w="5077"/>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품목·수량·수정·권리·납기</w:t>
            </w:r>
          </w:p>
        </w:tc>
      </w:tr>
      <w:tr>
        <w:trPr>
          <w:cantSplit/>
          <w:tblHeader w:val="false"/>
        </w:trPr>
        <w:tc>
          <w:tcPr>
            <w:tcW w:type="dxa" w:w="115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5</w:t>
            </w:r>
          </w:p>
        </w:tc>
        <w:tc>
          <w:tcPr>
            <w:tcW w:type="dxa" w:w="341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착수 회의 및 기준선 측정</w:t>
            </w:r>
          </w:p>
        </w:tc>
        <w:tc>
          <w:tcPr>
            <w:tcW w:type="dxa" w:w="507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착수계, 운영계획, 검수·보고 체계</w:t>
            </w:r>
          </w:p>
        </w:tc>
      </w:tr>
    </w:tbl>
    <w:p>
      <w:pPr>
        <w:spacing w:after="200" w:before="0"/>
      </w:pPr>
    </w:p>
    <w:p>
      <w:pPr>
        <w:pStyle w:val="Heading2"/>
        <w:keepNext/>
        <w:spacing w:after="140" w:before="300"/>
      </w:pPr>
      <w:r>
        <w:rPr>
          <w:rFonts w:ascii="맑은 고딕" w:cs="맑은 고딕" w:eastAsia="맑은 고딕" w:hAnsi="맑은 고딕"/>
          <w:b/>
          <w:bCs/>
          <w:color w:val="1A1A1A"/>
          <w:sz w:val="23"/>
          <w:szCs w:val="23"/>
        </w:rPr>
        <w:t xml:space="preserve">16.4 맺음말</w:t>
      </w:r>
    </w:p>
    <w:p>
      <w:pPr>
        <w:keepNext w:val="false"/>
        <w:spacing w:after="130" w:before="60" w:line="310"/>
        <w:jc w:val="both"/>
      </w:pPr>
      <w:r>
        <w:rPr>
          <w:rFonts w:ascii="맑은 고딕" w:cs="맑은 고딕" w:eastAsia="맑은 고딕" w:hAnsi="맑은 고딕"/>
          <w:b w:val="false"/>
          <w:bCs w:val="false"/>
          <w:i w:val="false"/>
          <w:iCs w:val="false"/>
          <w:color w:val="1A1A1A"/>
          <w:sz w:val="20"/>
          <w:szCs w:val="20"/>
        </w:rPr>
        <w:t xml:space="preserve">분양광고의 성과는 광고 소재를 교체한다고 만들어지지 않습니다. 고객이 현장을 검토할 근거가 있어야 하고, 그 근거가 광고와 상담에서 일관되게 전달되어야 하며, 유입된 고객이 적시에 관리되어야 합니다. 그리고 시행사는 광고비와 고객 결과를 직접 확인할 수 있어야 합니다.</w:t>
      </w:r>
    </w:p>
    <w:p>
      <w:pPr>
        <w:keepNext w:val="false"/>
        <w:spacing w:after="130" w:before="60" w:line="310"/>
        <w:jc w:val="both"/>
      </w:pPr>
      <w:r>
        <w:rPr>
          <w:rFonts w:ascii="맑은 고딕" w:cs="맑은 고딕" w:eastAsia="맑은 고딕" w:hAnsi="맑은 고딕"/>
          <w:b w:val="false"/>
          <w:bCs w:val="false"/>
          <w:i w:val="false"/>
          <w:iCs w:val="false"/>
          <w:color w:val="1A1A1A"/>
          <w:sz w:val="20"/>
          <w:szCs w:val="20"/>
        </w:rPr>
        <w:t xml:space="preserve">전통적 광고대행의 업무는 광고 집행에서 시작하여 DB 전달에서 종료됩니다. 분양하마의 업무는 현장분석에서 시작하여 계약과 학습을 거쳐 다음 주기의 최적화로 이어집니다.</w:t>
      </w:r>
    </w:p>
    <w:p>
      <w:pPr>
        <w:keepNext w:val="false"/>
        <w:spacing w:after="130" w:before="60" w:line="310"/>
        <w:jc w:val="both"/>
      </w:pPr>
      <w:r>
        <w:rPr>
          <w:rFonts w:ascii="맑은 고딕" w:cs="맑은 고딕" w:eastAsia="맑은 고딕" w:hAnsi="맑은 고딕"/>
          <w:b w:val="false"/>
          <w:bCs w:val="false"/>
          <w:i w:val="false"/>
          <w:iCs w:val="false"/>
          <w:color w:val="1A1A1A"/>
          <w:sz w:val="20"/>
          <w:szCs w:val="20"/>
        </w:rPr>
        <w:t xml:space="preserve">발주처가 계약하는 것은 광고 서비스가 아니라, </w:t>
      </w:r>
      <w:r>
        <w:rPr>
          <w:rFonts w:ascii="맑은 고딕" w:cs="맑은 고딕" w:eastAsia="맑은 고딕" w:hAnsi="맑은 고딕"/>
          <w:b/>
          <w:bCs/>
          <w:i w:val="false"/>
          <w:iCs w:val="false"/>
          <w:color w:val="1A1A1A"/>
          <w:sz w:val="20"/>
          <w:szCs w:val="20"/>
        </w:rPr>
        <w:t xml:space="preserve">열 단계 전체를 하나의 책임으로 운영하는 체계</w:t>
      </w:r>
      <w:r>
        <w:rPr>
          <w:rFonts w:ascii="맑은 고딕" w:cs="맑은 고딕" w:eastAsia="맑은 고딕" w:hAnsi="맑은 고딕"/>
          <w:b w:val="false"/>
          <w:bCs w:val="false"/>
          <w:i w:val="false"/>
          <w:iCs w:val="false"/>
          <w:color w:val="1A1A1A"/>
          <w:sz w:val="20"/>
          <w:szCs w:val="20"/>
        </w:rPr>
        <w:t xml:space="preserve">입니다.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1F3864" w:sz="18"/>
              <w:bottom w:val="none" w:color="FFFFFF" w:sz="0"/>
              <w:right w:val="none" w:color="FFFFFF" w:sz="0"/>
            </w:tcBorders>
            <w:shd w:fill="F0F3F8" w:color="auto" w:val="clear"/>
            <w:tcMar>
              <w:top w:type="dxa" w:w="150"/>
              <w:left w:type="dxa" w:w="220"/>
              <w:bottom w:type="dxa" w:w="150"/>
              <w:right w:type="dxa" w:w="180"/>
            </w:tcMar>
          </w:tcPr>
          <w:p>
            <w:pPr>
              <w:spacing w:after="0" w:before="0" w:line="300"/>
            </w:pPr>
            <w:r>
              <w:rPr>
                <w:rFonts w:ascii="맑은 고딕" w:cs="맑은 고딕" w:eastAsia="맑은 고딕" w:hAnsi="맑은 고딕"/>
                <w:b/>
                <w:bCs/>
                <w:color w:val="1A1A1A"/>
                <w:sz w:val="19"/>
                <w:szCs w:val="19"/>
              </w:rPr>
              <w:t xml:space="preserve">광고비는 투명하게 · 고객관리는 실시간으로 · 콘텐츠는 현장마다 다르게</w:t>
            </w:r>
          </w:p>
        </w:tc>
      </w:tr>
    </w:tbl>
    <w:p>
      <w:pPr>
        <w:spacing w:after="180" w:before="0"/>
      </w:pPr>
    </w:p>
    <w:p>
      <w:pPr>
        <w:pStyle w:val="Heading1"/>
        <w:pageBreakBefore/>
        <w:pBdr>
          <w:bottom w:val="single" w:color="1F3864" w:sz="10" w:space="8"/>
        </w:pBdr>
        <w:spacing w:after="240" w:before="0"/>
      </w:pPr>
      <w:r>
        <w:rPr>
          <w:rFonts w:ascii="맑은 고딕" w:cs="맑은 고딕" w:eastAsia="맑은 고딕" w:hAnsi="맑은 고딕"/>
          <w:b/>
          <w:bCs/>
          <w:color w:val="1F3864"/>
          <w:sz w:val="30"/>
          <w:szCs w:val="30"/>
        </w:rPr>
        <w:t xml:space="preserve">제17장. 부록</w:t>
      </w:r>
    </w:p>
    <w:p>
      <w:pPr>
        <w:pStyle w:val="Heading2"/>
        <w:keepNext/>
        <w:spacing w:after="140" w:before="300"/>
      </w:pPr>
      <w:r>
        <w:rPr>
          <w:rFonts w:ascii="맑은 고딕" w:cs="맑은 고딕" w:eastAsia="맑은 고딕" w:hAnsi="맑은 고딕"/>
          <w:b/>
          <w:bCs/>
          <w:color w:val="1A1A1A"/>
          <w:sz w:val="23"/>
          <w:szCs w:val="23"/>
        </w:rPr>
        <w:t xml:space="preserve">부록 A. 데이터 제공범위와 커버리지 기준</w:t>
      </w:r>
    </w:p>
    <w:p>
      <w:pPr>
        <w:pStyle w:val="Heading3"/>
        <w:keepNext/>
        <w:spacing w:after="110" w:before="240"/>
      </w:pPr>
      <w:r>
        <w:rPr>
          <w:rFonts w:ascii="맑은 고딕" w:cs="맑은 고딕" w:eastAsia="맑은 고딕" w:hAnsi="맑은 고딕"/>
          <w:b/>
          <w:bCs/>
          <w:color w:val="5A5A5A"/>
          <w:sz w:val="20"/>
          <w:szCs w:val="20"/>
        </w:rPr>
        <w:t xml:space="preserve">A.1 커버리지 4분류</w:t>
      </w:r>
    </w:p>
    <w:p>
      <w:pPr>
        <w:keepNext w:val="false"/>
        <w:spacing w:after="130" w:before="60" w:line="310"/>
        <w:jc w:val="both"/>
      </w:pPr>
      <w:r>
        <w:rPr>
          <w:rFonts w:ascii="맑은 고딕" w:cs="맑은 고딕" w:eastAsia="맑은 고딕" w:hAnsi="맑은 고딕"/>
          <w:b w:val="false"/>
          <w:bCs w:val="false"/>
          <w:i w:val="false"/>
          <w:iCs w:val="false"/>
          <w:color w:val="1A1A1A"/>
          <w:sz w:val="20"/>
          <w:szCs w:val="20"/>
        </w:rPr>
        <w:t xml:space="preserve">계약 전 제출하는 커버리지표는 현장별 데이터 항목을 다음 네 가지로 판정합니다.</w:t>
      </w:r>
    </w:p>
    <w:p>
      <w:pPr>
        <w:keepNext/>
        <w:spacing w:after="90" w:before="220"/>
      </w:pPr>
      <w:r>
        <w:rPr>
          <w:rFonts w:ascii="맑은 고딕" w:cs="맑은 고딕" w:eastAsia="맑은 고딕" w:hAnsi="맑은 고딕"/>
          <w:b/>
          <w:bCs/>
          <w:color w:val="1F3864"/>
          <w:sz w:val="18"/>
          <w:szCs w:val="18"/>
        </w:rPr>
        <w:t xml:space="preserve">[표 A-1] 커버리지 판정 구분</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0"/>
        <w:gridCol w:w="4060"/>
        <w:gridCol w:w="4428"/>
      </w:tblGrid>
      <w:tr>
        <w:trPr>
          <w:cantSplit/>
          <w:tblHeader/>
        </w:trPr>
        <w:tc>
          <w:tcPr>
            <w:tcW w:type="dxa" w:w="1150"/>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판정</w:t>
            </w:r>
          </w:p>
        </w:tc>
        <w:tc>
          <w:tcPr>
            <w:tcW w:type="dxa" w:w="4060"/>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의미</w:t>
            </w:r>
          </w:p>
        </w:tc>
        <w:tc>
          <w:tcPr>
            <w:tcW w:type="dxa" w:w="4428"/>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처리</w:t>
            </w:r>
          </w:p>
        </w:tc>
      </w:tr>
      <w:tr>
        <w:trPr>
          <w:cantSplit/>
          <w:tblHeader w:val="false"/>
        </w:trPr>
        <w:tc>
          <w:tcPr>
            <w:tcW w:type="dxa" w:w="115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확보 가능</w:t>
            </w:r>
          </w:p>
        </w:tc>
        <w:tc>
          <w:tcPr>
            <w:tcW w:type="dxa" w:w="40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공식 데이터로 즉시 분석 가능</w:t>
            </w:r>
          </w:p>
        </w:tc>
        <w:tc>
          <w:tcPr>
            <w:tcW w:type="dxa" w:w="442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기본 분석에 포함</w:t>
            </w:r>
          </w:p>
        </w:tc>
      </w:tr>
      <w:tr>
        <w:trPr>
          <w:cantSplit/>
          <w:tblHeader w:val="false"/>
        </w:trPr>
        <w:tc>
          <w:tcPr>
            <w:tcW w:type="dxa" w:w="115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조건부</w:t>
            </w:r>
          </w:p>
        </w:tc>
        <w:tc>
          <w:tcPr>
            <w:tcW w:type="dxa" w:w="406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기관별 공개 수준·권한에 따라 적용</w:t>
            </w:r>
          </w:p>
        </w:tc>
        <w:tc>
          <w:tcPr>
            <w:tcW w:type="dxa" w:w="4428"/>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확인 후 범위 확정</w:t>
            </w:r>
          </w:p>
        </w:tc>
      </w:tr>
      <w:tr>
        <w:trPr>
          <w:cantSplit/>
          <w:tblHeader w:val="false"/>
        </w:trPr>
        <w:tc>
          <w:tcPr>
            <w:tcW w:type="dxa" w:w="115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미확보</w:t>
            </w:r>
          </w:p>
        </w:tc>
        <w:tc>
          <w:tcPr>
            <w:tcW w:type="dxa" w:w="40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현재 이용 불가</w:t>
            </w:r>
          </w:p>
        </w:tc>
        <w:tc>
          <w:tcPr>
            <w:tcW w:type="dxa" w:w="442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해당 판매 주장 제외 또는 분석 재설계</w:t>
            </w:r>
          </w:p>
        </w:tc>
      </w:tr>
      <w:tr>
        <w:trPr>
          <w:cantSplit/>
          <w:tblHeader w:val="false"/>
        </w:trPr>
        <w:tc>
          <w:tcPr>
            <w:tcW w:type="dxa" w:w="115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대체 가능</w:t>
            </w:r>
          </w:p>
        </w:tc>
        <w:tc>
          <w:tcPr>
            <w:tcW w:type="dxa" w:w="406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공공 대체 데이터로 근사 분석 가능</w:t>
            </w:r>
          </w:p>
        </w:tc>
        <w:tc>
          <w:tcPr>
            <w:tcW w:type="dxa" w:w="4428"/>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대체 근거와 한계 표시 후 사용</w:t>
            </w:r>
          </w:p>
        </w:tc>
      </w:tr>
    </w:tbl>
    <w:p>
      <w:pPr>
        <w:spacing w:after="200" w:before="0"/>
      </w:pPr>
    </w:p>
    <w:p>
      <w:pPr>
        <w:pStyle w:val="Heading3"/>
        <w:keepNext/>
        <w:spacing w:after="110" w:before="240"/>
      </w:pPr>
      <w:r>
        <w:rPr>
          <w:rFonts w:ascii="맑은 고딕" w:cs="맑은 고딕" w:eastAsia="맑은 고딕" w:hAnsi="맑은 고딕"/>
          <w:b/>
          <w:bCs/>
          <w:color w:val="5A5A5A"/>
          <w:sz w:val="20"/>
          <w:szCs w:val="20"/>
        </w:rPr>
        <w:t xml:space="preserve">A.2 데이터 분류별 제공범위</w:t>
      </w:r>
    </w:p>
    <w:p>
      <w:pPr>
        <w:keepNext/>
        <w:spacing w:after="90" w:before="220"/>
      </w:pPr>
      <w:r>
        <w:rPr>
          <w:rFonts w:ascii="맑은 고딕" w:cs="맑은 고딕" w:eastAsia="맑은 고딕" w:hAnsi="맑은 고딕"/>
          <w:b/>
          <w:bCs/>
          <w:color w:val="1F3864"/>
          <w:sz w:val="18"/>
          <w:szCs w:val="18"/>
        </w:rPr>
        <w:t xml:space="preserve">[표 A-2] 데이터 구분과 적용 기준</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2"/>
        <w:gridCol w:w="5343"/>
        <w:gridCol w:w="3143"/>
      </w:tblGrid>
      <w:tr>
        <w:trPr>
          <w:cantSplit/>
          <w:tblHeader/>
        </w:trPr>
        <w:tc>
          <w:tcPr>
            <w:tcW w:type="dxa" w:w="1152"/>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구분</w:t>
            </w:r>
          </w:p>
        </w:tc>
        <w:tc>
          <w:tcPr>
            <w:tcW w:type="dxa" w:w="5343"/>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데이터 항목</w:t>
            </w:r>
          </w:p>
        </w:tc>
        <w:tc>
          <w:tcPr>
            <w:tcW w:type="dxa" w:w="3143"/>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적용 기준</w:t>
            </w:r>
          </w:p>
        </w:tc>
      </w:tr>
      <w:tr>
        <w:trPr>
          <w:cantSplit/>
          <w:tblHeader w:val="false"/>
        </w:trPr>
        <w:tc>
          <w:tcPr>
            <w:tcW w:type="dxa" w:w="1152"/>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기본 분석</w:t>
            </w:r>
          </w:p>
        </w:tc>
        <w:tc>
          <w:tcPr>
            <w:tcW w:type="dxa" w:w="534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실거래, 청약, 인구, 가구, 사업체, 공급, 도시계획</w:t>
            </w:r>
          </w:p>
        </w:tc>
        <w:tc>
          <w:tcPr>
            <w:tcW w:type="dxa" w:w="314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공식 데이터 범위와 기준일 확인</w:t>
            </w:r>
          </w:p>
        </w:tc>
      </w:tr>
      <w:tr>
        <w:trPr>
          <w:cantSplit/>
          <w:tblHeader w:val="false"/>
        </w:trPr>
        <w:tc>
          <w:tcPr>
            <w:tcW w:type="dxa" w:w="1152"/>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지역별 분석</w:t>
            </w:r>
          </w:p>
        </w:tc>
        <w:tc>
          <w:tcPr>
            <w:tcW w:type="dxa" w:w="5343"/>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대중교통, 생활권, 상권, 개폐업, 도로</w:t>
            </w:r>
          </w:p>
        </w:tc>
        <w:tc>
          <w:tcPr>
            <w:tcW w:type="dxa" w:w="3143"/>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기관별 공개 수준에 따라 적용</w:t>
            </w:r>
          </w:p>
        </w:tc>
      </w:tr>
      <w:tr>
        <w:trPr>
          <w:cantSplit/>
          <w:tblHeader w:val="false"/>
        </w:trPr>
        <w:tc>
          <w:tcPr>
            <w:tcW w:type="dxa" w:w="1152"/>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별도 협의</w:t>
            </w:r>
          </w:p>
        </w:tc>
        <w:tc>
          <w:tcPr>
            <w:tcW w:type="dxa" w:w="534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모바일 유동인구, 익명 카드소비, 민간 매물</w:t>
            </w:r>
          </w:p>
        </w:tc>
        <w:tc>
          <w:tcPr>
            <w:tcW w:type="dxa" w:w="314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제휴·라이선스·비용 확인</w:t>
            </w:r>
          </w:p>
        </w:tc>
      </w:tr>
      <w:tr>
        <w:trPr>
          <w:cantSplit/>
          <w:tblHeader w:val="false"/>
        </w:trPr>
        <w:tc>
          <w:tcPr>
            <w:tcW w:type="dxa" w:w="1152"/>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대체 분석</w:t>
            </w:r>
          </w:p>
        </w:tc>
        <w:tc>
          <w:tcPr>
            <w:tcW w:type="dxa" w:w="5343"/>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공공 상권, 사업체, 교통, 인구이동, 실거래 기반 대체</w:t>
            </w:r>
          </w:p>
        </w:tc>
        <w:tc>
          <w:tcPr>
            <w:tcW w:type="dxa" w:w="3143"/>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대체 근거와 한계 표시</w:t>
            </w:r>
          </w:p>
        </w:tc>
      </w:tr>
    </w:tbl>
    <w:p>
      <w:pPr>
        <w:spacing w:after="200" w:before="0"/>
      </w:pPr>
    </w:p>
    <w:p>
      <w:pPr>
        <w:pStyle w:val="Heading3"/>
        <w:keepNext/>
        <w:spacing w:after="110" w:before="240"/>
      </w:pPr>
      <w:r>
        <w:rPr>
          <w:rFonts w:ascii="맑은 고딕" w:cs="맑은 고딕" w:eastAsia="맑은 고딕" w:hAnsi="맑은 고딕"/>
          <w:b/>
          <w:bCs/>
          <w:color w:val="5A5A5A"/>
          <w:sz w:val="20"/>
          <w:szCs w:val="20"/>
        </w:rPr>
        <w:t xml:space="preserve">A.3 데이터 적합성 등급</w:t>
      </w:r>
    </w:p>
    <w:p>
      <w:pPr>
        <w:keepNext w:val="false"/>
        <w:spacing w:after="130" w:before="60" w:line="310"/>
        <w:jc w:val="both"/>
      </w:pPr>
      <w:r>
        <w:rPr>
          <w:rFonts w:ascii="맑은 고딕" w:cs="맑은 고딕" w:eastAsia="맑은 고딕" w:hAnsi="맑은 고딕"/>
          <w:b w:val="false"/>
          <w:bCs w:val="false"/>
          <w:i w:val="false"/>
          <w:iCs w:val="false"/>
          <w:color w:val="1A1A1A"/>
          <w:sz w:val="20"/>
          <w:szCs w:val="20"/>
        </w:rPr>
        <w:t xml:space="preserve">5축 평가(5.4.5)의 합산 점수에 따라 등급을 부여하고 사용 범위를 제한합니다.</w:t>
      </w:r>
    </w:p>
    <w:p>
      <w:pPr>
        <w:keepNext/>
        <w:spacing w:after="90" w:before="220"/>
      </w:pPr>
      <w:r>
        <w:rPr>
          <w:rFonts w:ascii="맑은 고딕" w:cs="맑은 고딕" w:eastAsia="맑은 고딕" w:hAnsi="맑은 고딕"/>
          <w:b/>
          <w:bCs/>
          <w:color w:val="1F3864"/>
          <w:sz w:val="18"/>
          <w:szCs w:val="18"/>
        </w:rPr>
        <w:t xml:space="preserve">[표 A-3] 적합성 등급별 사용 범위</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0"/>
        <w:gridCol w:w="4480"/>
        <w:gridCol w:w="4008"/>
      </w:tblGrid>
      <w:tr>
        <w:trPr>
          <w:cantSplit/>
          <w:tblHeader/>
        </w:trPr>
        <w:tc>
          <w:tcPr>
            <w:tcW w:type="dxa" w:w="1150"/>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등급</w:t>
            </w:r>
          </w:p>
        </w:tc>
        <w:tc>
          <w:tcPr>
            <w:tcW w:type="dxa" w:w="4480"/>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해석</w:t>
            </w:r>
          </w:p>
        </w:tc>
        <w:tc>
          <w:tcPr>
            <w:tcW w:type="dxa" w:w="4008"/>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사용 범위</w:t>
            </w:r>
          </w:p>
        </w:tc>
      </w:tr>
      <w:tr>
        <w:trPr>
          <w:cantSplit/>
          <w:tblHeader w:val="false"/>
        </w:trPr>
        <w:tc>
          <w:tcPr>
            <w:tcW w:type="dxa" w:w="115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A</w:t>
            </w:r>
          </w:p>
        </w:tc>
        <w:tc>
          <w:tcPr>
            <w:tcW w:type="dxa" w:w="448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핵심 분석에 직접 사용 가능</w:t>
            </w:r>
          </w:p>
        </w:tc>
        <w:tc>
          <w:tcPr>
            <w:tcW w:type="dxa" w:w="400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수치·모델·고객 설명에 사용</w:t>
            </w:r>
          </w:p>
        </w:tc>
      </w:tr>
      <w:tr>
        <w:trPr>
          <w:cantSplit/>
          <w:tblHeader w:val="false"/>
        </w:trPr>
        <w:tc>
          <w:tcPr>
            <w:tcW w:type="dxa" w:w="115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B</w:t>
            </w:r>
          </w:p>
        </w:tc>
        <w:tc>
          <w:tcPr>
            <w:tcW w:type="dxa" w:w="448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보정 또는 보조근거와 함께 사용</w:t>
            </w:r>
          </w:p>
        </w:tc>
        <w:tc>
          <w:tcPr>
            <w:tcW w:type="dxa" w:w="4008"/>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계산과 해석에 제한적 사용</w:t>
            </w:r>
          </w:p>
        </w:tc>
      </w:tr>
      <w:tr>
        <w:trPr>
          <w:cantSplit/>
          <w:tblHeader w:val="false"/>
        </w:trPr>
        <w:tc>
          <w:tcPr>
            <w:tcW w:type="dxa" w:w="115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C</w:t>
            </w:r>
          </w:p>
        </w:tc>
        <w:tc>
          <w:tcPr>
            <w:tcW w:type="dxa" w:w="448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탐색·가설 생성용</w:t>
            </w:r>
          </w:p>
        </w:tc>
        <w:tc>
          <w:tcPr>
            <w:tcW w:type="dxa" w:w="400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외부 표현 전 추가 검증 필요</w:t>
            </w:r>
          </w:p>
        </w:tc>
      </w:tr>
      <w:tr>
        <w:trPr>
          <w:cantSplit/>
          <w:tblHeader w:val="false"/>
        </w:trPr>
        <w:tc>
          <w:tcPr>
            <w:tcW w:type="dxa" w:w="115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D</w:t>
            </w:r>
          </w:p>
        </w:tc>
        <w:tc>
          <w:tcPr>
            <w:tcW w:type="dxa" w:w="448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치명적 결함 또는 권한 불명</w:t>
            </w:r>
          </w:p>
        </w:tc>
        <w:tc>
          <w:tcPr>
            <w:tcW w:type="dxa" w:w="4008"/>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분석·광고 사용 금지</w:t>
            </w:r>
          </w:p>
        </w:tc>
      </w:tr>
    </w:tbl>
    <w:p>
      <w:pPr>
        <w:spacing w:after="200" w:before="0"/>
      </w:pPr>
    </w:p>
    <w:p>
      <w:pPr>
        <w:pStyle w:val="Heading3"/>
        <w:keepNext/>
        <w:spacing w:after="110" w:before="240"/>
      </w:pPr>
      <w:r>
        <w:rPr>
          <w:rFonts w:ascii="맑은 고딕" w:cs="맑은 고딕" w:eastAsia="맑은 고딕" w:hAnsi="맑은 고딕"/>
          <w:b/>
          <w:bCs/>
          <w:color w:val="5A5A5A"/>
          <w:sz w:val="20"/>
          <w:szCs w:val="20"/>
        </w:rPr>
        <w:t xml:space="preserve">A.4 수집 방식별 통제</w:t>
      </w:r>
    </w:p>
    <w:p>
      <w:pPr>
        <w:keepNext/>
        <w:spacing w:after="90" w:before="220"/>
      </w:pPr>
      <w:r>
        <w:rPr>
          <w:rFonts w:ascii="맑은 고딕" w:cs="맑은 고딕" w:eastAsia="맑은 고딕" w:hAnsi="맑은 고딕"/>
          <w:b/>
          <w:bCs/>
          <w:color w:val="1F3864"/>
          <w:sz w:val="18"/>
          <w:szCs w:val="18"/>
        </w:rPr>
        <w:t xml:space="preserve">[표 A-4] 수집 모드와 통제 항목</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0"/>
        <w:gridCol w:w="4239"/>
        <w:gridCol w:w="4249"/>
      </w:tblGrid>
      <w:tr>
        <w:trPr>
          <w:cantSplit/>
          <w:tblHeader/>
        </w:trPr>
        <w:tc>
          <w:tcPr>
            <w:tcW w:type="dxa" w:w="1150"/>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수집 방식</w:t>
            </w:r>
          </w:p>
        </w:tc>
        <w:tc>
          <w:tcPr>
            <w:tcW w:type="dxa" w:w="4239"/>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설명</w:t>
            </w:r>
          </w:p>
        </w:tc>
        <w:tc>
          <w:tcPr>
            <w:tcW w:type="dxa" w:w="4249"/>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저장·통제 항목</w:t>
            </w:r>
          </w:p>
        </w:tc>
      </w:tr>
      <w:tr>
        <w:trPr>
          <w:cantSplit/>
          <w:tblHeader w:val="false"/>
        </w:trPr>
        <w:tc>
          <w:tcPr>
            <w:tcW w:type="dxa" w:w="115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API</w:t>
            </w:r>
          </w:p>
        </w:tc>
        <w:tc>
          <w:tcPr>
            <w:tcW w:type="dxa" w:w="4239"/>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공식 또는 계약 API로 정형 수집</w:t>
            </w:r>
          </w:p>
        </w:tc>
        <w:tc>
          <w:tcPr>
            <w:tcW w:type="dxa" w:w="4249"/>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키, 호출 한도, 기준일, 응답 원문, 약관</w:t>
            </w:r>
          </w:p>
        </w:tc>
      </w:tr>
      <w:tr>
        <w:trPr>
          <w:cantSplit/>
          <w:tblHeader w:val="false"/>
        </w:trPr>
        <w:tc>
          <w:tcPr>
            <w:tcW w:type="dxa" w:w="115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FILE</w:t>
            </w:r>
          </w:p>
        </w:tc>
        <w:tc>
          <w:tcPr>
            <w:tcW w:type="dxa" w:w="4239"/>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공공데이터·기관·고객사 파일 수령</w:t>
            </w:r>
          </w:p>
        </w:tc>
        <w:tc>
          <w:tcPr>
            <w:tcW w:type="dxa" w:w="4249"/>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파일 해시, 버전, 제공자, 이용 범위</w:t>
            </w:r>
          </w:p>
        </w:tc>
      </w:tr>
      <w:tr>
        <w:trPr>
          <w:cantSplit/>
          <w:tblHeader w:val="false"/>
        </w:trPr>
        <w:tc>
          <w:tcPr>
            <w:tcW w:type="dxa" w:w="115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DOC</w:t>
            </w:r>
          </w:p>
        </w:tc>
        <w:tc>
          <w:tcPr>
            <w:tcW w:type="dxa" w:w="4239"/>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고시·보고서·예산서·평가서·공고 문서</w:t>
            </w:r>
          </w:p>
        </w:tc>
        <w:tc>
          <w:tcPr>
            <w:tcW w:type="dxa" w:w="4249"/>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원문 URL, 페이지, 문단, 발행기관</w:t>
            </w:r>
          </w:p>
        </w:tc>
      </w:tr>
      <w:tr>
        <w:trPr>
          <w:cantSplit/>
          <w:tblHeader w:val="false"/>
        </w:trPr>
        <w:tc>
          <w:tcPr>
            <w:tcW w:type="dxa" w:w="115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LICENSED</w:t>
            </w:r>
          </w:p>
        </w:tc>
        <w:tc>
          <w:tcPr>
            <w:tcW w:type="dxa" w:w="4239"/>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통신·카드·소득 등 민간 라이선스 데이터</w:t>
            </w:r>
          </w:p>
        </w:tc>
        <w:tc>
          <w:tcPr>
            <w:tcW w:type="dxa" w:w="4249"/>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계약기간, 가공·재배포·보관·삭제 조건</w:t>
            </w:r>
          </w:p>
        </w:tc>
      </w:tr>
      <w:tr>
        <w:trPr>
          <w:cantSplit/>
          <w:tblHeader w:val="false"/>
        </w:trPr>
        <w:tc>
          <w:tcPr>
            <w:tcW w:type="dxa" w:w="115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MANUAL</w:t>
            </w:r>
          </w:p>
        </w:tc>
        <w:tc>
          <w:tcPr>
            <w:tcW w:type="dxa" w:w="4239"/>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현장조사·담당자 입력·전화 확인</w:t>
            </w:r>
          </w:p>
        </w:tc>
        <w:tc>
          <w:tcPr>
            <w:tcW w:type="dxa" w:w="4249"/>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입력자, 일시, 증빙, 교차검증, 신뢰등급</w:t>
            </w:r>
          </w:p>
        </w:tc>
      </w:tr>
    </w:tbl>
    <w:p>
      <w:pPr>
        <w:spacing w:after="200" w:before="0"/>
      </w:pPr>
    </w:p>
    <w:p>
      <w:pPr>
        <w:pStyle w:val="Heading3"/>
        <w:keepNext/>
        <w:spacing w:after="110" w:before="240"/>
      </w:pPr>
      <w:r>
        <w:rPr>
          <w:rFonts w:ascii="맑은 고딕" w:cs="맑은 고딕" w:eastAsia="맑은 고딕" w:hAnsi="맑은 고딕"/>
          <w:b/>
          <w:bCs/>
          <w:color w:val="5A5A5A"/>
          <w:sz w:val="20"/>
          <w:szCs w:val="20"/>
        </w:rPr>
        <w:t xml:space="preserve">A.5 수집 경로별 통제 규칙</w:t>
      </w:r>
    </w:p>
    <w:p>
      <w:pPr>
        <w:keepNext w:val="false"/>
        <w:spacing w:after="130" w:before="60" w:line="310"/>
        <w:jc w:val="both"/>
      </w:pPr>
      <w:r>
        <w:rPr>
          <w:rFonts w:ascii="맑은 고딕" w:cs="맑은 고딕" w:eastAsia="맑은 고딕" w:hAnsi="맑은 고딕"/>
          <w:b w:val="false"/>
          <w:bCs w:val="false"/>
          <w:i w:val="false"/>
          <w:iCs w:val="false"/>
          <w:color w:val="1A1A1A"/>
          <w:sz w:val="20"/>
          <w:szCs w:val="20"/>
        </w:rPr>
        <w:t xml:space="preserve">수집 단계에서 적용되는 공통 규칙입니다. 이 규칙들은 분석 품질이 아니라 </w:t>
      </w:r>
      <w:r>
        <w:rPr>
          <w:rFonts w:ascii="맑은 고딕" w:cs="맑은 고딕" w:eastAsia="맑은 고딕" w:hAnsi="맑은 고딕"/>
          <w:b/>
          <w:bCs/>
          <w:i w:val="false"/>
          <w:iCs w:val="false"/>
          <w:color w:val="1A1A1A"/>
          <w:sz w:val="20"/>
          <w:szCs w:val="20"/>
        </w:rPr>
        <w:t xml:space="preserve">재현 가능성과 자격증명 보호</w:t>
      </w:r>
      <w:r>
        <w:rPr>
          <w:rFonts w:ascii="맑은 고딕" w:cs="맑은 고딕" w:eastAsia="맑은 고딕" w:hAnsi="맑은 고딕"/>
          <w:b w:val="false"/>
          <w:bCs w:val="false"/>
          <w:i w:val="false"/>
          <w:iCs w:val="false"/>
          <w:color w:val="1A1A1A"/>
          <w:sz w:val="20"/>
          <w:szCs w:val="20"/>
        </w:rPr>
        <w:t xml:space="preserve">를 위한 것입니다.</w:t>
      </w:r>
    </w:p>
    <w:p>
      <w:pPr>
        <w:keepNext/>
        <w:spacing w:after="90" w:before="220"/>
      </w:pPr>
      <w:r>
        <w:rPr>
          <w:rFonts w:ascii="맑은 고딕" w:cs="맑은 고딕" w:eastAsia="맑은 고딕" w:hAnsi="맑은 고딕"/>
          <w:b/>
          <w:bCs/>
          <w:color w:val="1F3864"/>
          <w:sz w:val="18"/>
          <w:szCs w:val="18"/>
        </w:rPr>
        <w:t xml:space="preserve">[표 A-5] 수집 공통 규칙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7838"/>
      </w:tblGrid>
      <w:tr>
        <w:trPr>
          <w:cantSplit/>
          <w:tblHeader/>
        </w:trPr>
        <w:tc>
          <w:tcPr>
            <w:tcW w:type="dxa" w:w="1800"/>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항목</w:t>
            </w:r>
          </w:p>
        </w:tc>
        <w:tc>
          <w:tcPr>
            <w:tcW w:type="dxa" w:w="7838"/>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규칙</w:t>
            </w:r>
          </w:p>
        </w:tc>
      </w:tr>
      <w:tr>
        <w:trPr>
          <w:cantSplit/>
          <w:tblHeader w:val="false"/>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응답 보관</w:t>
            </w:r>
          </w:p>
        </w:tc>
        <w:tc>
          <w:tcPr>
            <w:tcW w:type="dxa" w:w="783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모든 API 응답을 원문 그대로 캐시에 저장. 동일 요청은 재호출하지 않으며, 네트워크 없이 캐시만으로 재실행하여 </w:t>
            </w:r>
            <w:r>
              <w:rPr>
                <w:rFonts w:ascii="맑은 고딕" w:cs="맑은 고딕" w:eastAsia="맑은 고딕" w:hAnsi="맑은 고딕"/>
                <w:b/>
                <w:bCs/>
                <w:color w:val="1A1A1A"/>
                <w:sz w:val="18"/>
                <w:szCs w:val="18"/>
              </w:rPr>
              <w:t xml:space="preserve">같은 리포트를 재현</w:t>
            </w:r>
            <w:r>
              <w:rPr>
                <w:rFonts w:ascii="맑은 고딕" w:cs="맑은 고딕" w:eastAsia="맑은 고딕" w:hAnsi="맑은 고딕"/>
                <w:color w:val="1A1A1A"/>
                <w:sz w:val="18"/>
                <w:szCs w:val="18"/>
              </w:rPr>
              <w:t xml:space="preserve">할 수 있음</w:t>
            </w:r>
          </w:p>
        </w:tc>
      </w:tr>
      <w:tr>
        <w:trPr>
          <w:cantSplit/>
          <w:tblHeader w:val="false"/>
        </w:trPr>
        <w:tc>
          <w:tcPr>
            <w:tcW w:type="dxa" w:w="180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수집 이력</w:t>
            </w:r>
          </w:p>
        </w:tc>
        <w:tc>
          <w:tcPr>
            <w:tcW w:type="dxa" w:w="7838"/>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출처명·요청 시각·응답 SHA-256 해시를 기록하여 근거원장(5.9.2)의 입력으로 사용</w:t>
            </w:r>
          </w:p>
        </w:tc>
      </w:tr>
      <w:tr>
        <w:trPr>
          <w:cantSplit/>
          <w:tblHeader w:val="false"/>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자격증명</w:t>
            </w:r>
          </w:p>
        </w:tc>
        <w:tc>
          <w:tcPr>
            <w:tcW w:type="dxa" w:w="783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인증키는 이력·산출물 어디에도 기록되지 않음 (마스킹 처리)</w:t>
            </w:r>
          </w:p>
        </w:tc>
      </w:tr>
      <w:tr>
        <w:trPr>
          <w:cantSplit/>
          <w:tblHeader w:val="false"/>
        </w:trPr>
        <w:tc>
          <w:tcPr>
            <w:tcW w:type="dxa" w:w="180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재시도</w:t>
            </w:r>
          </w:p>
        </w:tc>
        <w:tc>
          <w:tcPr>
            <w:tcW w:type="dxa" w:w="7838"/>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네트워크 오류 시 지수 백오프로 재시도하며, 실패 시 해당 레이어만 건너뛰고 '미수집'으로 표기 — 한 레이어의 장애가 전체 분석을 중단시키지 않음</w:t>
            </w:r>
          </w:p>
        </w:tc>
      </w:tr>
      <w:tr>
        <w:trPr>
          <w:cantSplit/>
          <w:tblHeader w:val="false"/>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미래 정보 차단</w:t>
            </w:r>
          </w:p>
        </w:tc>
        <w:tc>
          <w:tcPr>
            <w:tcW w:type="dxa" w:w="783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분석 기준일 이후에 발생한 관측은 수집 단계와 분석 단계 양쪽에서 배제 (5.10.2)</w:t>
            </w:r>
          </w:p>
        </w:tc>
      </w:tr>
    </w:tbl>
    <w:p>
      <w:pPr>
        <w:spacing w:after="200" w:before="0"/>
      </w:pPr>
    </w:p>
    <w:p>
      <w:pPr>
        <w:pStyle w:val="Heading2"/>
        <w:keepNext/>
        <w:spacing w:after="140" w:before="300"/>
      </w:pPr>
      <w:r>
        <w:rPr>
          <w:rFonts w:ascii="맑은 고딕" w:cs="맑은 고딕" w:eastAsia="맑은 고딕" w:hAnsi="맑은 고딕"/>
          <w:b/>
          <w:bCs/>
          <w:color w:val="1A1A1A"/>
          <w:sz w:val="23"/>
          <w:szCs w:val="23"/>
        </w:rPr>
        <w:t xml:space="preserve">부록 B. 현장분석 적용 기준</w:t>
      </w:r>
    </w:p>
    <w:p>
      <w:pPr>
        <w:keepNext/>
        <w:spacing w:after="90" w:before="220"/>
      </w:pPr>
      <w:r>
        <w:rPr>
          <w:rFonts w:ascii="맑은 고딕" w:cs="맑은 고딕" w:eastAsia="맑은 고딕" w:hAnsi="맑은 고딕"/>
          <w:b/>
          <w:bCs/>
          <w:color w:val="1F3864"/>
          <w:sz w:val="18"/>
          <w:szCs w:val="18"/>
        </w:rPr>
        <w:t xml:space="preserve">[표 B-1] 영역별 분석 프레임과 주의사항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05"/>
        <w:gridCol w:w="4162"/>
        <w:gridCol w:w="4271"/>
      </w:tblGrid>
      <w:tr>
        <w:trPr>
          <w:cantSplit/>
          <w:tblHeader/>
        </w:trPr>
        <w:tc>
          <w:tcPr>
            <w:tcW w:type="dxa" w:w="1205"/>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영역</w:t>
            </w:r>
          </w:p>
        </w:tc>
        <w:tc>
          <w:tcPr>
            <w:tcW w:type="dxa" w:w="4162"/>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기본 프레임</w:t>
            </w:r>
          </w:p>
        </w:tc>
        <w:tc>
          <w:tcPr>
            <w:tcW w:type="dxa" w:w="4271"/>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주의사항</w:t>
            </w:r>
          </w:p>
        </w:tc>
      </w:tr>
      <w:tr>
        <w:trPr>
          <w:cantSplit/>
          <w:tblHeader w:val="false"/>
        </w:trPr>
        <w:tc>
          <w:tcPr>
            <w:tcW w:type="dxa" w:w="1205"/>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공간</w:t>
            </w:r>
          </w:p>
        </w:tc>
        <w:tc>
          <w:tcPr>
            <w:tcW w:type="dxa" w:w="4162"/>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500m·1km·3km 및 실제 이동시간</w:t>
            </w:r>
          </w:p>
        </w:tc>
        <w:tc>
          <w:tcPr>
            <w:tcW w:type="dxa" w:w="427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지형·도로·데이터 해상도에 따라 조정</w:t>
            </w:r>
          </w:p>
        </w:tc>
      </w:tr>
      <w:tr>
        <w:trPr>
          <w:cantSplit/>
          <w:tblHeader w:val="false"/>
        </w:trPr>
        <w:tc>
          <w:tcPr>
            <w:tcW w:type="dxa" w:w="1205"/>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시계열</w:t>
            </w:r>
          </w:p>
        </w:tc>
        <w:tc>
          <w:tcPr>
            <w:tcW w:type="dxa" w:w="4162"/>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인구·일자리·소비·거래·공급의 다년 변화</w:t>
            </w:r>
          </w:p>
        </w:tc>
        <w:tc>
          <w:tcPr>
            <w:tcW w:type="dxa" w:w="4271"/>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일시 효과와 구조적 변화 구분</w:t>
            </w:r>
          </w:p>
        </w:tc>
      </w:tr>
      <w:tr>
        <w:trPr>
          <w:cantSplit/>
          <w:tblHeader w:val="false"/>
        </w:trPr>
        <w:tc>
          <w:tcPr>
            <w:tcW w:type="dxa" w:w="1205"/>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가격</w:t>
            </w:r>
          </w:p>
        </w:tc>
        <w:tc>
          <w:tcPr>
            <w:tcW w:type="dxa" w:w="4162"/>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총취득원가·비교단지·거래량·취소거래</w:t>
            </w:r>
          </w:p>
        </w:tc>
        <w:tc>
          <w:tcPr>
            <w:tcW w:type="dxa" w:w="427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호가와 이상 고가거래 분리</w:t>
            </w:r>
          </w:p>
        </w:tc>
      </w:tr>
      <w:tr>
        <w:trPr>
          <w:cantSplit/>
          <w:tblHeader w:val="false"/>
        </w:trPr>
        <w:tc>
          <w:tcPr>
            <w:tcW w:type="dxa" w:w="1205"/>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공급</w:t>
            </w:r>
          </w:p>
        </w:tc>
        <w:tc>
          <w:tcPr>
            <w:tcW w:type="dxa" w:w="4162"/>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계획·인허가·착공·입주 단계</w:t>
            </w:r>
          </w:p>
        </w:tc>
        <w:tc>
          <w:tcPr>
            <w:tcW w:type="dxa" w:w="4271"/>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실현 가능성과 시차 반영 (확률조정 공급)</w:t>
            </w:r>
          </w:p>
        </w:tc>
      </w:tr>
      <w:tr>
        <w:trPr>
          <w:cantSplit/>
          <w:tblHeader w:val="false"/>
        </w:trPr>
        <w:tc>
          <w:tcPr>
            <w:tcW w:type="dxa" w:w="1205"/>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개발계획</w:t>
            </w:r>
          </w:p>
        </w:tc>
        <w:tc>
          <w:tcPr>
            <w:tcW w:type="dxa" w:w="4162"/>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공식성·예산·사업주체·착공·반대근거</w:t>
            </w:r>
          </w:p>
        </w:tc>
        <w:tc>
          <w:tcPr>
            <w:tcW w:type="dxa" w:w="427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기준일 이후 변경 가능성 명시</w:t>
            </w:r>
          </w:p>
        </w:tc>
      </w:tr>
      <w:tr>
        <w:trPr>
          <w:cantSplit/>
          <w:tblHeader w:val="false"/>
        </w:trPr>
        <w:tc>
          <w:tcPr>
            <w:tcW w:type="dxa" w:w="1205"/>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민간 데이터</w:t>
            </w:r>
          </w:p>
        </w:tc>
        <w:tc>
          <w:tcPr>
            <w:tcW w:type="dxa" w:w="4162"/>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유동인구·카드소비·민간 매물</w:t>
            </w:r>
          </w:p>
        </w:tc>
        <w:tc>
          <w:tcPr>
            <w:tcW w:type="dxa" w:w="4271"/>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권한·라이선스·비용 확인 후 적용</w:t>
            </w:r>
          </w:p>
        </w:tc>
      </w:tr>
    </w:tbl>
    <w:p>
      <w:pPr>
        <w:spacing w:after="200" w:before="0"/>
      </w:pPr>
    </w:p>
    <w:p>
      <w:pPr>
        <w:keepNext w:val="false"/>
        <w:spacing w:after="130" w:before="60" w:line="310"/>
        <w:jc w:val="both"/>
      </w:pPr>
      <w:r>
        <w:rPr>
          <w:rFonts w:ascii="맑은 고딕" w:cs="맑은 고딕" w:eastAsia="맑은 고딕" w:hAnsi="맑은 고딕"/>
          <w:b w:val="false"/>
          <w:bCs w:val="false"/>
          <w:i w:val="false"/>
          <w:iCs w:val="false"/>
          <w:color w:val="1A1A1A"/>
          <w:sz w:val="20"/>
          <w:szCs w:val="20"/>
        </w:rPr>
        <w:t xml:space="preserve">공통 원칙: 확정 사실·계산·해석·예측·한계를 분리하고(5.9.1), 원문 링크와 산출 방식을 기록합니다(5.9.2).</w:t>
      </w:r>
    </w:p>
    <w:p>
      <w:pPr>
        <w:pStyle w:val="Heading2"/>
        <w:keepNext/>
        <w:spacing w:after="140" w:before="300"/>
      </w:pPr>
      <w:r>
        <w:rPr>
          <w:rFonts w:ascii="맑은 고딕" w:cs="맑은 고딕" w:eastAsia="맑은 고딕" w:hAnsi="맑은 고딕"/>
          <w:b/>
          <w:bCs/>
          <w:color w:val="1A1A1A"/>
          <w:sz w:val="23"/>
          <w:szCs w:val="23"/>
        </w:rPr>
        <w:t xml:space="preserve">부록 C. 주요 근거자료 및 출처</w:t>
      </w:r>
    </w:p>
    <w:p>
      <w:pPr>
        <w:keepNext w:val="false"/>
        <w:spacing w:after="130" w:before="60" w:line="310"/>
        <w:jc w:val="both"/>
      </w:pPr>
      <w:r>
        <w:rPr>
          <w:rFonts w:ascii="맑은 고딕" w:cs="맑은 고딕" w:eastAsia="맑은 고딕" w:hAnsi="맑은 고딕"/>
          <w:b/>
          <w:bCs/>
          <w:i w:val="false"/>
          <w:iCs w:val="false"/>
          <w:color w:val="1A1A1A"/>
          <w:sz w:val="20"/>
          <w:szCs w:val="20"/>
        </w:rPr>
        <w:t xml:space="preserve">확인 기준일: 2026년 7월 25일.</w:t>
      </w:r>
      <w:r>
        <w:rPr>
          <w:rFonts w:ascii="맑은 고딕" w:cs="맑은 고딕" w:eastAsia="맑은 고딕" w:hAnsi="맑은 고딕"/>
          <w:b w:val="false"/>
          <w:bCs w:val="false"/>
          <w:i w:val="false"/>
          <w:iCs w:val="false"/>
          <w:color w:val="1A1A1A"/>
          <w:sz w:val="20"/>
          <w:szCs w:val="20"/>
        </w:rPr>
        <w:t xml:space="preserve"> 실제 현장 제안 시 데이터 제공범위·이용조건·업데이트 여부를 다시 확인합니다.</w:t>
      </w:r>
    </w:p>
    <w:p>
      <w:pPr>
        <w:pStyle w:val="Heading3"/>
        <w:keepNext/>
        <w:spacing w:after="110" w:before="240"/>
      </w:pPr>
      <w:r>
        <w:rPr>
          <w:rFonts w:ascii="맑은 고딕" w:cs="맑은 고딕" w:eastAsia="맑은 고딕" w:hAnsi="맑은 고딕"/>
          <w:b/>
          <w:bCs/>
          <w:color w:val="5A5A5A"/>
          <w:sz w:val="20"/>
          <w:szCs w:val="20"/>
        </w:rPr>
        <w:t xml:space="preserve">C.1 공공·부동산 데이터</w:t>
      </w:r>
    </w:p>
    <w:p>
      <w:pPr>
        <w:keepNext/>
        <w:spacing w:after="90" w:before="220"/>
      </w:pPr>
      <w:r>
        <w:rPr>
          <w:rFonts w:ascii="맑은 고딕" w:cs="맑은 고딕" w:eastAsia="맑은 고딕" w:hAnsi="맑은 고딕"/>
          <w:b/>
          <w:bCs/>
          <w:color w:val="1F3864"/>
          <w:sz w:val="18"/>
          <w:szCs w:val="18"/>
        </w:rPr>
        <w:t xml:space="preserve">[표 C-1] 핵심 공공 데이터</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0"/>
        <w:gridCol w:w="2972"/>
        <w:gridCol w:w="5516"/>
      </w:tblGrid>
      <w:tr>
        <w:trPr>
          <w:cantSplit/>
          <w:tblHeader/>
        </w:trPr>
        <w:tc>
          <w:tcPr>
            <w:tcW w:type="dxa" w:w="1150"/>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코드</w:t>
            </w:r>
          </w:p>
        </w:tc>
        <w:tc>
          <w:tcPr>
            <w:tcW w:type="dxa" w:w="2972"/>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자료</w:t>
            </w:r>
          </w:p>
        </w:tc>
        <w:tc>
          <w:tcPr>
            <w:tcW w:type="dxa" w:w="5516"/>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활용 목적</w:t>
            </w:r>
          </w:p>
        </w:tc>
      </w:tr>
      <w:tr>
        <w:trPr>
          <w:cantSplit/>
          <w:tblHeader w:val="false"/>
        </w:trPr>
        <w:tc>
          <w:tcPr>
            <w:tcW w:type="dxa" w:w="115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E01</w:t>
            </w:r>
          </w:p>
        </w:tc>
        <w:tc>
          <w:tcPr>
            <w:tcW w:type="dxa" w:w="2972"/>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국토교통부 실거래가 OpenAPI</w:t>
            </w:r>
          </w:p>
        </w:tc>
        <w:tc>
          <w:tcPr>
            <w:tcW w:type="dxa" w:w="551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실거래 기반 가격·거래량 분석 (L11)</w:t>
            </w:r>
          </w:p>
        </w:tc>
      </w:tr>
      <w:tr>
        <w:trPr>
          <w:cantSplit/>
          <w:tblHeader w:val="false"/>
        </w:trPr>
        <w:tc>
          <w:tcPr>
            <w:tcW w:type="dxa" w:w="115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E02</w:t>
            </w:r>
          </w:p>
        </w:tc>
        <w:tc>
          <w:tcPr>
            <w:tcW w:type="dxa" w:w="2972"/>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한국부동산원 청약홈 OpenAPI</w:t>
            </w:r>
          </w:p>
        </w:tc>
        <w:tc>
          <w:tcPr>
            <w:tcW w:type="dxa" w:w="5516"/>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청약 경쟁률·수요 분석 (L12)</w:t>
            </w:r>
          </w:p>
        </w:tc>
      </w:tr>
      <w:tr>
        <w:trPr>
          <w:cantSplit/>
          <w:tblHeader w:val="false"/>
        </w:trPr>
        <w:tc>
          <w:tcPr>
            <w:tcW w:type="dxa" w:w="115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E03</w:t>
            </w:r>
          </w:p>
        </w:tc>
        <w:tc>
          <w:tcPr>
            <w:tcW w:type="dxa" w:w="2972"/>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한국부동산원 R-ONE</w:t>
            </w:r>
          </w:p>
        </w:tc>
        <w:tc>
          <w:tcPr>
            <w:tcW w:type="dxa" w:w="551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가격 지수·시장 통계 (L11)</w:t>
            </w:r>
          </w:p>
        </w:tc>
      </w:tr>
      <w:tr>
        <w:trPr>
          <w:cantSplit/>
          <w:tblHeader w:val="false"/>
        </w:trPr>
        <w:tc>
          <w:tcPr>
            <w:tcW w:type="dxa" w:w="115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E04</w:t>
            </w:r>
          </w:p>
        </w:tc>
        <w:tc>
          <w:tcPr>
            <w:tcW w:type="dxa" w:w="2972"/>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SGIS 생활권역 통계지도</w:t>
            </w:r>
          </w:p>
        </w:tc>
        <w:tc>
          <w:tcPr>
            <w:tcW w:type="dxa" w:w="5516"/>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시간·거리 기반 생활권 설계 (5.4.1)</w:t>
            </w:r>
          </w:p>
        </w:tc>
      </w:tr>
      <w:tr>
        <w:trPr>
          <w:cantSplit/>
          <w:tblHeader w:val="false"/>
        </w:trPr>
        <w:tc>
          <w:tcPr>
            <w:tcW w:type="dxa" w:w="115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E05</w:t>
            </w:r>
          </w:p>
        </w:tc>
        <w:tc>
          <w:tcPr>
            <w:tcW w:type="dxa" w:w="2972"/>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SGIS OpenAPI 및 이용약관</w:t>
            </w:r>
          </w:p>
        </w:tc>
        <w:tc>
          <w:tcPr>
            <w:tcW w:type="dxa" w:w="551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격자·집계구 인구·가구·사업체 공간통계 (L1·L2·L4)</w:t>
            </w:r>
          </w:p>
        </w:tc>
      </w:tr>
      <w:tr>
        <w:trPr>
          <w:cantSplit/>
          <w:tblHeader w:val="false"/>
        </w:trPr>
        <w:tc>
          <w:tcPr>
            <w:tcW w:type="dxa" w:w="115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E06</w:t>
            </w:r>
          </w:p>
        </w:tc>
        <w:tc>
          <w:tcPr>
            <w:tcW w:type="dxa" w:w="2972"/>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KDI 공공투자관리센터</w:t>
            </w:r>
          </w:p>
        </w:tc>
        <w:tc>
          <w:tcPr>
            <w:tcW w:type="dxa" w:w="5516"/>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예비타당성·타당성 자료 (성숙도 검증, 5.6)</w:t>
            </w:r>
          </w:p>
        </w:tc>
      </w:tr>
    </w:tbl>
    <w:p>
      <w:pPr>
        <w:spacing w:after="200" w:before="0"/>
      </w:pPr>
    </w:p>
    <w:p>
      <w:pPr>
        <w:pStyle w:val="Heading3"/>
        <w:keepNext/>
        <w:spacing w:after="110" w:before="240"/>
      </w:pPr>
      <w:r>
        <w:rPr>
          <w:rFonts w:ascii="맑은 고딕" w:cs="맑은 고딕" w:eastAsia="맑은 고딕" w:hAnsi="맑은 고딕"/>
          <w:b/>
          <w:bCs/>
          <w:color w:val="5A5A5A"/>
          <w:sz w:val="20"/>
          <w:szCs w:val="20"/>
        </w:rPr>
        <w:t xml:space="preserve">C.2 플랫폼·법적 검토</w:t>
      </w:r>
    </w:p>
    <w:p>
      <w:pPr>
        <w:keepNext/>
        <w:spacing w:after="90" w:before="220"/>
      </w:pPr>
      <w:r>
        <w:rPr>
          <w:rFonts w:ascii="맑은 고딕" w:cs="맑은 고딕" w:eastAsia="맑은 고딕" w:hAnsi="맑은 고딕"/>
          <w:b/>
          <w:bCs/>
          <w:color w:val="1F3864"/>
          <w:sz w:val="18"/>
          <w:szCs w:val="18"/>
        </w:rPr>
        <w:t xml:space="preserve">[표 C-2] 플랫폼·법령 자료</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0"/>
        <w:gridCol w:w="3659"/>
        <w:gridCol w:w="4829"/>
      </w:tblGrid>
      <w:tr>
        <w:trPr>
          <w:cantSplit/>
          <w:tblHeader/>
        </w:trPr>
        <w:tc>
          <w:tcPr>
            <w:tcW w:type="dxa" w:w="1150"/>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코드</w:t>
            </w:r>
          </w:p>
        </w:tc>
        <w:tc>
          <w:tcPr>
            <w:tcW w:type="dxa" w:w="3659"/>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자료</w:t>
            </w:r>
          </w:p>
        </w:tc>
        <w:tc>
          <w:tcPr>
            <w:tcW w:type="dxa" w:w="4829"/>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활용 목적</w:t>
            </w:r>
          </w:p>
        </w:tc>
      </w:tr>
      <w:tr>
        <w:trPr>
          <w:cantSplit/>
          <w:tblHeader w:val="false"/>
        </w:trPr>
        <w:tc>
          <w:tcPr>
            <w:tcW w:type="dxa" w:w="115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E07</w:t>
            </w:r>
          </w:p>
        </w:tc>
        <w:tc>
          <w:tcPr>
            <w:tcW w:type="dxa" w:w="3659"/>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토지이음 도시계획·고시정보</w:t>
            </w:r>
          </w:p>
        </w:tc>
        <w:tc>
          <w:tcPr>
            <w:tcW w:type="dxa" w:w="4829"/>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도시계획·용도 관련 법정 고시 확인 (L15)</w:t>
            </w:r>
          </w:p>
        </w:tc>
      </w:tr>
      <w:tr>
        <w:trPr>
          <w:cantSplit/>
          <w:tblHeader w:val="false"/>
        </w:trPr>
        <w:tc>
          <w:tcPr>
            <w:tcW w:type="dxa" w:w="115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E08</w:t>
            </w:r>
          </w:p>
        </w:tc>
        <w:tc>
          <w:tcPr>
            <w:tcW w:type="dxa" w:w="3659"/>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Google Ads 심층전환 가이드</w:t>
            </w:r>
          </w:p>
        </w:tc>
        <w:tc>
          <w:tcPr>
            <w:tcW w:type="dxa" w:w="4829"/>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전환 추적·최적화 설계 (제8장)</w:t>
            </w:r>
          </w:p>
        </w:tc>
      </w:tr>
      <w:tr>
        <w:trPr>
          <w:cantSplit/>
          <w:tblHeader w:val="false"/>
        </w:trPr>
        <w:tc>
          <w:tcPr>
            <w:tcW w:type="dxa" w:w="115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E09</w:t>
            </w:r>
          </w:p>
        </w:tc>
        <w:tc>
          <w:tcPr>
            <w:tcW w:type="dxa" w:w="3659"/>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Google Ads Qualified Lead 안내</w:t>
            </w:r>
          </w:p>
        </w:tc>
        <w:tc>
          <w:tcPr>
            <w:tcW w:type="dxa" w:w="4829"/>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유효 리드 기준 설계 (10.2)</w:t>
            </w:r>
          </w:p>
        </w:tc>
      </w:tr>
      <w:tr>
        <w:trPr>
          <w:cantSplit/>
          <w:tblHeader w:val="false"/>
        </w:trPr>
        <w:tc>
          <w:tcPr>
            <w:tcW w:type="dxa" w:w="115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E10</w:t>
            </w:r>
          </w:p>
        </w:tc>
        <w:tc>
          <w:tcPr>
            <w:tcW w:type="dxa" w:w="3659"/>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개인정보 보호법 제15조·제17조</w:t>
            </w:r>
          </w:p>
        </w:tc>
        <w:tc>
          <w:tcPr>
            <w:tcW w:type="dxa" w:w="4829"/>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수집·이용·제3자 제공 기준 (14.4)</w:t>
            </w:r>
          </w:p>
        </w:tc>
      </w:tr>
      <w:tr>
        <w:trPr>
          <w:cantSplit/>
          <w:tblHeader w:val="false"/>
        </w:trPr>
        <w:tc>
          <w:tcPr>
            <w:tcW w:type="dxa" w:w="115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E11</w:t>
            </w:r>
          </w:p>
        </w:tc>
        <w:tc>
          <w:tcPr>
            <w:tcW w:type="dxa" w:w="3659"/>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공정거래위원회 표시·광고 사례</w:t>
            </w:r>
          </w:p>
        </w:tc>
        <w:tc>
          <w:tcPr>
            <w:tcW w:type="dxa" w:w="4829"/>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광고 표현 등급·검수 기준 (14.5)</w:t>
            </w:r>
          </w:p>
        </w:tc>
      </w:tr>
    </w:tbl>
    <w:p>
      <w:pPr>
        <w:spacing w:after="200" w:before="0"/>
      </w:pPr>
    </w:p>
    <w:p>
      <w:pPr>
        <w:pStyle w:val="Heading3"/>
        <w:keepNext/>
        <w:spacing w:after="110" w:before="240"/>
      </w:pPr>
      <w:r>
        <w:rPr>
          <w:rFonts w:ascii="맑은 고딕" w:cs="맑은 고딕" w:eastAsia="맑은 고딕" w:hAnsi="맑은 고딕"/>
          <w:b/>
          <w:bCs/>
          <w:color w:val="5A5A5A"/>
          <w:sz w:val="20"/>
          <w:szCs w:val="20"/>
        </w:rPr>
        <w:t xml:space="preserve">C.3 보조 활용 자료</w:t>
      </w:r>
    </w:p>
    <w:p>
      <w:pPr>
        <w:keepNext w:val="false"/>
        <w:spacing w:after="130" w:before="60" w:line="310"/>
        <w:jc w:val="both"/>
      </w:pPr>
      <w:r>
        <w:rPr>
          <w:rFonts w:ascii="맑은 고딕" w:cs="맑은 고딕" w:eastAsia="맑은 고딕" w:hAnsi="맑은 고딕"/>
          <w:b w:val="false"/>
          <w:bCs w:val="false"/>
          <w:i w:val="false"/>
          <w:iCs w:val="false"/>
          <w:color w:val="1A1A1A"/>
          <w:sz w:val="20"/>
          <w:szCs w:val="20"/>
        </w:rPr>
        <w:t xml:space="preserve">공공데이터포털(공공 API·파일), 소상공인시장진흥공단 상권정보(L9), KTDB 국가교통DB(L7·L8), 열린재정·지방재정365(L14 예산·집행), 환경영향평가정보지원시스템(L14), 나라장터(L14 발주·계약), 국가철도공단(L14), 국가법령정보센터.</w:t>
      </w:r>
    </w:p>
    <w:p>
      <w:pPr>
        <w:pStyle w:val="Heading3"/>
        <w:keepNext/>
        <w:spacing w:after="110" w:before="240"/>
      </w:pPr>
      <w:r>
        <w:rPr>
          <w:rFonts w:ascii="맑은 고딕" w:cs="맑은 고딕" w:eastAsia="맑은 고딕" w:hAnsi="맑은 고딕"/>
          <w:b/>
          <w:bCs/>
          <w:color w:val="5A5A5A"/>
          <w:sz w:val="20"/>
          <w:szCs w:val="20"/>
        </w:rPr>
        <w:t xml:space="preserve">C.4 출처 사용상 주의</w:t>
      </w:r>
    </w:p>
    <w:p>
      <w:pPr>
        <w:keepNext/>
        <w:spacing w:after="90" w:before="220"/>
      </w:pPr>
      <w:r>
        <w:rPr>
          <w:rFonts w:ascii="맑은 고딕" w:cs="맑은 고딕" w:eastAsia="맑은 고딕" w:hAnsi="맑은 고딕"/>
          <w:b/>
          <w:bCs/>
          <w:color w:val="1F3864"/>
          <w:sz w:val="18"/>
          <w:szCs w:val="18"/>
        </w:rPr>
        <w:t xml:space="preserve">[표 C-3] 자료 사용 원칙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blHeader/>
        </w:trPr>
        <w:tc>
          <w:tcPr>
            <w:tcW w:type="dxa" w:w="9638"/>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원칙</w:t>
            </w:r>
          </w:p>
        </w:tc>
      </w:tr>
      <w:tr>
        <w:trPr>
          <w:cantSplit/>
          <w:tblHeader w:val="false"/>
        </w:trPr>
        <w:tc>
          <w:tcPr>
            <w:tcW w:type="dxa" w:w="963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공공·민간 자료의 제공 항목, 갱신 주기, 이용약관은 변경될 수 있으므로 실제 착수일에 다시 확인한다</w:t>
            </w:r>
          </w:p>
        </w:tc>
      </w:tr>
      <w:tr>
        <w:trPr>
          <w:cantSplit/>
          <w:tblHeader w:val="false"/>
        </w:trPr>
        <w:tc>
          <w:tcPr>
            <w:tcW w:type="dxa" w:w="9638"/>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공식 자료라도 분석 목적과 공간·시간 단위가 맞지 않으면 보조 근거로만 사용한다</w:t>
            </w:r>
          </w:p>
        </w:tc>
      </w:tr>
      <w:tr>
        <w:trPr>
          <w:cantSplit/>
          <w:tblHeader w:val="false"/>
        </w:trPr>
        <w:tc>
          <w:tcPr>
            <w:tcW w:type="dxa" w:w="963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유료 민간 데이터는 계약 당사자, 사용 기간, 가공·공개·재배포, 파기 조건을 별도 확인한다</w:t>
            </w:r>
          </w:p>
        </w:tc>
      </w:tr>
      <w:tr>
        <w:trPr>
          <w:cantSplit/>
          <w:tblHeader w:val="false"/>
        </w:trPr>
        <w:tc>
          <w:tcPr>
            <w:tcW w:type="dxa" w:w="9638"/>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정부계획은 최신 원문과 후속 예산·계약·보상·착공을 함께 확인하며, 보도자료만으로 확정하지 않는다</w:t>
            </w:r>
          </w:p>
        </w:tc>
      </w:tr>
      <w:tr>
        <w:trPr>
          <w:cantSplit/>
          <w:tblHeader w:val="false"/>
        </w:trPr>
        <w:tc>
          <w:tcPr>
            <w:tcW w:type="dxa" w:w="963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법률·개인정보·광고 표현에 관한 최종 판단은 기준일 현재 시행사 담당 부서 또는 전문가 검토를 거친다</w:t>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1F3864" w:sz="18"/>
              <w:bottom w:val="none" w:color="FFFFFF" w:sz="0"/>
              <w:right w:val="none" w:color="FFFFFF" w:sz="0"/>
            </w:tcBorders>
            <w:shd w:fill="F0F3F8" w:color="auto" w:val="clear"/>
            <w:tcMar>
              <w:top w:type="dxa" w:w="150"/>
              <w:left w:type="dxa" w:w="220"/>
              <w:bottom w:type="dxa" w:w="150"/>
              <w:right w:type="dxa" w:w="180"/>
            </w:tcMar>
          </w:tcPr>
          <w:p>
            <w:pPr>
              <w:spacing w:after="0" w:before="0" w:line="300"/>
            </w:pPr>
            <w:r>
              <w:rPr>
                <w:rFonts w:ascii="맑은 고딕" w:cs="맑은 고딕" w:eastAsia="맑은 고딕" w:hAnsi="맑은 고딕"/>
                <w:b/>
                <w:bCs/>
                <w:color w:val="1A1A1A"/>
                <w:sz w:val="19"/>
                <w:szCs w:val="19"/>
              </w:rPr>
              <w:t xml:space="preserve">최종 원칙.</w:t>
            </w:r>
            <w:r>
              <w:rPr>
                <w:rFonts w:ascii="맑은 고딕" w:cs="맑은 고딕" w:eastAsia="맑은 고딕" w:hAnsi="맑은 고딕"/>
                <w:color w:val="1A1A1A"/>
                <w:sz w:val="19"/>
                <w:szCs w:val="19"/>
              </w:rPr>
              <w:t xml:space="preserve"> 공식 데이터는 현상을 보여주고, 공간분석은 현장과의 관련성을 확인하며, 가격모델은 가능한 범위와 불확실성을 계산합니다.</w:t>
            </w:r>
          </w:p>
        </w:tc>
      </w:tr>
    </w:tbl>
    <w:p>
      <w:pPr>
        <w:spacing w:after="180" w:before="0"/>
      </w:pPr>
    </w:p>
    <w:p>
      <w:pPr>
        <w:pStyle w:val="Heading2"/>
        <w:keepNext/>
        <w:spacing w:after="140" w:before="300"/>
      </w:pPr>
      <w:r>
        <w:rPr>
          <w:rFonts w:ascii="맑은 고딕" w:cs="맑은 고딕" w:eastAsia="맑은 고딕" w:hAnsi="맑은 고딕"/>
          <w:b/>
          <w:bCs/>
          <w:color w:val="1A1A1A"/>
          <w:sz w:val="23"/>
          <w:szCs w:val="23"/>
        </w:rPr>
        <w:t xml:space="preserve">부록 D. 용어 정의</w:t>
      </w:r>
    </w:p>
    <w:p>
      <w:pPr>
        <w:keepNext/>
        <w:spacing w:after="90" w:before="220"/>
      </w:pPr>
      <w:r>
        <w:rPr>
          <w:rFonts w:ascii="맑은 고딕" w:cs="맑은 고딕" w:eastAsia="맑은 고딕" w:hAnsi="맑은 고딕"/>
          <w:b/>
          <w:bCs/>
          <w:color w:val="1F3864"/>
          <w:sz w:val="18"/>
          <w:szCs w:val="18"/>
        </w:rPr>
        <w:t xml:space="preserve">[표 D-1] 주요 용어</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3"/>
        <w:gridCol w:w="7745"/>
      </w:tblGrid>
      <w:tr>
        <w:trPr>
          <w:cantSplit/>
          <w:tblHeader/>
        </w:trPr>
        <w:tc>
          <w:tcPr>
            <w:tcW w:type="dxa" w:w="1893"/>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용어</w:t>
            </w:r>
          </w:p>
        </w:tc>
        <w:tc>
          <w:tcPr>
            <w:tcW w:type="dxa" w:w="7745"/>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본 문서에서의 정의</w:t>
            </w:r>
          </w:p>
        </w:tc>
      </w:tr>
      <w:tr>
        <w:trPr>
          <w:cantSplit/>
          <w:tblHeader w:val="false"/>
        </w:trPr>
        <w:tc>
          <w:tcPr>
            <w:tcW w:type="dxa" w:w="189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AI 현장가치 분석</w:t>
            </w:r>
          </w:p>
        </w:tc>
        <w:tc>
          <w:tcPr>
            <w:tcW w:type="dxa" w:w="7745"/>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공식·허용 데이터와 공간·가격 모델로 현장의 현재 위치, 수요·공급, 위험, 조건부 미래를 구조화하는 분석</w:t>
            </w:r>
          </w:p>
        </w:tc>
      </w:tr>
      <w:tr>
        <w:trPr>
          <w:cantSplit/>
          <w:tblHeader w:val="false"/>
        </w:trPr>
        <w:tc>
          <w:tcPr>
            <w:tcW w:type="dxa" w:w="1893"/>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GEO 현장 정보 허브</w:t>
            </w:r>
          </w:p>
        </w:tc>
        <w:tc>
          <w:tcPr>
            <w:tcW w:type="dxa" w:w="7745"/>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검색엔진과 생성형 AI가 현장 정보를 이해·인용하기 쉽도록 질문·답변·근거·구조화 데이터를 갖춘 정보 허브</w:t>
            </w:r>
          </w:p>
        </w:tc>
      </w:tr>
      <w:tr>
        <w:trPr>
          <w:cantSplit/>
          <w:tblHeader w:val="false"/>
        </w:trPr>
        <w:tc>
          <w:tcPr>
            <w:tcW w:type="dxa" w:w="189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유효 DB</w:t>
            </w:r>
          </w:p>
        </w:tc>
        <w:tc>
          <w:tcPr>
            <w:tcW w:type="dxa" w:w="7745"/>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연락 가능성·중복·관심도 등 계약 시 합의한 기준을 충족한 상담 DB</w:t>
            </w:r>
          </w:p>
        </w:tc>
      </w:tr>
      <w:tr>
        <w:trPr>
          <w:cantSplit/>
          <w:tblHeader w:val="false"/>
        </w:trPr>
        <w:tc>
          <w:tcPr>
            <w:tcW w:type="dxa" w:w="1893"/>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총취득원가</w:t>
            </w:r>
          </w:p>
        </w:tc>
        <w:tc>
          <w:tcPr>
            <w:tcW w:type="dxa" w:w="7745"/>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분양가에 옵션·발코니·세금·금융·필수 비용을 더한 고객의 실제 부담액</w:t>
            </w:r>
          </w:p>
        </w:tc>
      </w:tr>
      <w:tr>
        <w:trPr>
          <w:cantSplit/>
          <w:tblHeader w:val="false"/>
        </w:trPr>
        <w:tc>
          <w:tcPr>
            <w:tcW w:type="dxa" w:w="189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품질조정 가격</w:t>
            </w:r>
          </w:p>
        </w:tc>
        <w:tc>
          <w:tcPr>
            <w:tcW w:type="dxa" w:w="7745"/>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비교단지와의 연식·입지·규모·상품·시점 차이를 조정한 비교 가능 가격</w:t>
            </w:r>
          </w:p>
        </w:tc>
      </w:tr>
      <w:tr>
        <w:trPr>
          <w:cantSplit/>
          <w:tblHeader w:val="false"/>
        </w:trPr>
        <w:tc>
          <w:tcPr>
            <w:tcW w:type="dxa" w:w="1893"/>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촉매</w:t>
            </w:r>
          </w:p>
        </w:tc>
        <w:tc>
          <w:tcPr>
            <w:tcW w:type="dxa" w:w="7745"/>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교통·도시계획·공공투자·일자리·생활환경 변화처럼 현장가치에 영향을 줄 수 있는 사건</w:t>
            </w:r>
          </w:p>
        </w:tc>
      </w:tr>
      <w:tr>
        <w:trPr>
          <w:cantSplit/>
          <w:tblHeader w:val="false"/>
        </w:trPr>
        <w:tc>
          <w:tcPr>
            <w:tcW w:type="dxa" w:w="189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성숙도</w:t>
            </w:r>
          </w:p>
        </w:tc>
        <w:tc>
          <w:tcPr>
            <w:tcW w:type="dxa" w:w="7745"/>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개발 사업의 진행 단계(검토→고시→예산→계약·보상→착공→개통)를 공식 원문으로 판정한 등급</w:t>
            </w:r>
          </w:p>
        </w:tc>
      </w:tr>
      <w:tr>
        <w:trPr>
          <w:cantSplit/>
          <w:tblHeader w:val="false"/>
        </w:trPr>
        <w:tc>
          <w:tcPr>
            <w:tcW w:type="dxa" w:w="1893"/>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확률조정 공급</w:t>
            </w:r>
          </w:p>
        </w:tc>
        <w:tc>
          <w:tcPr>
            <w:tcW w:type="dxa" w:w="7745"/>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각 공급 물량에 단계별 실현 가능성을 반영하여 집계한 경쟁 공급량</w:t>
            </w:r>
          </w:p>
        </w:tc>
      </w:tr>
      <w:tr>
        <w:trPr>
          <w:cantSplit/>
          <w:tblHeader w:val="false"/>
        </w:trPr>
        <w:tc>
          <w:tcPr>
            <w:tcW w:type="dxa" w:w="189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근거원장</w:t>
            </w:r>
          </w:p>
        </w:tc>
        <w:tc>
          <w:tcPr>
            <w:tcW w:type="dxa" w:w="7745"/>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주장·출처·기준일·공간 범위·계산·한계·사용 가능성을 기록하는 추적 체계</w:t>
            </w:r>
          </w:p>
        </w:tc>
      </w:tr>
      <w:tr>
        <w:trPr>
          <w:cantSplit/>
          <w:tblHeader w:val="false"/>
        </w:trPr>
        <w:tc>
          <w:tcPr>
            <w:tcW w:type="dxa" w:w="1893"/>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실집행금액</w:t>
            </w:r>
          </w:p>
        </w:tc>
        <w:tc>
          <w:tcPr>
            <w:tcW w:type="dxa" w:w="7745"/>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운영수수료와 제작비를 제외하고 실제 광고 매체에 지출된 금액</w:t>
            </w:r>
          </w:p>
        </w:tc>
      </w:tr>
      <w:tr>
        <w:trPr>
          <w:cantSplit/>
          <w:tblHeader w:val="false"/>
        </w:trPr>
        <w:tc>
          <w:tcPr>
            <w:tcW w:type="dxa" w:w="189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전환</w:t>
            </w:r>
          </w:p>
        </w:tc>
        <w:tc>
          <w:tcPr>
            <w:tcW w:type="dxa" w:w="7745"/>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광고 노출 이후 상담 신청→연결→방문 예약→실방문→계약 검토→계약으로의 상태 변화</w:t>
            </w:r>
          </w:p>
        </w:tc>
      </w:tr>
      <w:tr>
        <w:trPr>
          <w:cantSplit/>
          <w:tblHeader w:val="false"/>
        </w:trPr>
        <w:tc>
          <w:tcPr>
            <w:tcW w:type="dxa" w:w="1893"/>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고감도</w:t>
            </w:r>
          </w:p>
        </w:tc>
        <w:tc>
          <w:tcPr>
            <w:tcW w:type="dxa" w:w="7745"/>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방문 또는 구체 조건 검토 가능성이 높다고 판정된 고객 상태</w:t>
            </w:r>
          </w:p>
        </w:tc>
      </w:tr>
      <w:tr>
        <w:trPr>
          <w:cantSplit/>
          <w:tblHeader w:val="false"/>
        </w:trPr>
        <w:tc>
          <w:tcPr>
            <w:tcW w:type="dxa" w:w="189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폐쇄형 학습구조</w:t>
            </w:r>
          </w:p>
        </w:tc>
        <w:tc>
          <w:tcPr>
            <w:tcW w:type="dxa" w:w="7745"/>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광고→유입→상담→방문→계약→원인 분석→개선이 순환하며 지식이 축적되는 운영 구조</w:t>
            </w:r>
          </w:p>
        </w:tc>
      </w:tr>
      <w:tr>
        <w:trPr>
          <w:cantSplit/>
          <w:tblHeader w:val="false"/>
        </w:trPr>
        <w:tc>
          <w:tcPr>
            <w:tcW w:type="dxa" w:w="1893"/>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메시지맵</w:t>
            </w:r>
          </w:p>
        </w:tc>
        <w:tc>
          <w:tcPr>
            <w:tcW w:type="dxa" w:w="7745"/>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고객 유형·질문·근거·표현등급의 대응표. 광고·허브·상담의 공통 기준 문서</w:t>
            </w:r>
          </w:p>
        </w:tc>
      </w:tr>
      <w:tr>
        <w:trPr>
          <w:cantSplit/>
          <w:tblHeader w:val="false"/>
        </w:trPr>
        <w:tc>
          <w:tcPr>
            <w:tcW w:type="dxa" w:w="189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근거카드</w:t>
            </w:r>
          </w:p>
        </w:tc>
        <w:tc>
          <w:tcPr>
            <w:tcW w:type="dxa" w:w="7745"/>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결론·근거·산출·반대·영업 사용 지침을 하나로 묶은 검증 단위</w:t>
            </w:r>
          </w:p>
        </w:tc>
      </w:tr>
      <w:tr>
        <w:trPr>
          <w:cantSplit/>
          <w:tblHeader w:val="false"/>
        </w:trPr>
        <w:tc>
          <w:tcPr>
            <w:tcW w:type="dxa" w:w="1893"/>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촉매카드</w:t>
            </w:r>
          </w:p>
        </w:tc>
        <w:tc>
          <w:tcPr>
            <w:tcW w:type="dxa" w:w="7745"/>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개발 사업의 공식 단계·예산·현장 관련성·반대근거·사용 가능 문장을 정리한 고객용 자료</w:t>
            </w:r>
          </w:p>
        </w:tc>
      </w:tr>
      <w:tr>
        <w:trPr>
          <w:cantSplit/>
          <w:tblHeader w:val="false"/>
        </w:trPr>
        <w:tc>
          <w:tcPr>
            <w:tcW w:type="dxa" w:w="189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청약 수요 전망</w:t>
            </w:r>
          </w:p>
        </w:tc>
        <w:tc>
          <w:tcPr>
            <w:tcW w:type="dxa" w:w="7745"/>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예상 청약경쟁률을 타입별 구간과 미달 위험 등급으로 제시하는 전망 모듈 (부록 E.1)</w:t>
            </w:r>
          </w:p>
        </w:tc>
      </w:tr>
      <w:tr>
        <w:trPr>
          <w:cantSplit/>
          <w:tblHeader w:val="false"/>
        </w:trPr>
        <w:tc>
          <w:tcPr>
            <w:tcW w:type="dxa" w:w="1893"/>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구간 적중률</w:t>
            </w:r>
          </w:p>
        </w:tc>
        <w:tc>
          <w:tcPr>
            <w:tcW w:type="dxa" w:w="7745"/>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예측 구간이 사후 실적을 포함한 비율. 예측 신뢰성의 상시 관리 지표 (부록 E.2)</w:t>
            </w:r>
          </w:p>
        </w:tc>
      </w:tr>
      <w:tr>
        <w:trPr>
          <w:cantSplit/>
          <w:tblHeader w:val="false"/>
        </w:trPr>
        <w:tc>
          <w:tcPr>
            <w:tcW w:type="dxa" w:w="189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예측 이력 장부</w:t>
            </w:r>
          </w:p>
        </w:tc>
        <w:tc>
          <w:tcPr>
            <w:tcW w:type="dxa" w:w="7745"/>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모든 전망 산출을 발행 시점에 봉인 저장하고 실적과 대조하는 검증 기록 (부록 E.3)</w:t>
            </w:r>
          </w:p>
        </w:tc>
      </w:tr>
      <w:tr>
        <w:trPr>
          <w:cantSplit/>
          <w:tblHeader w:val="false"/>
        </w:trPr>
        <w:tc>
          <w:tcPr>
            <w:tcW w:type="dxa" w:w="1893"/>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전세가율</w:t>
            </w:r>
          </w:p>
        </w:tc>
        <w:tc>
          <w:tcPr>
            <w:tcW w:type="dxa" w:w="7745"/>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전세 ㎡단가를 매매 ㎡단가로 나눈 비율. 가격 하락 시의 완충 두께로 해석 (5.5)</w:t>
            </w:r>
          </w:p>
        </w:tc>
      </w:tr>
      <w:tr>
        <w:trPr>
          <w:cantSplit/>
          <w:tblHeader w:val="false"/>
        </w:trPr>
        <w:tc>
          <w:tcPr>
            <w:tcW w:type="dxa" w:w="189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분양가 전세 충당율</w:t>
            </w:r>
          </w:p>
        </w:tc>
        <w:tc>
          <w:tcPr>
            <w:tcW w:type="dxa" w:w="7745"/>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총취득원가 중 전세보증금으로 회수 가능한 비율 (5.5)</w:t>
            </w:r>
          </w:p>
        </w:tc>
      </w:tr>
      <w:tr>
        <w:trPr>
          <w:cantSplit/>
          <w:tblHeader w:val="false"/>
        </w:trPr>
        <w:tc>
          <w:tcPr>
            <w:tcW w:type="dxa" w:w="1893"/>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조정계수</w:t>
            </w:r>
          </w:p>
        </w:tc>
        <w:tc>
          <w:tcPr>
            <w:tcW w:type="dxa" w:w="7745"/>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비교 거래를 연식·층·거래시점 차이만큼 보정하는 비율. 실거래 회귀로 추정하되 검증 통과 시에만 교체 (5.4.6)</w:t>
            </w:r>
          </w:p>
        </w:tc>
      </w:tr>
      <w:tr>
        <w:trPr>
          <w:cantSplit/>
          <w:tblHeader w:val="false"/>
        </w:trPr>
        <w:tc>
          <w:tcPr>
            <w:tcW w:type="dxa" w:w="189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홀드아웃 검증</w:t>
            </w:r>
          </w:p>
        </w:tc>
        <w:tc>
          <w:tcPr>
            <w:tcW w:type="dxa" w:w="7745"/>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앞 기간으로 추정한 계수를 뒤 기간에 적용해 실제로 개선되는지 확인하는 절차 (5.4.6)</w:t>
            </w:r>
          </w:p>
        </w:tc>
      </w:tr>
      <w:tr>
        <w:trPr>
          <w:cantSplit/>
          <w:tblHeader w:val="false"/>
        </w:trPr>
        <w:tc>
          <w:tcPr>
            <w:tcW w:type="dxa" w:w="1893"/>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분양가 결정 시뮬레이션</w:t>
            </w:r>
          </w:p>
        </w:tc>
        <w:tc>
          <w:tcPr>
            <w:tcW w:type="dxa" w:w="7745"/>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후보 가격대별로 밴드 위치·수요·청약·미달 위험을 산출하고 규칙에 따라 권고하는 모듈 (5.5)</w:t>
            </w:r>
          </w:p>
        </w:tc>
      </w:tr>
      <w:tr>
        <w:trPr>
          <w:cantSplit/>
          <w:tblHeader w:val="false"/>
        </w:trPr>
        <w:tc>
          <w:tcPr>
            <w:tcW w:type="dxa" w:w="189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미산출</w:t>
            </w:r>
          </w:p>
        </w:tc>
        <w:tc>
          <w:tcPr>
            <w:tcW w:type="dxa" w:w="7745"/>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표본이 최소 기준에 미달하여 수치를 제시하지 않은 상태. 0이나 공란과 구분하여 표기 (5.4.5)</w:t>
            </w:r>
          </w:p>
        </w:tc>
      </w:tr>
    </w:tbl>
    <w:p>
      <w:pPr>
        <w:spacing w:after="200" w:before="0"/>
      </w:pPr>
    </w:p>
    <w:p>
      <w:pPr>
        <w:pStyle w:val="Heading2"/>
        <w:keepNext/>
        <w:spacing w:after="140" w:before="300"/>
      </w:pPr>
      <w:r>
        <w:rPr>
          <w:rFonts w:ascii="맑은 고딕" w:cs="맑은 고딕" w:eastAsia="맑은 고딕" w:hAnsi="맑은 고딕"/>
          <w:b/>
          <w:bCs/>
          <w:color w:val="1A1A1A"/>
          <w:sz w:val="23"/>
          <w:szCs w:val="23"/>
        </w:rPr>
        <w:t xml:space="preserve">부록 E. 예측 검증 체계 (Forecast Governance)</w:t>
      </w:r>
    </w:p>
    <w:p>
      <w:pPr>
        <w:keepNext w:val="false"/>
        <w:spacing w:after="130" w:before="60" w:line="310"/>
        <w:jc w:val="both"/>
      </w:pPr>
      <w:r>
        <w:rPr>
          <w:rFonts w:ascii="맑은 고딕" w:cs="맑은 고딕" w:eastAsia="맑은 고딕" w:hAnsi="맑은 고딕"/>
          <w:b w:val="false"/>
          <w:bCs w:val="false"/>
          <w:i w:val="false"/>
          <w:iCs w:val="false"/>
          <w:color w:val="1A1A1A"/>
          <w:sz w:val="20"/>
          <w:szCs w:val="20"/>
        </w:rPr>
        <w:t xml:space="preserve">본 부록은 제5장의 전망 산출물(가격 시나리오, 청약 수요 전망)이 "검증 가능한 예측"이 되기 위한 기술 명세와 관리 절차를 정의합니다. 원칙은 하나입니다 — </w:t>
      </w:r>
      <w:r>
        <w:rPr>
          <w:rFonts w:ascii="맑은 고딕" w:cs="맑은 고딕" w:eastAsia="맑은 고딕" w:hAnsi="맑은 고딕"/>
          <w:b/>
          <w:bCs/>
          <w:i w:val="false"/>
          <w:iCs w:val="false"/>
          <w:color w:val="1A1A1A"/>
          <w:sz w:val="20"/>
          <w:szCs w:val="20"/>
        </w:rPr>
        <w:t xml:space="preserve">당사의 전망은 발행 후 수정되지 않고, 실적과 대조되어, 그 성적이 발주처에 공개됩니다.</w:t>
      </w:r>
    </w:p>
    <w:p>
      <w:pPr>
        <w:pStyle w:val="Heading3"/>
        <w:keepNext/>
        <w:spacing w:after="110" w:before="240"/>
      </w:pPr>
      <w:r>
        <w:rPr>
          <w:rFonts w:ascii="맑은 고딕" w:cs="맑은 고딕" w:eastAsia="맑은 고딕" w:hAnsi="맑은 고딕"/>
          <w:b/>
          <w:bCs/>
          <w:color w:val="5A5A5A"/>
          <w:sz w:val="20"/>
          <w:szCs w:val="20"/>
        </w:rPr>
        <w:t xml:space="preserve">E.1 청약 수요 전망 모듈 기술 명세</w:t>
      </w:r>
    </w:p>
    <w:p>
      <w:pPr>
        <w:keepNext/>
        <w:spacing w:after="90" w:before="220"/>
      </w:pPr>
      <w:r>
        <w:rPr>
          <w:rFonts w:ascii="맑은 고딕" w:cs="맑은 고딕" w:eastAsia="맑은 고딕" w:hAnsi="맑은 고딕"/>
          <w:b/>
          <w:bCs/>
          <w:color w:val="1F3864"/>
          <w:sz w:val="18"/>
          <w:szCs w:val="18"/>
        </w:rPr>
        <w:t xml:space="preserve">[표 E-1] 모듈 구성 명세</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7838"/>
      </w:tblGrid>
      <w:tr>
        <w:trPr>
          <w:cantSplit/>
          <w:tblHeader/>
        </w:trPr>
        <w:tc>
          <w:tcPr>
            <w:tcW w:type="dxa" w:w="1800"/>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구성</w:t>
            </w:r>
          </w:p>
        </w:tc>
        <w:tc>
          <w:tcPr>
            <w:tcW w:type="dxa" w:w="7838"/>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명세</w:t>
            </w:r>
          </w:p>
        </w:tc>
      </w:tr>
      <w:tr>
        <w:trPr>
          <w:cantSplit/>
          <w:tblHeader w:val="false"/>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학습 데이터</w:t>
            </w:r>
          </w:p>
        </w:tc>
        <w:tc>
          <w:tcPr>
            <w:tcW w:type="dxa" w:w="783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시장권 청약 이력(청약홈 공개 데이터): 타입별 경쟁률, 순위 내 마감 여부, 미달, 가점 커트라인, 무순위 전환 이력</w:t>
            </w:r>
          </w:p>
        </w:tc>
      </w:tr>
      <w:tr>
        <w:trPr>
          <w:cantSplit/>
          <w:tblHeader w:val="false"/>
        </w:trPr>
        <w:tc>
          <w:tcPr>
            <w:tcW w:type="dxa" w:w="180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입력 피처</w:t>
            </w:r>
          </w:p>
        </w:tc>
        <w:tc>
          <w:tcPr>
            <w:tcW w:type="dxa" w:w="7838"/>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품질조정 가격 갭(분양가 대비 주변 시세, 5.5), 동시 분양·입주 파이프라인(L13), 수요 기반(C1·C2), 미분양 재고·소진 속도(L12), 청약 제도(규제지역·전매·가점제 비중), 세대수·타입 구성, 브랜드 등급</w:t>
            </w:r>
          </w:p>
        </w:tc>
      </w:tr>
      <w:tr>
        <w:trPr>
          <w:cantSplit/>
          <w:tblHeader w:val="false"/>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산출</w:t>
            </w:r>
          </w:p>
        </w:tc>
        <w:tc>
          <w:tcPr>
            <w:tcW w:type="dxa" w:w="783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전체·타입별 예상 경쟁률 구간, 미달 위험 등급, 결과를 좌우하는 상위 민감 변수</w:t>
            </w:r>
          </w:p>
        </w:tc>
      </w:tr>
      <w:tr>
        <w:trPr>
          <w:cantSplit/>
          <w:tblHeader w:val="false"/>
        </w:trPr>
        <w:tc>
          <w:tcPr>
            <w:tcW w:type="dxa" w:w="180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저장</w:t>
            </w:r>
          </w:p>
        </w:tc>
        <w:tc>
          <w:tcPr>
            <w:tcW w:type="dxa" w:w="7838"/>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전망 레코드(현장, 타입, 예측 구간, 미달 위험, 모델 버전, 입력 데이터 기준일, 발행 시점)를 예측 이력 장부(E.3)에 봉인</w:t>
            </w:r>
          </w:p>
        </w:tc>
      </w:tr>
      <w:tr>
        <w:trPr>
          <w:cantSplit/>
          <w:tblHeader w:val="false"/>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검증</w:t>
            </w:r>
          </w:p>
        </w:tc>
        <w:tc>
          <w:tcPr>
            <w:tcW w:type="dxa" w:w="783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시점 분리 백테스트(미래 정보 누출 방지, 5.4.2) 및 실적 확정 후 자동 대조</w:t>
            </w:r>
          </w:p>
        </w:tc>
      </w:tr>
      <w:tr>
        <w:trPr>
          <w:cantSplit/>
          <w:tblHeader w:val="false"/>
        </w:trPr>
        <w:tc>
          <w:tcPr>
            <w:tcW w:type="dxa" w:w="180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표현 통제</w:t>
            </w:r>
          </w:p>
        </w:tc>
        <w:tc>
          <w:tcPr>
            <w:tcW w:type="dxa" w:w="7838"/>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FORECAST 등급 고정(5.9.1). 조건·범위 없이 단일 수치로 광고·상담에 사용 금지</w:t>
            </w:r>
          </w:p>
        </w:tc>
      </w:tr>
    </w:tbl>
    <w:p>
      <w:pPr>
        <w:spacing w:after="200" w:before="0"/>
      </w:pPr>
    </w:p>
    <w:p>
      <w:pPr>
        <w:pStyle w:val="Heading3"/>
        <w:keepNext/>
        <w:spacing w:after="110" w:before="240"/>
      </w:pPr>
      <w:r>
        <w:rPr>
          <w:rFonts w:ascii="맑은 고딕" w:cs="맑은 고딕" w:eastAsia="맑은 고딕" w:hAnsi="맑은 고딕"/>
          <w:b/>
          <w:bCs/>
          <w:color w:val="5A5A5A"/>
          <w:sz w:val="20"/>
          <w:szCs w:val="20"/>
        </w:rPr>
        <w:t xml:space="preserve">E.2 예측 구간의 적중률 관리</w:t>
      </w:r>
    </w:p>
    <w:p>
      <w:pPr>
        <w:keepNext w:val="false"/>
        <w:spacing w:after="130" w:before="60" w:line="310"/>
        <w:jc w:val="both"/>
      </w:pPr>
      <w:r>
        <w:rPr>
          <w:rFonts w:ascii="맑은 고딕" w:cs="맑은 고딕" w:eastAsia="맑은 고딕" w:hAnsi="맑은 고딕"/>
          <w:b w:val="false"/>
          <w:bCs w:val="false"/>
          <w:i w:val="false"/>
          <w:iCs w:val="false"/>
          <w:color w:val="1A1A1A"/>
          <w:sz w:val="20"/>
          <w:szCs w:val="20"/>
        </w:rPr>
        <w:t xml:space="preserve">구간 예측은 산출 방식이 고정되고 사후 성적이 측정될 때만 의미를 갖습니다.</w:t>
      </w:r>
    </w:p>
    <w:p>
      <w:pPr>
        <w:keepNext/>
        <w:spacing w:after="90" w:before="220"/>
      </w:pPr>
      <w:r>
        <w:rPr>
          <w:rFonts w:ascii="맑은 고딕" w:cs="맑은 고딕" w:eastAsia="맑은 고딕" w:hAnsi="맑은 고딕"/>
          <w:b/>
          <w:bCs/>
          <w:color w:val="1F3864"/>
          <w:sz w:val="18"/>
          <w:szCs w:val="18"/>
        </w:rPr>
        <w:t xml:space="preserve">[표 E-2] 적중률 관리 기준</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23"/>
        <w:gridCol w:w="7815"/>
      </w:tblGrid>
      <w:tr>
        <w:trPr>
          <w:cantSplit/>
          <w:tblHeader/>
        </w:trPr>
        <w:tc>
          <w:tcPr>
            <w:tcW w:type="dxa" w:w="1823"/>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항목</w:t>
            </w:r>
          </w:p>
        </w:tc>
        <w:tc>
          <w:tcPr>
            <w:tcW w:type="dxa" w:w="7815"/>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기준</w:t>
            </w:r>
          </w:p>
        </w:tc>
      </w:tr>
      <w:tr>
        <w:trPr>
          <w:cantSplit/>
          <w:tblHeader w:val="false"/>
        </w:trPr>
        <w:tc>
          <w:tcPr>
            <w:tcW w:type="dxa" w:w="182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구간 산출 방식</w:t>
            </w:r>
          </w:p>
        </w:tc>
        <w:tc>
          <w:tcPr>
            <w:tcW w:type="dxa" w:w="7815"/>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모델별로 단일 방식을 문서로 고정하며, 방식 변경 시 버전과 변경 사유를 기록</w:t>
            </w:r>
          </w:p>
        </w:tc>
      </w:tr>
      <w:tr>
        <w:trPr>
          <w:cantSplit/>
          <w:tblHeader w:val="false"/>
        </w:trPr>
        <w:tc>
          <w:tcPr>
            <w:tcW w:type="dxa" w:w="1823"/>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적중률(Coverage) 정의</w:t>
            </w:r>
          </w:p>
        </w:tc>
        <w:tc>
          <w:tcPr>
            <w:tcW w:type="dxa" w:w="7815"/>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신뢰수준 X%로 발행한 구간이 사후 실적을 포함한 비율. 목표: 명목 수준과의 정합 (예: 80% 구간은 사후적으로 약 80%를 포함해야 함)</w:t>
            </w:r>
          </w:p>
        </w:tc>
      </w:tr>
      <w:tr>
        <w:trPr>
          <w:cantSplit/>
          <w:tblHeader w:val="false"/>
        </w:trPr>
        <w:tc>
          <w:tcPr>
            <w:tcW w:type="dxa" w:w="182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산출 주기</w:t>
            </w:r>
          </w:p>
        </w:tc>
        <w:tc>
          <w:tcPr>
            <w:tcW w:type="dxa" w:w="7815"/>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실적 확정 건 누적 기준으로 분기별 산출, 연 단위 총괄</w:t>
            </w:r>
          </w:p>
        </w:tc>
      </w:tr>
      <w:tr>
        <w:trPr>
          <w:cantSplit/>
          <w:tblHeader w:val="false"/>
        </w:trPr>
        <w:tc>
          <w:tcPr>
            <w:tcW w:type="dxa" w:w="1823"/>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기준 미달 시 조치</w:t>
            </w:r>
          </w:p>
        </w:tc>
        <w:tc>
          <w:tcPr>
            <w:tcW w:type="dxa" w:w="7815"/>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① 구간 폭 재보정 ② 해당 세그먼트의 수치 제시 중단 및 정성 등급 전환(5.4.5) ③ 원인 분석 후 모델 재검토</w:t>
            </w:r>
          </w:p>
        </w:tc>
      </w:tr>
      <w:tr>
        <w:trPr>
          <w:cantSplit/>
          <w:tblHeader w:val="false"/>
        </w:trPr>
        <w:tc>
          <w:tcPr>
            <w:tcW w:type="dxa" w:w="182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보고</w:t>
            </w:r>
          </w:p>
        </w:tc>
        <w:tc>
          <w:tcPr>
            <w:tcW w:type="dxa" w:w="7815"/>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적중률 성적표를 현장 진단리포트의 모델 검증 면에 병기</w:t>
            </w:r>
          </w:p>
        </w:tc>
      </w:tr>
    </w:tbl>
    <w:p>
      <w:pPr>
        <w:spacing w:after="200" w:before="0"/>
      </w:pPr>
    </w:p>
    <w:p>
      <w:pPr>
        <w:pStyle w:val="Heading3"/>
        <w:keepNext/>
        <w:spacing w:after="110" w:before="240"/>
      </w:pPr>
      <w:r>
        <w:rPr>
          <w:rFonts w:ascii="맑은 고딕" w:cs="맑은 고딕" w:eastAsia="맑은 고딕" w:hAnsi="맑은 고딕"/>
          <w:b/>
          <w:bCs/>
          <w:color w:val="5A5A5A"/>
          <w:sz w:val="20"/>
          <w:szCs w:val="20"/>
        </w:rPr>
        <w:t xml:space="preserve">E.3 예측 이력 장부</w:t>
      </w:r>
    </w:p>
    <w:p>
      <w:pPr>
        <w:keepNext/>
        <w:spacing w:after="90" w:before="220"/>
      </w:pPr>
      <w:r>
        <w:rPr>
          <w:rFonts w:ascii="맑은 고딕" w:cs="맑은 고딕" w:eastAsia="맑은 고딕" w:hAnsi="맑은 고딕"/>
          <w:b/>
          <w:bCs/>
          <w:color w:val="1F3864"/>
          <w:sz w:val="18"/>
          <w:szCs w:val="18"/>
        </w:rPr>
        <w:t xml:space="preserve">[표 E-3] 장부 운영 규칙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7838"/>
      </w:tblGrid>
      <w:tr>
        <w:trPr>
          <w:cantSplit/>
          <w:tblHeader/>
        </w:trPr>
        <w:tc>
          <w:tcPr>
            <w:tcW w:type="dxa" w:w="1800"/>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항목</w:t>
            </w:r>
          </w:p>
        </w:tc>
        <w:tc>
          <w:tcPr>
            <w:tcW w:type="dxa" w:w="7838"/>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규칙</w:t>
            </w:r>
          </w:p>
        </w:tc>
      </w:tr>
      <w:tr>
        <w:trPr>
          <w:cantSplit/>
          <w:tblHeader w:val="false"/>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봉인 저장</w:t>
            </w:r>
          </w:p>
        </w:tc>
        <w:tc>
          <w:tcPr>
            <w:tcW w:type="dxa" w:w="783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모든 FORECAST 산출(가격 시나리오, 청약 전망)은 발행 시점에 전망값·전제·모델 버전·기준일과 함께 저장되며, 발행 후 수정·삭제하지 않음</w:t>
            </w:r>
          </w:p>
        </w:tc>
      </w:tr>
      <w:tr>
        <w:trPr>
          <w:cantSplit/>
          <w:tblHeader w:val="false"/>
        </w:trPr>
        <w:tc>
          <w:tcPr>
            <w:tcW w:type="dxa" w:w="180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실적 대조</w:t>
            </w:r>
          </w:p>
        </w:tc>
        <w:tc>
          <w:tcPr>
            <w:tcW w:type="dxa" w:w="7838"/>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실적(실거래, 청약 결과) 확정 시 전망 대비 결과를 자동 대조하여 장부에 기록</w:t>
            </w:r>
          </w:p>
        </w:tc>
      </w:tr>
      <w:tr>
        <w:trPr>
          <w:cantSplit/>
          <w:tblHeader w:val="false"/>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성적 공개</w:t>
            </w:r>
          </w:p>
        </w:tc>
        <w:tc>
          <w:tcPr>
            <w:tcW w:type="dxa" w:w="783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과거 전망 대비 실적 총괄표를 발주처 요청 시 제공. 신규 제안 시 검증 증빙으로 활용</w:t>
            </w:r>
          </w:p>
        </w:tc>
      </w:tr>
      <w:tr>
        <w:trPr>
          <w:cantSplit/>
          <w:tblHeader w:val="false"/>
        </w:trPr>
        <w:tc>
          <w:tcPr>
            <w:tcW w:type="dxa" w:w="180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열람권</w:t>
            </w:r>
          </w:p>
        </w:tc>
        <w:tc>
          <w:tcPr>
            <w:tcW w:type="dxa" w:w="7838"/>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계약 발주처는 자기 현장에 관한 전망 이력과 대조 결과의 열람권을 가짐</w:t>
            </w:r>
          </w:p>
        </w:tc>
      </w:tr>
      <w:tr>
        <w:trPr>
          <w:cantSplit/>
          <w:tblHeader w:val="false"/>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불리한 결과의 처리</w:t>
            </w:r>
          </w:p>
        </w:tc>
        <w:tc>
          <w:tcPr>
            <w:tcW w:type="dxa" w:w="783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빗나간 전망도 장부에서 제외하지 않음. 원인 분석과 모델 개선 이력을 함께 기록</w:t>
            </w:r>
          </w:p>
        </w:tc>
      </w:tr>
    </w:tbl>
    <w:p>
      <w:pPr>
        <w:spacing w:after="200" w:before="0"/>
      </w:pPr>
    </w:p>
    <w:p>
      <w:pPr>
        <w:keepNext w:val="false"/>
        <w:spacing w:after="130" w:before="60" w:line="310"/>
        <w:jc w:val="both"/>
      </w:pPr>
      <w:r>
        <w:rPr>
          <w:rFonts w:ascii="맑은 고딕" w:cs="맑은 고딕" w:eastAsia="맑은 고딕" w:hAnsi="맑은 고딕"/>
          <w:b w:val="false"/>
          <w:bCs w:val="false"/>
          <w:i w:val="false"/>
          <w:iCs w:val="false"/>
          <w:color w:val="1A1A1A"/>
          <w:sz w:val="20"/>
          <w:szCs w:val="20"/>
        </w:rPr>
        <w:t xml:space="preserve">이 장부의 목적은 무결한 예측 성적의 과시가 아닙니다. 전망은 빗나갈 수 있으며, 중요한 것은 </w:t>
      </w:r>
      <w:r>
        <w:rPr>
          <w:rFonts w:ascii="맑은 고딕" w:cs="맑은 고딕" w:eastAsia="맑은 고딕" w:hAnsi="맑은 고딕"/>
          <w:b/>
          <w:bCs/>
          <w:i w:val="false"/>
          <w:iCs w:val="false"/>
          <w:color w:val="1A1A1A"/>
          <w:sz w:val="20"/>
          <w:szCs w:val="20"/>
        </w:rPr>
        <w:t xml:space="preserve">빗나감이 은폐되지 않고 측정·개선된다는 사실을 발주처가 확인할 수 있는 구조</w:t>
      </w:r>
      <w:r>
        <w:rPr>
          <w:rFonts w:ascii="맑은 고딕" w:cs="맑은 고딕" w:eastAsia="맑은 고딕" w:hAnsi="맑은 고딕"/>
          <w:b w:val="false"/>
          <w:bCs w:val="false"/>
          <w:i w:val="false"/>
          <w:iCs w:val="false"/>
          <w:color w:val="1A1A1A"/>
          <w:sz w:val="20"/>
          <w:szCs w:val="20"/>
        </w:rPr>
        <w:t xml:space="preserve">입니다. 이 구조가 본 제안서의 모든 전망 서술(중요 전제, 5.7, 5.9)을 선언이 아닌 검증 가능한 약속으로 만듭니다.</w:t>
      </w:r>
    </w:p>
    <w:p>
      <w:pPr>
        <w:pStyle w:val="Heading3"/>
        <w:keepNext/>
        <w:spacing w:after="110" w:before="240"/>
      </w:pPr>
      <w:r>
        <w:rPr>
          <w:rFonts w:ascii="맑은 고딕" w:cs="맑은 고딕" w:eastAsia="맑은 고딕" w:hAnsi="맑은 고딕"/>
          <w:b/>
          <w:bCs/>
          <w:color w:val="5A5A5A"/>
          <w:sz w:val="20"/>
          <w:szCs w:val="20"/>
        </w:rPr>
        <w:t xml:space="preserve">E.4 봉인의 감사 — "수정하지 않는다"를 검증 가능하게</w:t>
      </w:r>
    </w:p>
    <w:p>
      <w:pPr>
        <w:keepNext w:val="false"/>
        <w:spacing w:after="130" w:before="60" w:line="310"/>
        <w:jc w:val="both"/>
      </w:pPr>
      <w:r>
        <w:rPr>
          <w:rFonts w:ascii="맑은 고딕" w:cs="맑은 고딕" w:eastAsia="맑은 고딕" w:hAnsi="맑은 고딕"/>
          <w:b w:val="false"/>
          <w:bCs w:val="false"/>
          <w:i w:val="false"/>
          <w:iCs w:val="false"/>
          <w:color w:val="1A1A1A"/>
          <w:sz w:val="20"/>
          <w:szCs w:val="20"/>
        </w:rPr>
        <w:t xml:space="preserve">"발행 후 수정하지 않는다"는 약속은 그 자체가 검증 대상입니다. 규정에 그렇게 적혀 있다는 것과 실제로 수정이 불가능하다는 것은 다른 상태입니다.</w:t>
      </w:r>
    </w:p>
    <w:p>
      <w:pPr>
        <w:keepNext/>
        <w:spacing w:after="90" w:before="220"/>
      </w:pPr>
      <w:r>
        <w:rPr>
          <w:rFonts w:ascii="맑은 고딕" w:cs="맑은 고딕" w:eastAsia="맑은 고딕" w:hAnsi="맑은 고딕"/>
          <w:b/>
          <w:bCs/>
          <w:color w:val="1F3864"/>
          <w:sz w:val="18"/>
          <w:szCs w:val="18"/>
        </w:rPr>
        <w:t xml:space="preserve">[표 E-4] 장부 감사 절차</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7838"/>
      </w:tblGrid>
      <w:tr>
        <w:trPr>
          <w:cantSplit/>
          <w:tblHeader/>
        </w:trPr>
        <w:tc>
          <w:tcPr>
            <w:tcW w:type="dxa" w:w="1800"/>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점검</w:t>
            </w:r>
          </w:p>
        </w:tc>
        <w:tc>
          <w:tcPr>
            <w:tcW w:type="dxa" w:w="7838"/>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방법</w:t>
            </w:r>
          </w:p>
        </w:tc>
      </w:tr>
      <w:tr>
        <w:trPr>
          <w:cantSplit/>
          <w:tblHeader w:val="false"/>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봉인 무결성</w:t>
            </w:r>
          </w:p>
        </w:tc>
        <w:tc>
          <w:tcPr>
            <w:tcW w:type="dxa" w:w="783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저장된 모든 전망의 본문 해시를 </w:t>
            </w:r>
            <w:r>
              <w:rPr>
                <w:rFonts w:ascii="맑은 고딕" w:cs="맑은 고딕" w:eastAsia="맑은 고딕" w:hAnsi="맑은 고딕"/>
                <w:b/>
                <w:bCs/>
                <w:color w:val="1A1A1A"/>
                <w:sz w:val="18"/>
                <w:szCs w:val="18"/>
              </w:rPr>
              <w:t xml:space="preserve">전수 재계산</w:t>
            </w:r>
            <w:r>
              <w:rPr>
                <w:rFonts w:ascii="맑은 고딕" w:cs="맑은 고딕" w:eastAsia="맑은 고딕" w:hAnsi="맑은 고딕"/>
                <w:color w:val="1A1A1A"/>
                <w:sz w:val="18"/>
                <w:szCs w:val="18"/>
              </w:rPr>
              <w:t xml:space="preserve">하여 저장 시점의 값과 대조. 어긋나면 변조 의심으로 보고</w:t>
            </w:r>
          </w:p>
        </w:tc>
      </w:tr>
      <w:tr>
        <w:trPr>
          <w:cantSplit/>
          <w:tblHeader w:val="false"/>
        </w:trPr>
        <w:tc>
          <w:tcPr>
            <w:tcW w:type="dxa" w:w="180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불변 보장</w:t>
            </w:r>
          </w:p>
        </w:tc>
        <w:tc>
          <w:tcPr>
            <w:tcW w:type="dxa" w:w="7838"/>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데이터베이스 수준의 수정·삭제 차단 장치가 </w:t>
            </w:r>
            <w:r>
              <w:rPr>
                <w:rFonts w:ascii="맑은 고딕" w:cs="맑은 고딕" w:eastAsia="맑은 고딕" w:hAnsi="맑은 고딕"/>
                <w:b/>
                <w:bCs/>
                <w:color w:val="1A1A1A"/>
                <w:sz w:val="18"/>
                <w:szCs w:val="18"/>
              </w:rPr>
              <w:t xml:space="preserve">선언되어 있는지가 아니라 실제로 작동하는지</w:t>
            </w:r>
            <w:r>
              <w:rPr>
                <w:rFonts w:ascii="맑은 고딕" w:cs="맑은 고딕" w:eastAsia="맑은 고딕" w:hAnsi="맑은 고딕"/>
                <w:color w:val="1A1A1A"/>
                <w:sz w:val="18"/>
                <w:szCs w:val="18"/>
              </w:rPr>
              <w:t xml:space="preserve">를, 수정 시도를 직접 실행해 확인 (시도는 되돌림)</w:t>
            </w:r>
          </w:p>
        </w:tc>
      </w:tr>
      <w:tr>
        <w:trPr>
          <w:cantSplit/>
          <w:tblHeader w:val="false"/>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대조 상태</w:t>
            </w:r>
          </w:p>
        </w:tc>
        <w:tc>
          <w:tcPr>
            <w:tcW w:type="dxa" w:w="783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전망별 실적 확정 여부와 적중 여부를 함께 보고</w:t>
            </w:r>
          </w:p>
        </w:tc>
      </w:tr>
    </w:tbl>
    <w:p>
      <w:pPr>
        <w:spacing w:after="200" w:before="0"/>
      </w:pPr>
    </w:p>
    <w:p>
      <w:pPr>
        <w:keepNext w:val="false"/>
        <w:spacing w:after="130" w:before="60" w:line="310"/>
        <w:jc w:val="both"/>
      </w:pPr>
      <w:r>
        <w:rPr>
          <w:rFonts w:ascii="맑은 고딕" w:cs="맑은 고딕" w:eastAsia="맑은 고딕" w:hAnsi="맑은 고딕"/>
          <w:b w:val="false"/>
          <w:bCs w:val="false"/>
          <w:i w:val="false"/>
          <w:iCs w:val="false"/>
          <w:color w:val="1A1A1A"/>
          <w:sz w:val="20"/>
          <w:szCs w:val="20"/>
        </w:rPr>
        <w:t xml:space="preserve">감사는 발주처가 요청하면 언제든 실행하여 결과를 그대로 제출합니다. 무결성이나 불변 보장 중 하나라도 깨져 있으면 감사는 실패로 종료되며, 그 사실을 숨기지 않습니다.</w:t>
      </w:r>
    </w:p>
    <w:p>
      <w:pPr>
        <w:keepNext w:val="false"/>
        <w:spacing w:after="130" w:before="60" w:line="310"/>
        <w:jc w:val="both"/>
      </w:pPr>
      <w:r>
        <w:rPr>
          <w:rFonts w:ascii="맑은 고딕" w:cs="맑은 고딕" w:eastAsia="맑은 고딕" w:hAnsi="맑은 고딕"/>
          <w:b w:val="false"/>
          <w:bCs w:val="false"/>
          <w:i/>
          <w:iCs/>
          <w:color w:val="5A5A5A"/>
          <w:sz w:val="20"/>
          <w:szCs w:val="20"/>
        </w:rPr>
        <w:t xml:space="preserve">동일 분석의 재실행에 대하여.</w:t>
      </w:r>
      <w:r>
        <w:rPr>
          <w:rFonts w:ascii="맑은 고딕" w:cs="맑은 고딕" w:eastAsia="맑은 고딕" w:hAnsi="맑은 고딕"/>
          <w:b w:val="false"/>
          <w:bCs w:val="false"/>
          <w:i w:val="false"/>
          <w:iCs w:val="false"/>
          <w:color w:val="1A1A1A"/>
          <w:sz w:val="20"/>
          <w:szCs w:val="20"/>
        </w:rPr>
        <w:t xml:space="preserve"> 같은 입력으로 같은 분석을 다시 실행하면 동일한 전망이 산출됩니다. 이때 새 기록을 추가하지 않고 </w:t>
      </w:r>
      <w:r>
        <w:rPr>
          <w:rFonts w:ascii="맑은 고딕" w:cs="맑은 고딕" w:eastAsia="맑은 고딕" w:hAnsi="맑은 고딕"/>
          <w:b/>
          <w:bCs/>
          <w:i w:val="false"/>
          <w:iCs w:val="false"/>
          <w:color w:val="1A1A1A"/>
          <w:sz w:val="20"/>
          <w:szCs w:val="20"/>
        </w:rPr>
        <w:t xml:space="preserve">기존 봉인을 그대로 참조</w:t>
      </w:r>
      <w:r>
        <w:rPr>
          <w:rFonts w:ascii="맑은 고딕" w:cs="맑은 고딕" w:eastAsia="맑은 고딕" w:hAnsi="맑은 고딕"/>
          <w:b w:val="false"/>
          <w:bCs w:val="false"/>
          <w:i w:val="false"/>
          <w:iCs w:val="false"/>
          <w:color w:val="1A1A1A"/>
          <w:sz w:val="20"/>
          <w:szCs w:val="20"/>
        </w:rPr>
        <w:t xml:space="preserve">합니다 — 같은 내용에 두 개의 장부 항목이 생기면 적중률 통계가 왜곡되기 때문입니다. 구간·모델 버전·기준일 중 하나라도 달라지면 별개의 전망으로 새로 봉인됩니다.</w:t>
      </w:r>
    </w:p>
    <w:p>
      <w:pPr>
        <w:pStyle w:val="Heading3"/>
        <w:keepNext/>
        <w:spacing w:after="110" w:before="240"/>
      </w:pPr>
      <w:r>
        <w:rPr>
          <w:rFonts w:ascii="맑은 고딕" w:cs="맑은 고딕" w:eastAsia="맑은 고딕" w:hAnsi="맑은 고딕"/>
          <w:b/>
          <w:bCs/>
          <w:color w:val="5A5A5A"/>
          <w:sz w:val="20"/>
          <w:szCs w:val="20"/>
        </w:rPr>
        <w:t xml:space="preserve">E.5 조정계수 교정의 검증 기록</w:t>
      </w:r>
    </w:p>
    <w:p>
      <w:pPr>
        <w:keepNext w:val="false"/>
        <w:spacing w:after="130" w:before="60" w:line="310"/>
        <w:jc w:val="both"/>
      </w:pPr>
      <w:r>
        <w:rPr>
          <w:rFonts w:ascii="맑은 고딕" w:cs="맑은 고딕" w:eastAsia="맑은 고딕" w:hAnsi="맑은 고딕"/>
          <w:b w:val="false"/>
          <w:bCs w:val="false"/>
          <w:i w:val="false"/>
          <w:iCs w:val="false"/>
          <w:color w:val="1A1A1A"/>
          <w:sz w:val="20"/>
          <w:szCs w:val="20"/>
        </w:rPr>
        <w:t xml:space="preserve">5.4.6의 교정 절차는 실행할 때마다 다음을 기록으로 남깁니다. 계수가 바뀌었든 바뀌지 않았든 동일하게 남깁니다.</w:t>
      </w:r>
    </w:p>
    <w:p>
      <w:pPr>
        <w:keepNext/>
        <w:spacing w:after="90" w:before="220"/>
      </w:pPr>
      <w:r>
        <w:rPr>
          <w:rFonts w:ascii="맑은 고딕" w:cs="맑은 고딕" w:eastAsia="맑은 고딕" w:hAnsi="맑은 고딕"/>
          <w:b/>
          <w:bCs/>
          <w:color w:val="1F3864"/>
          <w:sz w:val="18"/>
          <w:szCs w:val="18"/>
        </w:rPr>
        <w:t xml:space="preserve">[표 E-5] 교정 실행 기록 항목</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7838"/>
      </w:tblGrid>
      <w:tr>
        <w:trPr>
          <w:cantSplit/>
          <w:tblHeader/>
        </w:trPr>
        <w:tc>
          <w:tcPr>
            <w:tcW w:type="dxa" w:w="1800"/>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항목</w:t>
            </w:r>
          </w:p>
        </w:tc>
        <w:tc>
          <w:tcPr>
            <w:tcW w:type="dxa" w:w="7838"/>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내용</w:t>
            </w:r>
          </w:p>
        </w:tc>
      </w:tr>
      <w:tr>
        <w:trPr>
          <w:cantSplit/>
          <w:tblHeader w:val="false"/>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회귀 결과</w:t>
            </w:r>
          </w:p>
        </w:tc>
        <w:tc>
          <w:tcPr>
            <w:tcW w:type="dxa" w:w="783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관측 수, 설명력, 변수별 추정치·표준오차·유의성</w:t>
            </w:r>
          </w:p>
        </w:tc>
      </w:tr>
      <w:tr>
        <w:trPr>
          <w:cantSplit/>
          <w:tblHeader w:val="false"/>
        </w:trPr>
        <w:tc>
          <w:tcPr>
            <w:tcW w:type="dxa" w:w="180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게이트 판정</w:t>
            </w:r>
          </w:p>
        </w:tc>
        <w:tc>
          <w:tcPr>
            <w:tcW w:type="dxa" w:w="7838"/>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계수별 채택·유지 여부와 그 사유 (표본·유의성·부호·범위 중 무엇에 걸렸는가)</w:t>
            </w:r>
          </w:p>
        </w:tc>
      </w:tr>
      <w:tr>
        <w:trPr>
          <w:cantSplit/>
          <w:tblHeader w:val="false"/>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홀드아웃 검증</w:t>
            </w:r>
          </w:p>
        </w:tc>
        <w:tc>
          <w:tcPr>
            <w:tcW w:type="dxa" w:w="783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학습·검증 구간의 표본 수, 검증 구간의 조정 후 잔차 분산 변화율, 채택 기준 대비 결과</w:t>
            </w:r>
          </w:p>
        </w:tc>
      </w:tr>
      <w:tr>
        <w:trPr>
          <w:cantSplit/>
          <w:tblHeader w:val="false"/>
        </w:trPr>
        <w:tc>
          <w:tcPr>
            <w:tcW w:type="dxa" w:w="180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적중률 대조</w:t>
            </w:r>
          </w:p>
        </w:tc>
        <w:tc>
          <w:tcPr>
            <w:tcW w:type="dxa" w:w="7838"/>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기존 계수와 후보 계수의 백테스트 적중률 (안전장치, 채택 기준 아님)</w:t>
            </w:r>
          </w:p>
        </w:tc>
      </w:tr>
      <w:tr>
        <w:trPr>
          <w:cantSplit/>
          <w:tblHeader w:val="false"/>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최종 계수</w:t>
            </w:r>
          </w:p>
        </w:tc>
        <w:tc>
          <w:tcPr>
            <w:tcW w:type="dxa" w:w="783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채택된 계수 값과 출처 표기 ('초기값(미교정)' 또는 '실데이터 교정값')</w:t>
            </w:r>
          </w:p>
        </w:tc>
      </w:tr>
    </w:tbl>
    <w:p>
      <w:pPr>
        <w:spacing w:after="200" w:before="0"/>
      </w:pPr>
    </w:p>
    <w:p>
      <w:pPr>
        <w:keepNext w:val="false"/>
        <w:spacing w:after="130" w:before="60" w:line="310"/>
        <w:jc w:val="both"/>
      </w:pPr>
      <w:r>
        <w:rPr>
          <w:rFonts w:ascii="맑은 고딕" w:cs="맑은 고딕" w:eastAsia="맑은 고딕" w:hAnsi="맑은 고딕"/>
          <w:b w:val="false"/>
          <w:bCs w:val="false"/>
          <w:i w:val="false"/>
          <w:iCs w:val="false"/>
          <w:color w:val="1A1A1A"/>
          <w:sz w:val="20"/>
          <w:szCs w:val="20"/>
        </w:rPr>
        <w:t xml:space="preserve">이 기록의 존재 이유는 교정의 성공을 보여주는 것이 아니라, </w:t>
      </w:r>
      <w:r>
        <w:rPr>
          <w:rFonts w:ascii="맑은 고딕" w:cs="맑은 고딕" w:eastAsia="맑은 고딕" w:hAnsi="맑은 고딕"/>
          <w:b/>
          <w:bCs/>
          <w:i w:val="false"/>
          <w:iCs w:val="false"/>
          <w:color w:val="1A1A1A"/>
          <w:sz w:val="20"/>
          <w:szCs w:val="20"/>
        </w:rPr>
        <w:t xml:space="preserve">교정이 기각되었을 때 그 사실이 남게 하는 것</w:t>
      </w:r>
      <w:r>
        <w:rPr>
          <w:rFonts w:ascii="맑은 고딕" w:cs="맑은 고딕" w:eastAsia="맑은 고딕" w:hAnsi="맑은 고딕"/>
          <w:b w:val="false"/>
          <w:bCs w:val="false"/>
          <w:i w:val="false"/>
          <w:iCs w:val="false"/>
          <w:color w:val="1A1A1A"/>
          <w:sz w:val="20"/>
          <w:szCs w:val="20"/>
        </w:rPr>
        <w:t xml:space="preserve">입니다. 기각된 교정이 조용히 사라지면 "계수가 검증되었다"는 인상만 남고 검증의 실질은 사라집니다.</w:t>
      </w:r>
    </w:p>
    <w:p>
      <w:pPr>
        <w:pStyle w:val="Heading2"/>
        <w:keepNext/>
        <w:spacing w:after="140" w:before="300"/>
      </w:pPr>
      <w:r>
        <w:rPr>
          <w:rFonts w:ascii="맑은 고딕" w:cs="맑은 고딕" w:eastAsia="맑은 고딕" w:hAnsi="맑은 고딕"/>
          <w:b/>
          <w:bCs/>
          <w:color w:val="1A1A1A"/>
          <w:sz w:val="23"/>
          <w:szCs w:val="23"/>
        </w:rPr>
        <w:t xml:space="preserve">부록 F. 구현 현황과 검증 상태</w:t>
      </w:r>
    </w:p>
    <w:p>
      <w:pPr>
        <w:keepNext w:val="false"/>
        <w:spacing w:after="130" w:before="60" w:line="310"/>
        <w:jc w:val="both"/>
      </w:pPr>
      <w:r>
        <w:rPr>
          <w:rFonts w:ascii="맑은 고딕" w:cs="맑은 고딕" w:eastAsia="맑은 고딕" w:hAnsi="맑은 고딕"/>
          <w:b w:val="false"/>
          <w:bCs w:val="false"/>
          <w:i w:val="false"/>
          <w:iCs w:val="false"/>
          <w:color w:val="1A1A1A"/>
          <w:sz w:val="20"/>
          <w:szCs w:val="20"/>
        </w:rPr>
        <w:t xml:space="preserve">제안서는 통상 "무엇을 하겠다"를 말합니다. 본 부록은 그중 </w:t>
      </w:r>
      <w:r>
        <w:rPr>
          <w:rFonts w:ascii="맑은 고딕" w:cs="맑은 고딕" w:eastAsia="맑은 고딕" w:hAnsi="맑은 고딕"/>
          <w:b/>
          <w:bCs/>
          <w:i w:val="false"/>
          <w:iCs w:val="false"/>
          <w:color w:val="1A1A1A"/>
          <w:sz w:val="20"/>
          <w:szCs w:val="20"/>
        </w:rPr>
        <w:t xml:space="preserve">무엇이 이미 작동하고 있으며, 무엇이 아직 아닌지</w:t>
      </w:r>
      <w:r>
        <w:rPr>
          <w:rFonts w:ascii="맑은 고딕" w:cs="맑은 고딕" w:eastAsia="맑은 고딕" w:hAnsi="맑은 고딕"/>
          <w:b w:val="false"/>
          <w:bCs w:val="false"/>
          <w:i w:val="false"/>
          <w:iCs w:val="false"/>
          <w:color w:val="1A1A1A"/>
          <w:sz w:val="20"/>
          <w:szCs w:val="20"/>
        </w:rPr>
        <w:t xml:space="preserve">를 구분합니다. 분석에 요구하는 규율(5.9.1의 LIMITATION 등급, 5.10의 커버리지 사전 공개)을 제안서 자신에게도 적용한 것입니다.</w:t>
      </w:r>
    </w:p>
    <w:p>
      <w:pPr>
        <w:pStyle w:val="Heading3"/>
        <w:keepNext/>
        <w:spacing w:after="110" w:before="240"/>
      </w:pPr>
      <w:r>
        <w:rPr>
          <w:rFonts w:ascii="맑은 고딕" w:cs="맑은 고딕" w:eastAsia="맑은 고딕" w:hAnsi="맑은 고딕"/>
          <w:b/>
          <w:bCs/>
          <w:color w:val="5A5A5A"/>
          <w:sz w:val="20"/>
          <w:szCs w:val="20"/>
        </w:rPr>
        <w:t xml:space="preserve">F.1 구현 상태</w:t>
      </w:r>
    </w:p>
    <w:p>
      <w:pPr>
        <w:keepNext/>
        <w:spacing w:after="90" w:before="220"/>
      </w:pPr>
      <w:r>
        <w:rPr>
          <w:rFonts w:ascii="맑은 고딕" w:cs="맑은 고딕" w:eastAsia="맑은 고딕" w:hAnsi="맑은 고딕"/>
          <w:b/>
          <w:bCs/>
          <w:color w:val="1F3864"/>
          <w:sz w:val="18"/>
          <w:szCs w:val="18"/>
        </w:rPr>
        <w:t xml:space="preserve">[표 F-1] 제5장 구성요소별 구현 상태</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19"/>
        <w:gridCol w:w="2670"/>
        <w:gridCol w:w="4949"/>
      </w:tblGrid>
      <w:tr>
        <w:trPr>
          <w:cantSplit/>
          <w:tblHeader/>
        </w:trPr>
        <w:tc>
          <w:tcPr>
            <w:tcW w:type="dxa" w:w="2019"/>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구성요소</w:t>
            </w:r>
          </w:p>
        </w:tc>
        <w:tc>
          <w:tcPr>
            <w:tcW w:type="dxa" w:w="2670"/>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상태</w:t>
            </w:r>
          </w:p>
        </w:tc>
        <w:tc>
          <w:tcPr>
            <w:tcW w:type="dxa" w:w="4949"/>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확인 방법</w:t>
            </w:r>
          </w:p>
        </w:tc>
      </w:tr>
      <w:tr>
        <w:trPr>
          <w:cantSplit/>
          <w:tblHeader w:val="false"/>
        </w:trPr>
        <w:tc>
          <w:tcPr>
            <w:tcW w:type="dxa" w:w="2019"/>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15개 레이어 수집</w:t>
            </w:r>
          </w:p>
        </w:tc>
        <w:tc>
          <w:tcPr>
            <w:tcW w:type="dxa" w:w="267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13개 연동</w:t>
            </w:r>
            <w:r>
              <w:rPr>
                <w:rFonts w:ascii="맑은 고딕" w:cs="맑은 고딕" w:eastAsia="맑은 고딕" w:hAnsi="맑은 고딕"/>
                <w:color w:val="1A1A1A"/>
                <w:sz w:val="18"/>
                <w:szCs w:val="18"/>
              </w:rPr>
              <w:t xml:space="preserve"> (L6 유동인구·L10 카드소비 제외)</w:t>
            </w:r>
          </w:p>
        </w:tc>
        <w:tc>
          <w:tcPr>
            <w:tcW w:type="dxa" w:w="4949"/>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커버리지표가 실행 결과로부터 자동 생성</w:t>
            </w:r>
          </w:p>
        </w:tc>
      </w:tr>
      <w:tr>
        <w:trPr>
          <w:cantSplit/>
          <w:tblHeader w:val="false"/>
        </w:trPr>
        <w:tc>
          <w:tcPr>
            <w:tcW w:type="dxa" w:w="2019"/>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품질조정 가격 밴드</w:t>
            </w:r>
          </w:p>
        </w:tc>
        <w:tc>
          <w:tcPr>
            <w:tcW w:type="dxa" w:w="267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작동</w:t>
            </w:r>
          </w:p>
        </w:tc>
        <w:tc>
          <w:tcPr>
            <w:tcW w:type="dxa" w:w="4949"/>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타입·층 구간별 밴드, 표본 미달 시 롤업 표기</w:t>
            </w:r>
          </w:p>
        </w:tc>
      </w:tr>
      <w:tr>
        <w:trPr>
          <w:cantSplit/>
          <w:tblHeader w:val="false"/>
        </w:trPr>
        <w:tc>
          <w:tcPr>
            <w:tcW w:type="dxa" w:w="2019"/>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전세 기반 하방 점검</w:t>
            </w:r>
          </w:p>
        </w:tc>
        <w:tc>
          <w:tcPr>
            <w:tcW w:type="dxa" w:w="267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작동</w:t>
            </w:r>
          </w:p>
        </w:tc>
        <w:tc>
          <w:tcPr>
            <w:tcW w:type="dxa" w:w="4949"/>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전세가율·추세·전환율·충당율, 갱신 계약 제외</w:t>
            </w:r>
          </w:p>
        </w:tc>
      </w:tr>
      <w:tr>
        <w:trPr>
          <w:cantSplit/>
          <w:tblHeader w:val="false"/>
        </w:trPr>
        <w:tc>
          <w:tcPr>
            <w:tcW w:type="dxa" w:w="2019"/>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청약 수요 전망</w:t>
            </w:r>
          </w:p>
        </w:tc>
        <w:tc>
          <w:tcPr>
            <w:tcW w:type="dxa" w:w="267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작동</w:t>
            </w:r>
          </w:p>
        </w:tc>
        <w:tc>
          <w:tcPr>
            <w:tcW w:type="dxa" w:w="4949"/>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구간·미달 위험, 표본 5건 미만 시 정성 전환</w:t>
            </w:r>
          </w:p>
        </w:tc>
      </w:tr>
      <w:tr>
        <w:trPr>
          <w:cantSplit/>
          <w:tblHeader w:val="false"/>
        </w:trPr>
        <w:tc>
          <w:tcPr>
            <w:tcW w:type="dxa" w:w="2019"/>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실부담 시뮬레이션</w:t>
            </w:r>
          </w:p>
        </w:tc>
        <w:tc>
          <w:tcPr>
            <w:tcW w:type="dxa" w:w="267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작동</w:t>
            </w:r>
          </w:p>
        </w:tc>
        <w:tc>
          <w:tcPr>
            <w:tcW w:type="dxa" w:w="4949"/>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금리 시나리오별 부담·구매 가능 가구 비율</w:t>
            </w:r>
          </w:p>
        </w:tc>
      </w:tr>
      <w:tr>
        <w:trPr>
          <w:cantSplit/>
          <w:tblHeader w:val="false"/>
        </w:trPr>
        <w:tc>
          <w:tcPr>
            <w:tcW w:type="dxa" w:w="2019"/>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분양가 결정 시뮬레이션</w:t>
            </w:r>
          </w:p>
        </w:tc>
        <w:tc>
          <w:tcPr>
            <w:tcW w:type="dxa" w:w="267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작동</w:t>
            </w:r>
          </w:p>
        </w:tc>
        <w:tc>
          <w:tcPr>
            <w:tcW w:type="dxa" w:w="4949"/>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후보 가격대별 판정과 규칙 기반 권고</w:t>
            </w:r>
          </w:p>
        </w:tc>
      </w:tr>
      <w:tr>
        <w:trPr>
          <w:cantSplit/>
          <w:tblHeader w:val="false"/>
        </w:trPr>
        <w:tc>
          <w:tcPr>
            <w:tcW w:type="dxa" w:w="2019"/>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확률조정 공급 + 인허가 교차검증</w:t>
            </w:r>
          </w:p>
        </w:tc>
        <w:tc>
          <w:tcPr>
            <w:tcW w:type="dxa" w:w="267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작동</w:t>
            </w:r>
          </w:p>
        </w:tc>
        <w:tc>
          <w:tcPr>
            <w:tcW w:type="dxa" w:w="4949"/>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단계별 실현률 가중, 시군구 실적 대조</w:t>
            </w:r>
          </w:p>
        </w:tc>
      </w:tr>
      <w:tr>
        <w:trPr>
          <w:cantSplit/>
          <w:tblHeader w:val="false"/>
        </w:trPr>
        <w:tc>
          <w:tcPr>
            <w:tcW w:type="dxa" w:w="2019"/>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성숙도 엔진·촉매카드</w:t>
            </w:r>
          </w:p>
        </w:tc>
        <w:tc>
          <w:tcPr>
            <w:tcW w:type="dxa" w:w="267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작동</w:t>
            </w:r>
          </w:p>
        </w:tc>
        <w:tc>
          <w:tcPr>
            <w:tcW w:type="dxa" w:w="4949"/>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단계·예산 확보율 기반 광고 취급 등급</w:t>
            </w:r>
          </w:p>
        </w:tc>
      </w:tr>
      <w:tr>
        <w:trPr>
          <w:cantSplit/>
          <w:tblHeader w:val="false"/>
        </w:trPr>
        <w:tc>
          <w:tcPr>
            <w:tcW w:type="dxa" w:w="2019"/>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조기경보·경쟁 현장 모니터링</w:t>
            </w:r>
          </w:p>
        </w:tc>
        <w:tc>
          <w:tcPr>
            <w:tcW w:type="dxa" w:w="267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작동</w:t>
            </w:r>
          </w:p>
        </w:tc>
        <w:tc>
          <w:tcPr>
            <w:tcW w:type="dxa" w:w="4949"/>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스냅숏 비교, 신선도 경고</w:t>
            </w:r>
          </w:p>
        </w:tc>
      </w:tr>
      <w:tr>
        <w:trPr>
          <w:cantSplit/>
          <w:tblHeader w:val="false"/>
        </w:trPr>
        <w:tc>
          <w:tcPr>
            <w:tcW w:type="dxa" w:w="2019"/>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판매 논리 산출물 (제6장)</w:t>
            </w:r>
          </w:p>
        </w:tc>
        <w:tc>
          <w:tcPr>
            <w:tcW w:type="dxa" w:w="267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작동</w:t>
            </w:r>
          </w:p>
        </w:tc>
        <w:tc>
          <w:tcPr>
            <w:tcW w:type="dxa" w:w="4949"/>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메시지맵·근거카드·거절 대응, 근거 없는 축은 답변 미생성</w:t>
            </w:r>
          </w:p>
        </w:tc>
      </w:tr>
      <w:tr>
        <w:trPr>
          <w:cantSplit/>
          <w:tblHeader w:val="false"/>
        </w:trPr>
        <w:tc>
          <w:tcPr>
            <w:tcW w:type="dxa" w:w="2019"/>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퍼널 병목 진단 (제10장)</w:t>
            </w:r>
          </w:p>
        </w:tc>
        <w:tc>
          <w:tcPr>
            <w:tcW w:type="dxa" w:w="267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작동</w:t>
            </w:r>
          </w:p>
        </w:tc>
        <w:tc>
          <w:tcPr>
            <w:tcW w:type="dxa" w:w="4949"/>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기준선 대조·운영/조건 분류·현장 반응 교차 확인</w:t>
            </w:r>
          </w:p>
        </w:tc>
      </w:tr>
      <w:tr>
        <w:trPr>
          <w:cantSplit/>
          <w:tblHeader w:val="false"/>
        </w:trPr>
        <w:tc>
          <w:tcPr>
            <w:tcW w:type="dxa" w:w="2019"/>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현장 반응 피드백</w:t>
            </w:r>
          </w:p>
        </w:tc>
        <w:tc>
          <w:tcPr>
            <w:tcW w:type="dxa" w:w="267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작동</w:t>
            </w:r>
          </w:p>
        </w:tc>
        <w:tc>
          <w:tcPr>
            <w:tcW w:type="dxa" w:w="4949"/>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거절 사유·방문객 거주지 vs 4개 판정 정합성</w:t>
            </w:r>
          </w:p>
        </w:tc>
      </w:tr>
      <w:tr>
        <w:trPr>
          <w:cantSplit/>
          <w:tblHeader w:val="false"/>
        </w:trPr>
        <w:tc>
          <w:tcPr>
            <w:tcW w:type="dxa" w:w="2019"/>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4개 독립 판정</w:t>
            </w:r>
          </w:p>
        </w:tc>
        <w:tc>
          <w:tcPr>
            <w:tcW w:type="dxa" w:w="267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작동</w:t>
            </w:r>
          </w:p>
        </w:tc>
        <w:tc>
          <w:tcPr>
            <w:tcW w:type="dxa" w:w="4949"/>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방향·강도·신뢰도·변화의 4속성</w:t>
            </w:r>
          </w:p>
        </w:tc>
      </w:tr>
      <w:tr>
        <w:trPr>
          <w:cantSplit/>
          <w:tblHeader w:val="false"/>
        </w:trPr>
        <w:tc>
          <w:tcPr>
            <w:tcW w:type="dxa" w:w="2019"/>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판정 강건성 검사</w:t>
            </w:r>
          </w:p>
        </w:tc>
        <w:tc>
          <w:tcPr>
            <w:tcW w:type="dxa" w:w="267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작동</w:t>
            </w:r>
          </w:p>
        </w:tc>
        <w:tc>
          <w:tcPr>
            <w:tcW w:type="dxa" w:w="4949"/>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가정 교란 후 동일 판정 함수 재실행, 뒤집힌 판정을 요약·상담 문장 양쪽에 표기</w:t>
            </w:r>
          </w:p>
        </w:tc>
      </w:tr>
      <w:tr>
        <w:trPr>
          <w:cantSplit/>
          <w:tblHeader w:val="false"/>
        </w:trPr>
        <w:tc>
          <w:tcPr>
            <w:tcW w:type="dxa" w:w="2019"/>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표현 린트 게이트</w:t>
            </w:r>
          </w:p>
        </w:tc>
        <w:tc>
          <w:tcPr>
            <w:tcW w:type="dxa" w:w="267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작동</w:t>
            </w:r>
          </w:p>
        </w:tc>
        <w:tc>
          <w:tcPr>
            <w:tcW w:type="dxa" w:w="4949"/>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금지 표현 차단, FORECAST 등급 상한 강제</w:t>
            </w:r>
          </w:p>
        </w:tc>
      </w:tr>
      <w:tr>
        <w:trPr>
          <w:cantSplit/>
          <w:tblHeader w:val="false"/>
        </w:trPr>
        <w:tc>
          <w:tcPr>
            <w:tcW w:type="dxa" w:w="2019"/>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근거원장</w:t>
            </w:r>
          </w:p>
        </w:tc>
        <w:tc>
          <w:tcPr>
            <w:tcW w:type="dxa" w:w="267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작동</w:t>
            </w:r>
          </w:p>
        </w:tc>
        <w:tc>
          <w:tcPr>
            <w:tcW w:type="dxa" w:w="4949"/>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리포트 절로 납품, 미산출 항목 포함 등재</w:t>
            </w:r>
          </w:p>
        </w:tc>
      </w:tr>
      <w:tr>
        <w:trPr>
          <w:cantSplit/>
          <w:tblHeader w:val="false"/>
        </w:trPr>
        <w:tc>
          <w:tcPr>
            <w:tcW w:type="dxa" w:w="2019"/>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예측 이력 장부·감사</w:t>
            </w:r>
          </w:p>
        </w:tc>
        <w:tc>
          <w:tcPr>
            <w:tcW w:type="dxa" w:w="267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작동</w:t>
            </w:r>
          </w:p>
        </w:tc>
        <w:tc>
          <w:tcPr>
            <w:tcW w:type="dxa" w:w="4949"/>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봉인 해시 전수 재계산 + 불변 장치 실동작 확인</w:t>
            </w:r>
          </w:p>
        </w:tc>
      </w:tr>
      <w:tr>
        <w:trPr>
          <w:cantSplit/>
          <w:tblHeader w:val="false"/>
        </w:trPr>
        <w:tc>
          <w:tcPr>
            <w:tcW w:type="dxa" w:w="2019"/>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백테스트·드리프트 감시</w:t>
            </w:r>
          </w:p>
        </w:tc>
        <w:tc>
          <w:tcPr>
            <w:tcW w:type="dxa" w:w="267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작동</w:t>
            </w:r>
          </w:p>
        </w:tc>
        <w:tc>
          <w:tcPr>
            <w:tcW w:type="dxa" w:w="4949"/>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운영과 동일 함수 호출, 신고지연 적용으로 낙관 편향 제거</w:t>
            </w:r>
          </w:p>
        </w:tc>
      </w:tr>
      <w:tr>
        <w:trPr>
          <w:cantSplit/>
          <w:tblHeader w:val="false"/>
        </w:trPr>
        <w:tc>
          <w:tcPr>
            <w:tcW w:type="dxa" w:w="2019"/>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신고지연 보정</w:t>
            </w:r>
          </w:p>
        </w:tc>
        <w:tc>
          <w:tcPr>
            <w:tcW w:type="dxa" w:w="267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작동</w:t>
            </w:r>
          </w:p>
        </w:tc>
        <w:tc>
          <w:tcPr>
            <w:tcW w:type="dxa" w:w="4949"/>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미완결 월 판정·제외 내역 표기, 백테스트 동일 적용</w:t>
            </w:r>
          </w:p>
        </w:tc>
      </w:tr>
      <w:tr>
        <w:trPr>
          <w:cantSplit/>
          <w:tblHeader w:val="false"/>
        </w:trPr>
        <w:tc>
          <w:tcPr>
            <w:tcW w:type="dxa" w:w="2019"/>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조정계수 교정</w:t>
            </w:r>
          </w:p>
        </w:tc>
        <w:tc>
          <w:tcPr>
            <w:tcW w:type="dxa" w:w="2670"/>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작동</w:t>
            </w:r>
          </w:p>
        </w:tc>
        <w:tc>
          <w:tcPr>
            <w:tcW w:type="dxa" w:w="4949"/>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회귀 추정 + 홀드아웃 검증, 통과 시에만 교체</w:t>
            </w:r>
          </w:p>
        </w:tc>
      </w:tr>
    </w:tbl>
    <w:p>
      <w:pPr>
        <w:spacing w:after="200" w:before="0"/>
      </w:pPr>
    </w:p>
    <w:p>
      <w:pPr>
        <w:pStyle w:val="Heading3"/>
        <w:keepNext/>
        <w:spacing w:after="110" w:before="240"/>
      </w:pPr>
      <w:r>
        <w:rPr>
          <w:rFonts w:ascii="맑은 고딕" w:cs="맑은 고딕" w:eastAsia="맑은 고딕" w:hAnsi="맑은 고딕"/>
          <w:b/>
          <w:bCs/>
          <w:color w:val="5A5A5A"/>
          <w:sz w:val="20"/>
          <w:szCs w:val="20"/>
        </w:rPr>
        <w:t xml:space="preserve">F.2 아직 확정되지 않은 것</w:t>
      </w:r>
    </w:p>
    <w:p>
      <w:pPr>
        <w:keepNext/>
        <w:spacing w:after="90" w:before="220"/>
      </w:pPr>
      <w:r>
        <w:rPr>
          <w:rFonts w:ascii="맑은 고딕" w:cs="맑은 고딕" w:eastAsia="맑은 고딕" w:hAnsi="맑은 고딕"/>
          <w:b/>
          <w:bCs/>
          <w:color w:val="1F3864"/>
          <w:sz w:val="18"/>
          <w:szCs w:val="18"/>
        </w:rPr>
        <w:t xml:space="preserve">[표 F-2] 미완료 항목과 해소 조건</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37"/>
        <w:gridCol w:w="5322"/>
        <w:gridCol w:w="2779"/>
      </w:tblGrid>
      <w:tr>
        <w:trPr>
          <w:cantSplit/>
          <w:tblHeader/>
        </w:trPr>
        <w:tc>
          <w:tcPr>
            <w:tcW w:type="dxa" w:w="1537"/>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항목</w:t>
            </w:r>
          </w:p>
        </w:tc>
        <w:tc>
          <w:tcPr>
            <w:tcW w:type="dxa" w:w="5322"/>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현재 상태</w:t>
            </w:r>
          </w:p>
        </w:tc>
        <w:tc>
          <w:tcPr>
            <w:tcW w:type="dxa" w:w="2779"/>
            <w:tcBorders>
              <w:top w:val="single" w:color="8A8A8A" w:sz="4"/>
              <w:left w:val="single" w:color="BFBFBF" w:sz="4"/>
              <w:bottom w:val="single" w:color="8A8A8A" w:sz="4"/>
              <w:right w:val="single" w:color="BFBFBF" w:sz="4"/>
            </w:tcBorders>
            <w:shd w:fill="E8EAED"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b/>
                <w:bCs/>
                <w:color w:val="1A1A1A"/>
                <w:sz w:val="18"/>
                <w:szCs w:val="18"/>
              </w:rPr>
              <w:t xml:space="preserve">해소 조건</w:t>
            </w:r>
          </w:p>
        </w:tc>
      </w:tr>
      <w:tr>
        <w:trPr>
          <w:cantSplit/>
          <w:tblHeader w:val="false"/>
        </w:trPr>
        <w:tc>
          <w:tcPr>
            <w:tcW w:type="dxa" w:w="153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조정계수(연식·층·시점)</w:t>
            </w:r>
          </w:p>
        </w:tc>
        <w:tc>
          <w:tcPr>
            <w:tcW w:type="dxa" w:w="5322"/>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교정 </w:t>
            </w:r>
            <w:r>
              <w:rPr>
                <w:rFonts w:ascii="맑은 고딕" w:cs="맑은 고딕" w:eastAsia="맑은 고딕" w:hAnsi="맑은 고딕"/>
                <w:b/>
                <w:bCs/>
                <w:color w:val="1A1A1A"/>
                <w:sz w:val="18"/>
                <w:szCs w:val="18"/>
              </w:rPr>
              <w:t xml:space="preserve">엔진</w:t>
            </w:r>
            <w:r>
              <w:rPr>
                <w:rFonts w:ascii="맑은 고딕" w:cs="맑은 고딕" w:eastAsia="맑은 고딕" w:hAnsi="맑은 고딕"/>
                <w:color w:val="1A1A1A"/>
                <w:sz w:val="18"/>
                <w:szCs w:val="18"/>
              </w:rPr>
              <w:t xml:space="preserve">은 구현. 실현장 데이터로 교정을 실행하기 전까지는 초기값이며, 그 사실이 리포트 모델 카드에 표기됨</w:t>
            </w:r>
          </w:p>
        </w:tc>
        <w:tc>
          <w:tcPr>
            <w:tcW w:type="dxa" w:w="2779"/>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현장 데이터 확보 후 교정 실행</w:t>
            </w:r>
          </w:p>
        </w:tc>
      </w:tr>
      <w:tr>
        <w:trPr>
          <w:cantSplit/>
          <w:tblHeader w:val="false"/>
        </w:trPr>
        <w:tc>
          <w:tcPr>
            <w:tcW w:type="dxa" w:w="1537"/>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시나리오 드라이버 계수</w:t>
            </w:r>
          </w:p>
        </w:tc>
        <w:tc>
          <w:tcPr>
            <w:tcW w:type="dxa" w:w="5322"/>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추세 지속률·공급 탄력성·금리 탄력성은 문헌·경험 기반 초기값</w:t>
            </w:r>
          </w:p>
        </w:tc>
        <w:tc>
          <w:tcPr>
            <w:tcW w:type="dxa" w:w="2779"/>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예측 이력 장부에 실적이 누적된 후 재보정</w:t>
            </w:r>
          </w:p>
        </w:tc>
      </w:tr>
      <w:tr>
        <w:trPr>
          <w:cantSplit/>
          <w:tblHeader w:val="false"/>
        </w:trPr>
        <w:tc>
          <w:tcPr>
            <w:tcW w:type="dxa" w:w="153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강건성 교란 폭</w:t>
            </w:r>
          </w:p>
        </w:tc>
        <w:tc>
          <w:tcPr>
            <w:tcW w:type="dxa" w:w="5322"/>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검사는 작동. 흔드는 폭(계수 ×0.5~1.5, 실현률 ±20%p 등)은 그 자체가 가정이며 근거원장에 한계로 등재됨</w:t>
            </w:r>
          </w:p>
        </w:tc>
        <w:tc>
          <w:tcPr>
            <w:tcW w:type="dxa" w:w="2779"/>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계수 교정·실적 누적 후 실제 변동 범위로 교체</w:t>
            </w:r>
          </w:p>
        </w:tc>
      </w:tr>
      <w:tr>
        <w:trPr>
          <w:cantSplit/>
          <w:tblHeader w:val="false"/>
        </w:trPr>
        <w:tc>
          <w:tcPr>
            <w:tcW w:type="dxa" w:w="1537"/>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L5 소득 산포</w:t>
            </w:r>
          </w:p>
        </w:tc>
        <w:tc>
          <w:tcPr>
            <w:tcW w:type="dxa" w:w="5322"/>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분포의 </w:t>
            </w:r>
            <w:r>
              <w:rPr>
                <w:rFonts w:ascii="맑은 고딕" w:cs="맑은 고딕" w:eastAsia="맑은 고딕" w:hAnsi="맑은 고딕"/>
                <w:b/>
                <w:bCs/>
                <w:color w:val="1A1A1A"/>
                <w:sz w:val="18"/>
                <w:szCs w:val="18"/>
              </w:rPr>
              <w:t xml:space="preserve">중심값은 실측</w:t>
            </w:r>
            <w:r>
              <w:rPr>
                <w:rFonts w:ascii="맑은 고딕" w:cs="맑은 고딕" w:eastAsia="맑은 고딕" w:hAnsi="맑은 고딕"/>
                <w:color w:val="1A1A1A"/>
                <w:sz w:val="18"/>
                <w:szCs w:val="18"/>
              </w:rPr>
              <w:t xml:space="preserve">, 산포와 형태는 가정</w:t>
            </w:r>
          </w:p>
        </w:tc>
        <w:tc>
          <w:tcPr>
            <w:tcW w:type="dxa" w:w="2779"/>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가구 단위 소득 분포 자료 확보 시</w:t>
            </w:r>
          </w:p>
        </w:tc>
      </w:tr>
      <w:tr>
        <w:trPr>
          <w:cantSplit/>
          <w:tblHeader w:val="false"/>
        </w:trPr>
        <w:tc>
          <w:tcPr>
            <w:tcW w:type="dxa" w:w="153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L7 생활이동·O/D</w:t>
            </w:r>
          </w:p>
        </w:tc>
        <w:tc>
          <w:tcPr>
            <w:tcW w:type="dxa" w:w="5322"/>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파일 적재 경로는 구현. 원자료는 계약·승인 대상이며 갱신 주기가 김</w:t>
            </w:r>
          </w:p>
        </w:tc>
        <w:tc>
          <w:tcPr>
            <w:tcW w:type="dxa" w:w="2779"/>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KTDB·통신사 자료 확보</w:t>
            </w:r>
          </w:p>
        </w:tc>
      </w:tr>
      <w:tr>
        <w:trPr>
          <w:cantSplit/>
          <w:tblHeader w:val="false"/>
        </w:trPr>
        <w:tc>
          <w:tcPr>
            <w:tcW w:type="dxa" w:w="1537"/>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L6 유동인구 · L10 카드소비</w:t>
            </w:r>
          </w:p>
        </w:tc>
        <w:tc>
          <w:tcPr>
            <w:tcW w:type="dxa" w:w="5322"/>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미연동</w:t>
            </w:r>
          </w:p>
        </w:tc>
        <w:tc>
          <w:tcPr>
            <w:tcW w:type="dxa" w:w="2779"/>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민간 라이선스 협의 (비용·재배포 조건 확인 선행)</w:t>
            </w:r>
          </w:p>
        </w:tc>
      </w:tr>
      <w:tr>
        <w:trPr>
          <w:cantSplit/>
          <w:tblHeader w:val="false"/>
        </w:trPr>
        <w:tc>
          <w:tcPr>
            <w:tcW w:type="dxa" w:w="153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경쟁 현장 자료</w:t>
            </w:r>
          </w:p>
        </w:tc>
        <w:tc>
          <w:tcPr>
            <w:tcW w:type="dxa" w:w="5322"/>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수집 경로는 구현. 자료 자체는 현장 담당자의 주기적 확인에 의존</w:t>
            </w:r>
          </w:p>
        </w:tc>
        <w:tc>
          <w:tcPr>
            <w:tcW w:type="dxa" w:w="2779"/>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운영 개시 후 회차 누적</w:t>
            </w:r>
          </w:p>
        </w:tc>
      </w:tr>
      <w:tr>
        <w:trPr>
          <w:cantSplit/>
          <w:tblHeader w:val="false"/>
        </w:trPr>
        <w:tc>
          <w:tcPr>
            <w:tcW w:type="dxa" w:w="1537"/>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예측 적중률</w:t>
            </w:r>
          </w:p>
        </w:tc>
        <w:tc>
          <w:tcPr>
            <w:tcW w:type="dxa" w:w="5322"/>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장부 구조는 작동. 실적 확정 건이 누적되기 전에는 "표본 누적 중"으로 판정 유보</w:t>
            </w:r>
          </w:p>
        </w:tc>
        <w:tc>
          <w:tcPr>
            <w:tcW w:type="dxa" w:w="2779"/>
            <w:tcBorders>
              <w:top w:val="single" w:color="BFBFBF" w:sz="4"/>
              <w:left w:val="single" w:color="BFBFBF" w:sz="4"/>
              <w:bottom w:val="single" w:color="BFBFBF" w:sz="4"/>
              <w:right w:val="single" w:color="BFBFBF" w:sz="4"/>
            </w:tcBorders>
            <w:shd w:fill="F7F8F9" w:color="auto" w:val="clear"/>
            <w:tcMar>
              <w:top w:type="dxa" w:w="70"/>
              <w:left w:type="dxa" w:w="110"/>
              <w:bottom w:type="dxa" w:w="70"/>
              <w:right w:type="dxa" w:w="110"/>
            </w:tcMar>
            <w:vAlign w:val="center"/>
          </w:tcPr>
          <w:p>
            <w:pPr>
              <w:spacing w:after="0" w:before="0" w:line="260"/>
              <w:jc w:val="left"/>
            </w:pPr>
            <w:r>
              <w:rPr>
                <w:rFonts w:ascii="맑은 고딕" w:cs="맑은 고딕" w:eastAsia="맑은 고딕" w:hAnsi="맑은 고딕"/>
                <w:color w:val="1A1A1A"/>
                <w:sz w:val="18"/>
                <w:szCs w:val="18"/>
              </w:rPr>
              <w:t xml:space="preserve">실적 10건 이상 누적</w:t>
            </w:r>
          </w:p>
        </w:tc>
      </w:tr>
    </w:tbl>
    <w:p>
      <w:pPr>
        <w:spacing w:after="200" w:before="0"/>
      </w:pPr>
    </w:p>
    <w:p>
      <w:pPr>
        <w:pStyle w:val="Heading3"/>
        <w:keepNext/>
        <w:spacing w:after="110" w:before="240"/>
      </w:pPr>
      <w:r>
        <w:rPr>
          <w:rFonts w:ascii="맑은 고딕" w:cs="맑은 고딕" w:eastAsia="맑은 고딕" w:hAnsi="맑은 고딕"/>
          <w:b/>
          <w:bCs/>
          <w:color w:val="5A5A5A"/>
          <w:sz w:val="20"/>
          <w:szCs w:val="20"/>
        </w:rPr>
        <w:t xml:space="preserve">F.3 이 부록의 취지</w:t>
      </w:r>
    </w:p>
    <w:p>
      <w:pPr>
        <w:keepNext w:val="false"/>
        <w:spacing w:after="130" w:before="60" w:line="310"/>
        <w:jc w:val="both"/>
      </w:pPr>
      <w:r>
        <w:rPr>
          <w:rFonts w:ascii="맑은 고딕" w:cs="맑은 고딕" w:eastAsia="맑은 고딕" w:hAnsi="맑은 고딕"/>
          <w:b w:val="false"/>
          <w:bCs w:val="false"/>
          <w:i w:val="false"/>
          <w:iCs w:val="false"/>
          <w:color w:val="1A1A1A"/>
          <w:sz w:val="20"/>
          <w:szCs w:val="20"/>
        </w:rPr>
        <w:t xml:space="preserve">위 표에서 "작동"으로 표기한 항목은 시연 가능하며, "미완료"로 표기한 항목은 계약 시점에 그 상태 그대로 인계됩니다. 제안 단계에서 유리하게 적어 두고 운영 단계에서 달라지는 일을 만들지 않기 위해, </w:t>
      </w:r>
      <w:r>
        <w:rPr>
          <w:rFonts w:ascii="맑은 고딕" w:cs="맑은 고딕" w:eastAsia="맑은 고딕" w:hAnsi="맑은 고딕"/>
          <w:b/>
          <w:bCs/>
          <w:i w:val="false"/>
          <w:iCs w:val="false"/>
          <w:color w:val="1A1A1A"/>
          <w:sz w:val="20"/>
          <w:szCs w:val="20"/>
        </w:rPr>
        <w:t xml:space="preserve">구현되지 않은 것을 구현된 것처럼 쓰지 않았습니다.</w:t>
      </w:r>
    </w:p>
    <w:p>
      <w:pPr>
        <w:keepNext w:val="false"/>
        <w:spacing w:after="130" w:before="60" w:line="310"/>
        <w:jc w:val="both"/>
      </w:pPr>
      <w:r>
        <w:rPr>
          <w:rFonts w:ascii="맑은 고딕" w:cs="맑은 고딕" w:eastAsia="맑은 고딕" w:hAnsi="맑은 고딕"/>
          <w:b w:val="false"/>
          <w:bCs w:val="false"/>
          <w:i w:val="false"/>
          <w:iCs w:val="false"/>
          <w:color w:val="1A1A1A"/>
          <w:sz w:val="20"/>
          <w:szCs w:val="20"/>
        </w:rPr>
        <w:t xml:space="preserve">특히 조정계수에 관한 표기는 강조할 필요가 있습니다. 교정 엔진이 있다는 것과 계수가 교정되었다는 것은 다른 상태이며, 리포트는 그 둘을 구분해 표기합니다. 발주처가 첫 리포트에서 "계수는 아직 초기값"이라는 문장을 보게 되는 것은 결함이 아니라 설계된 동작입니다.</w:t>
      </w:r>
    </w:p>
    <w:p>
      <w:pPr>
        <w:keepNext w:val="false"/>
        <w:spacing w:after="130" w:before="60" w:line="310"/>
        <w:jc w:val="both"/>
      </w:pPr>
      <w:r>
        <w:rPr>
          <w:rFonts w:ascii="맑은 고딕" w:cs="맑은 고딕" w:eastAsia="맑은 고딕" w:hAnsi="맑은 고딕"/>
          <w:b w:val="false"/>
          <w:bCs w:val="false"/>
          <w:i w:val="false"/>
          <w:iCs w:val="false"/>
          <w:color w:val="1A1A1A"/>
          <w:sz w:val="20"/>
          <w:szCs w:val="20"/>
        </w:rPr>
        <w:t xml:space="preserve">같은 이유로 강건성 검사(5.8.1)는 초기 회차일수록 더 중요합니다. 계수가 교정되기 전에는 판정 ①이 가정에 의존할 가능성이 높고, 그 사실을 감추지 않고 리포트 첫 장에 적는 것이 이 시스템이 신뢰를 얻는 방식입니다. 검사 결과가 "가정 의존"으로 나오는 회차는 결론을 서둘러 쓰는 대신 </w:t>
      </w:r>
      <w:r>
        <w:rPr>
          <w:rFonts w:ascii="맑은 고딕" w:cs="맑은 고딕" w:eastAsia="맑은 고딕" w:hAnsi="맑은 고딕"/>
          <w:b/>
          <w:bCs/>
          <w:i w:val="false"/>
          <w:iCs w:val="false"/>
          <w:color w:val="1A1A1A"/>
          <w:sz w:val="20"/>
          <w:szCs w:val="20"/>
        </w:rPr>
        <w:t xml:space="preserve">해당 가정의 실측 교체를 우선 안건으로 올립니다</w:t>
      </w:r>
      <w:r>
        <w:rPr>
          <w:rFonts w:ascii="맑은 고딕" w:cs="맑은 고딕" w:eastAsia="맑은 고딕" w:hAnsi="맑은 고딕"/>
          <w:b w:val="false"/>
          <w:bCs w:val="false"/>
          <w:i w:val="false"/>
          <w:iCs w:val="false"/>
          <w:color w:val="1A1A1A"/>
          <w:sz w:val="20"/>
          <w:szCs w:val="20"/>
        </w:rPr>
        <w:t xml:space="preserve">.</w:t>
      </w:r>
    </w:p>
    <w:p>
      <w:pPr>
        <w:keepNext w:val="false"/>
        <w:spacing w:after="130" w:before="60" w:line="310"/>
        <w:jc w:val="both"/>
      </w:pPr>
      <w:r>
        <w:rPr>
          <w:rFonts w:ascii="맑은 고딕" w:cs="맑은 고딕" w:eastAsia="맑은 고딕" w:hAnsi="맑은 고딕"/>
          <w:b/>
          <w:bCs/>
          <w:i w:val="false"/>
          <w:iCs w:val="false"/>
          <w:color w:val="1A1A1A"/>
          <w:sz w:val="20"/>
          <w:szCs w:val="20"/>
        </w:rPr>
        <w:t xml:space="preserve">문서 종료</w:t>
      </w:r>
    </w:p>
    <w:p>
      <w:pPr>
        <w:keepNext w:val="false"/>
        <w:spacing w:after="160" w:before="20" w:line="310"/>
        <w:jc w:val="left"/>
      </w:pPr>
      <w:r>
        <w:rPr>
          <w:rFonts w:ascii="맑은 고딕" w:cs="맑은 고딕" w:eastAsia="맑은 고딕" w:hAnsi="맑은 고딕"/>
          <w:b w:val="false"/>
          <w:bCs w:val="false"/>
          <w:i/>
          <w:iCs/>
          <w:color w:val="5A5A5A"/>
          <w:sz w:val="17"/>
          <w:szCs w:val="17"/>
        </w:rPr>
        <w:t xml:space="preserve">본 문서는 분양하마의 표준 운영모델을 설명하는 제안 목적으로 작성되었습니다. 기재된 운영 방안·일정·지표·비용 구조는 발주처와의 협의 및 현장 진단 결과에 따라 조정될 수 있으며, 본 문서의 어떠한 내용도 가격 상승·수익·분양계약·AI 노출의 보장으로 해석되지 않습니다.</w:t>
      </w:r>
    </w:p>
    <w:sectPr>
      <w:headerReference w:type="default" r:id="rId7"/>
      <w:footerReference w:type="default" r:id="rId8"/>
      <w:pgSz w:w="11906" w:h="16838" w:orient="portrait"/>
      <w:pgMar w:top="1400" w:right="1134" w:bottom="13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60"/>
      <w:jc w:val="center"/>
    </w:pPr>
    <w:r>
      <w:rPr>
        <w:rFonts w:ascii="맑은 고딕" w:cs="맑은 고딕" w:eastAsia="맑은 고딕" w:hAnsi="맑은 고딕"/>
        <w:color w:val="5A5A5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6"/>
      </w:pBdr>
      <w:spacing w:after="60"/>
      <w:jc w:val="right"/>
    </w:pPr>
    <w:r>
      <w:rPr>
        <w:rFonts w:ascii="맑은 고딕" w:cs="맑은 고딕" w:eastAsia="맑은 고딕" w:hAnsi="맑은 고딕"/>
        <w:color w:val="8A8A8A"/>
        <w:sz w:val="15"/>
        <w:szCs w:val="15"/>
      </w:rPr>
      <w:t xml:space="preserve">분양하마 AI 분양 수요 전환 시스템 제안서</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rPr>
        <w:rFonts w:ascii="맑은 고딕" w:cs="맑은 고딕" w:eastAsia="맑은 고딕" w:hAnsi="맑은 고딕"/>
        <w:sz w:val="20"/>
        <w:szCs w:val="20"/>
      </w:rPr>
    </w:lvl>
  </w:abstractNum>
  <w:abstractNum w:abstractNumId="3" w15:restartNumberingAfterBreak="0">
    <w:multiLevelType w:val="hybridMultilevel"/>
    <w:lvl w:ilvl="0" w15:tentative="1">
      <w:start w:val="1"/>
      <w:numFmt w:val="decimal"/>
      <w:lvlText w:val="%1."/>
      <w:lvlJc w:val="left"/>
      <w:pPr>
        <w:ind w:left="360" w:hanging="220"/>
      </w:pPr>
      <w:rPr>
        <w:rFonts w:ascii="맑은 고딕" w:cs="맑은 고딕" w:eastAsia="맑은 고딕" w:hAnsi="맑은 고딕"/>
        <w:sz w:val="20"/>
        <w:szCs w:val="20"/>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color w:val="1A1A1A"/>
        <w:sz w:val="20"/>
        <w:szCs w:val="20"/>
      </w:rPr>
    </w:rPrDefault>
    <w:pPrDefault>
      <w:pPr>
        <w:spacing w:line="31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qFormat/>
    <w:pPr>
      <w:spacing w:line="310"/>
    </w:pPr>
    <w:rPr>
      <w:rFonts w:ascii="맑은 고딕" w:cs="맑은 고딕" w:eastAsia="맑은 고딕" w:hAnsi="맑은 고딕"/>
      <w:color w:val="1A1A1A"/>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분양하마 AI 분양 수요 전환 시스템 구축·운영 제안서</dc:title>
  <dc:creator>분양하마</dc:creator>
  <dc:description>시행사·분양대행사 대상 사업 제안서</dc:description>
  <cp:lastModifiedBy>Un-named</cp:lastModifiedBy>
  <cp:revision>1</cp:revision>
  <dcterms:created xsi:type="dcterms:W3CDTF">2026-08-13T11:19:47.336Z</dcterms:created>
  <dcterms:modified xsi:type="dcterms:W3CDTF">2026-08-13T11:19:47.337Z</dcterms:modified>
</cp:coreProperties>
</file>

<file path=docProps/custom.xml><?xml version="1.0" encoding="utf-8"?>
<Properties xmlns="http://schemas.openxmlformats.org/officeDocument/2006/custom-properties" xmlns:vt="http://schemas.openxmlformats.org/officeDocument/2006/docPropsVTypes"/>
</file>