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バンニングレイアウト設計"/>
    <w:p>
      <w:pPr>
        <w:pStyle w:val="Heading1"/>
      </w:pPr>
      <w:r>
        <w:rPr>
          <w:rFonts w:hint="eastAsia"/>
        </w:rPr>
        <w:t xml:space="preserve">バンニングレイアウト設計</w:t>
      </w:r>
    </w:p>
    <w:bookmarkStart w:id="20" w:name="目的"/>
    <w:p>
      <w:pPr>
        <w:pStyle w:val="Heading2"/>
      </w:pPr>
      <w:r>
        <w:t xml:space="preserve">1.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与えられた直方体箱（A/B/Cの3種類、各箱ごとに重量が異なる）を20フィートコンテナに積み付ける。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主目的</w:t>
      </w:r>
      <w:r>
        <w:rPr>
          <w:rFonts w:hint="eastAsia"/>
        </w:rPr>
        <w:t xml:space="preserve">：使用するコンテナ本数を最小化する。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副目的（同本数のとき）</w:t>
      </w:r>
      <w:r>
        <w:rPr>
          <w:rFonts w:hint="eastAsia"/>
        </w:rPr>
        <w:t xml:space="preserve">：各コンテナの重心（水平投影）が底面中心から</w:t>
      </w:r>
      <w:r>
        <w:rPr>
          <w:rFonts w:hint="eastAsia"/>
          <w:b/>
          <w:bCs/>
        </w:rPr>
        <w:t xml:space="preserve">半径30cm以内</w:t>
      </w:r>
      <w:r>
        <w:rPr>
          <w:rFonts w:hint="eastAsia"/>
        </w:rPr>
        <w:t xml:space="preserve">に収まるようにしつつ、その余裕（中心からの距離）を小さくする。</w:t>
      </w:r>
    </w:p>
    <w:p>
      <w:pPr>
        <w:pStyle w:val="BlockText"/>
      </w:pPr>
      <w:r>
        <w:rPr>
          <w:rFonts w:hint="eastAsia"/>
        </w:rPr>
        <w:t xml:space="preserve">本課題は「3Dパッキング</w:t>
      </w:r>
      <w:r>
        <w:t xml:space="preserve"> + </w:t>
      </w:r>
      <w:r>
        <w:rPr>
          <w:rFonts w:hint="eastAsia"/>
        </w:rPr>
        <w:t xml:space="preserve">最大積載重量</w:t>
      </w:r>
      <w:r>
        <w:t xml:space="preserve"> + </w:t>
      </w:r>
      <w:r>
        <w:rPr>
          <w:rFonts w:hint="eastAsia"/>
        </w:rPr>
        <w:t xml:space="preserve">重心制約（バランス）」の近似最適化を想定しています。</w:t>
      </w:r>
    </w:p>
    <w:p>
      <w:r>
        <w:pict>
          <v:rect style="width:0;height:1.5pt" o:hralign="center" o:hrstd="t" o:hr="t"/>
        </w:pict>
      </w:r>
    </w:p>
    <w:bookmarkEnd w:id="20"/>
    <w:bookmarkStart w:id="21" w:name="コンテナ仕様20ft"/>
    <w:p>
      <w:pPr>
        <w:pStyle w:val="Heading2"/>
      </w:pPr>
      <w:r>
        <w:t xml:space="preserve">2. </w:t>
      </w:r>
      <w:r>
        <w:rPr>
          <w:rFonts w:hint="eastAsia"/>
        </w:rPr>
        <w:t xml:space="preserve">コンテナ仕様（20ft）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内寸</w:t>
      </w:r>
      <w:r>
        <w:rPr>
          <w:rFonts w:hint="eastAsia"/>
        </w:rPr>
        <w:t xml:space="preserve">（内側の有効寸法）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長さ</w:t>
      </w:r>
      <w:r>
        <w:t xml:space="preserve"> L =</w:t>
      </w:r>
      <w:r>
        <w:t xml:space="preserve"> </w:t>
      </w:r>
      <w:r>
        <w:rPr>
          <w:b/>
          <w:bCs/>
        </w:rPr>
        <w:t xml:space="preserve">5,898 mm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幅</w:t>
      </w:r>
      <w:r>
        <w:t xml:space="preserve"> W =</w:t>
      </w:r>
      <w:r>
        <w:t xml:space="preserve"> </w:t>
      </w:r>
      <w:r>
        <w:rPr>
          <w:b/>
          <w:bCs/>
        </w:rPr>
        <w:t xml:space="preserve">2,352 mm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高さ</w:t>
      </w:r>
      <w:r>
        <w:t xml:space="preserve"> H =</w:t>
      </w:r>
      <w:r>
        <w:t xml:space="preserve"> </w:t>
      </w:r>
      <w:r>
        <w:rPr>
          <w:b/>
          <w:bCs/>
        </w:rPr>
        <w:t xml:space="preserve">2,393 mm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最大積載重量（ペイロード）</w:t>
      </w:r>
      <w:r>
        <w:rPr>
          <w:rFonts w:hint="eastAsia"/>
        </w:rPr>
        <w:t xml:space="preserve">：</w:t>
      </w:r>
      <w:r>
        <w:rPr>
          <w:b/>
          <w:bCs/>
        </w:rPr>
        <w:t xml:space="preserve">12,000 kg</w:t>
      </w:r>
    </w:p>
    <w:p>
      <w:pPr>
        <w:pStyle w:val="FirstParagraph"/>
      </w:pPr>
      <w:r>
        <w:rPr>
          <w:rFonts w:hint="eastAsia"/>
        </w:rPr>
        <w:t xml:space="preserve">座標系：</w:t>
      </w:r>
    </w:p>
    <w:p>
      <w:pPr>
        <w:pStyle w:val="Compact"/>
        <w:numPr>
          <w:ilvl w:val="0"/>
          <w:numId w:val="1004"/>
        </w:numPr>
      </w:pPr>
      <w:r>
        <w:t>原点：コンテナ内側の手前左下（床面の角）。※「手前」はドア（開口部）側、奥はコンテナの前壁側とする。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x：長さ方向（0〜L）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y：幅方向（0〜W）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z：高さ方向（0〜H）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床面中心：((X_c,</w:t>
      </w:r>
      <w:r>
        <w:t xml:space="preserve"> Y_c) = (L/2, W/2))</w:t>
      </w:r>
    </w:p>
    <w:p>
      <w:r>
        <w:pict>
          <v:rect style="width:0;height:1.5pt" o:hralign="center" o:hrstd="t" o:hr="t"/>
        </w:pict>
      </w:r>
    </w:p>
    <w:bookmarkEnd w:id="21"/>
    <w:bookmarkStart w:id="22" w:name="箱仕様abc"/>
    <w:p>
      <w:pPr>
        <w:pStyle w:val="Heading2"/>
      </w:pPr>
      <w:r>
        <w:t xml:space="preserve">3. </w:t>
      </w:r>
      <w:r>
        <w:rPr>
          <w:rFonts w:hint="eastAsia"/>
        </w:rPr>
        <w:t xml:space="preserve">箱仕様（A/B/C）</w:t>
      </w:r>
    </w:p>
    <w:p>
      <w:pPr>
        <w:pStyle w:val="FirstParagraph"/>
      </w:pPr>
      <w:r>
        <w:rPr>
          <w:rFonts w:hint="eastAsia"/>
        </w:rPr>
        <w:t xml:space="preserve">すべて直方体。</w:t>
      </w:r>
      <w:r>
        <w:rPr>
          <w:rFonts w:hint="eastAsia"/>
          <w:b/>
          <w:bCs/>
        </w:rPr>
        <w:t xml:space="preserve">天地（上下）は固定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許可する向き（水平回転）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0° または 90° </w:t>
      </w:r>
      <w:r>
        <w:rPr>
          <w:rFonts w:hint="eastAsia"/>
        </w:rPr>
        <w:t xml:space="preserve">のみ（</w:t>
      </w:r>
      <w:r>
        <w:rPr>
          <w:rFonts w:hint="eastAsia"/>
          <w:b/>
          <w:bCs/>
        </w:rPr>
        <w:t xml:space="preserve">長さ×幅の入れ替えは可</w:t>
      </w:r>
      <w:r>
        <w:rPr>
          <w:rFonts w:hint="eastAsia"/>
        </w:rPr>
        <w:t xml:space="preserve">、高さは固定）</w:t>
      </w:r>
    </w:p>
    <w:p>
      <w:pPr>
        <w:pStyle w:val="FirstParagraph"/>
      </w:pPr>
      <w:r>
        <w:rPr>
          <w:rFonts w:hint="eastAsia"/>
        </w:rPr>
        <w:t xml:space="preserve">箱の外形寸法（mm）：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</w:t>
      </w:r>
      <w:r>
        <w:rPr>
          <w:rFonts w:hint="eastAsia"/>
        </w:rPr>
        <w:t xml:space="preserve">：1,400</w:t>
      </w:r>
      <w:r>
        <w:t xml:space="preserve"> × 1,000 × </w:t>
      </w:r>
      <w:r>
        <w:rPr>
          <w:rFonts w:hint="eastAsia"/>
        </w:rPr>
        <w:t xml:space="preserve">800（高さ</w:t>
      </w:r>
      <w:r>
        <w:t xml:space="preserve"> </w:t>
      </w:r>
      <w:r>
        <w:rPr>
          <w:rFonts w:hint="eastAsia"/>
        </w:rPr>
        <w:t xml:space="preserve">800）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</w:t>
      </w:r>
      <w:r>
        <w:rPr>
          <w:rFonts w:hint="eastAsia"/>
        </w:rPr>
        <w:t xml:space="preserve">：1,200</w:t>
      </w:r>
      <w:r>
        <w:t xml:space="preserve"> × 900 × </w:t>
      </w:r>
      <w:r>
        <w:rPr>
          <w:rFonts w:hint="eastAsia"/>
        </w:rPr>
        <w:t xml:space="preserve">700（高さ</w:t>
      </w:r>
      <w:r>
        <w:t xml:space="preserve"> </w:t>
      </w:r>
      <w:r>
        <w:rPr>
          <w:rFonts w:hint="eastAsia"/>
        </w:rPr>
        <w:t xml:space="preserve">700）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</w:t>
      </w:r>
      <w:r>
        <w:rPr>
          <w:rFonts w:hint="eastAsia"/>
        </w:rPr>
        <w:t xml:space="preserve">：</w:t>
      </w:r>
      <w:r>
        <w:t xml:space="preserve"> 800 × 600 × </w:t>
      </w:r>
      <w:r>
        <w:rPr>
          <w:rFonts w:hint="eastAsia"/>
        </w:rPr>
        <w:t xml:space="preserve">600（高さ</w:t>
      </w:r>
      <w:r>
        <w:t xml:space="preserve"> </w:t>
      </w:r>
      <w:r>
        <w:rPr>
          <w:rFonts w:hint="eastAsia"/>
        </w:rPr>
        <w:t xml:space="preserve">600）</w:t>
      </w:r>
    </w:p>
    <w:p>
      <w:r>
        <w:pict>
          <v:rect style="width:0;height:1.5pt" o:hralign="center" o:hrstd="t" o:hr="t"/>
        </w:pict>
      </w:r>
    </w:p>
    <w:bookmarkEnd w:id="22"/>
    <w:bookmarkStart w:id="27" w:name="制約条件"/>
    <w:p>
      <w:pPr>
        <w:pStyle w:val="Heading2"/>
      </w:pPr>
      <w:r>
        <w:t xml:space="preserve">4. </w:t>
      </w:r>
      <w:r>
        <w:rPr>
          <w:rFonts w:hint="eastAsia"/>
        </w:rPr>
        <w:t xml:space="preserve">制約条件</w:t>
      </w:r>
    </w:p>
    <w:bookmarkStart w:id="23" w:name="収容非重なり"/>
    <w:p>
      <w:pPr>
        <w:pStyle w:val="Heading3"/>
      </w:pPr>
      <w:r>
        <w:t xml:space="preserve">4.1 </w:t>
      </w:r>
      <w:r>
        <w:rPr>
          <w:rFonts w:hint="eastAsia"/>
        </w:rPr>
        <w:t xml:space="preserve">収容・非重なり</w:t>
      </w:r>
    </w:p>
    <w:p>
      <w:pPr>
        <w:pStyle w:val="FirstParagraph"/>
      </w:pPr>
      <w:r>
        <w:rPr>
          <w:rFonts w:hint="eastAsia"/>
        </w:rPr>
        <w:t xml:space="preserve">各箱は、割り当てられたコンテナ内に</w:t>
      </w:r>
      <w:r>
        <w:rPr>
          <w:rFonts w:hint="eastAsia"/>
          <w:b/>
          <w:bCs/>
        </w:rPr>
        <w:t xml:space="preserve">完全に収まる</w:t>
      </w:r>
      <w:r>
        <w:t xml:space="preserve">こと。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箱は座標軸に平行（傾けない）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箱同士は</w:t>
      </w:r>
      <w:r>
        <w:rPr>
          <w:rFonts w:hint="eastAsia"/>
          <w:b/>
          <w:bCs/>
        </w:rPr>
        <w:t xml:space="preserve">重なってはいけない</w:t>
      </w:r>
      <w:r>
        <w:rPr>
          <w:rFonts w:hint="eastAsia"/>
        </w:rPr>
        <w:t xml:space="preserve">（内部交差なし）</w:t>
      </w:r>
    </w:p>
    <w:bookmarkEnd w:id="23"/>
    <w:bookmarkStart w:id="24" w:name="積載重量"/>
    <w:p>
      <w:r>
        <w:t>4.2 行先（配送先）制約</w:t>
      </w:r>
    </w:p>
    <w:p>
      <w:r>
        <w:t>各コンテナ内には、同一の行先を持つ箱のみを積載できる（行先が異なる箱を同一コンテナに混載してはならない）。</w:t>
      </w:r>
    </w:p>
    <w:p>
      <w:pPr>
        <w:pStyle w:val="Heading3"/>
      </w:pPr>
      <w:r>
        <w:t>4.3 積載重量</w:t>
      </w:r>
    </w:p>
    <w:p>
      <w:pPr>
        <w:pStyle w:val="FirstParagraph"/>
      </w:pPr>
      <w:r>
        <w:t>各コンテナごとに、割り当てられた箱の重量合計が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12,000 kg </w:t>
      </w:r>
      <w:r>
        <w:rPr>
          <w:rFonts w:hint="eastAsia"/>
          <w:b/>
          <w:bCs/>
        </w:rPr>
        <w:t xml:space="preserve">以下</w:t>
      </w:r>
    </w:p>
    <w:bookmarkEnd w:id="24"/>
    <w:bookmarkStart w:id="25" w:name="置き方の簡易安定条件実装しやすいルール"/>
    <w:p>
      <w:pPr>
        <w:pStyle w:val="Heading3"/>
      </w:pPr>
      <w:r>
        <w:t>4.4 “置き方”の簡易安定条件（実装しやすいルール）</w:t>
      </w:r>
    </w:p>
    <w:p>
      <w:pPr>
        <w:pStyle w:val="FirstParagraph"/>
      </w:pPr>
      <w:r>
        <w:rPr>
          <w:rFonts w:hint="eastAsia"/>
        </w:rPr>
        <w:t xml:space="preserve">以下のどちらかで置くこと：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床置き</w:t>
      </w:r>
      <w:r>
        <w:rPr>
          <w:rFonts w:hint="eastAsia"/>
        </w:rPr>
        <w:t xml:space="preserve">：z</w:t>
      </w:r>
      <w:r>
        <w:t xml:space="preserve"> = 0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単一箱の上に載せる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ある箱</w:t>
      </w:r>
      <w:r>
        <w:t xml:space="preserve"> j </w:t>
      </w:r>
      <w:r>
        <w:rPr>
          <w:rFonts w:hint="eastAsia"/>
        </w:rPr>
        <w:t xml:space="preserve">の上面（z</w:t>
      </w:r>
      <w:r>
        <w:t xml:space="preserve"> = </w:t>
      </w:r>
      <w:r>
        <w:rPr>
          <w:rFonts w:hint="eastAsia"/>
        </w:rPr>
        <w:t xml:space="preserve">上面高さ）に、別の箱</w:t>
      </w:r>
      <w:r>
        <w:t xml:space="preserve"> i </w:t>
      </w:r>
      <w:r>
        <w:rPr>
          <w:rFonts w:hint="eastAsia"/>
        </w:rPr>
        <w:t xml:space="preserve">を載せてよい</w:t>
      </w:r>
    </w:p>
    <w:p>
      <w:pPr>
        <w:pStyle w:val="Compact"/>
        <w:numPr>
          <w:ilvl w:val="1"/>
          <w:numId w:val="1013"/>
        </w:numPr>
      </w:pPr>
      <w:r>
        <w:t>ただし箱 i の底面矩形は、箱 j の上面矩形の内側に完全に収まること（跨ぎ禁止）</w:t>
      </w:r>
    </w:p>
    <w:p>
      <w:pPr>
        <w:pStyle w:val="BlockText"/>
      </w:pPr>
      <w:r>
        <w:rPr>
          <w:rFonts w:hint="eastAsia"/>
        </w:rPr>
        <w:t xml:space="preserve">これにより「空中に浮く」「複数箱にまたがる」などを禁止し、層（レイヤ）法や極点法で扱いやすくします。</w:t>
      </w:r>
    </w:p>
    <w:bookmarkEnd w:id="25"/>
    <w:bookmarkStart w:id="26" w:name="重心制約水平投影が中心から半径30cm以内"/>
    <w:p>
      <w:pPr>
        <w:pStyle w:val="Heading3"/>
      </w:pPr>
      <w:r>
        <w:t>4.5 重心制約（水平投影が中心から半径30cm以内）</w:t>
      </w:r>
    </w:p>
    <w:p>
      <w:pPr>
        <w:pStyle w:val="FirstParagraph"/>
      </w:pPr>
      <w:r>
        <w:rPr>
          <w:rFonts w:hint="eastAsia"/>
        </w:rPr>
        <w:t xml:space="preserve">各コンテナごとに、割り当てられた箱の重心（水平投影）が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床面中心</w:t>
      </w:r>
      <w:r>
        <w:t xml:space="preserve"> ((X_c, Y_c)) から</w:t>
      </w:r>
      <w:r>
        <w:t xml:space="preserve"> </w:t>
      </w:r>
      <w:r>
        <w:rPr>
          <w:rFonts w:hint="eastAsia"/>
          <w:b/>
          <w:bCs/>
        </w:rPr>
        <w:t xml:space="preserve">半径</w:t>
      </w:r>
      <w:r>
        <w:rPr>
          <w:b/>
          <w:bCs/>
        </w:rPr>
        <w:t xml:space="preserve"> 300mm </w:t>
      </w:r>
      <w:r>
        <w:rPr>
          <w:rFonts w:hint="eastAsia"/>
          <w:b/>
          <w:bCs/>
        </w:rPr>
        <w:t xml:space="preserve">以内</w:t>
      </w:r>
    </w:p>
    <w:p>
      <w:pPr>
        <w:pStyle w:val="FirstParagraph"/>
      </w:pPr>
      <w:r>
        <w:rPr>
          <w:rFonts w:hint="eastAsia"/>
        </w:rPr>
        <w:t xml:space="preserve">箱</w:t>
      </w:r>
      <w:r>
        <w:t xml:space="preserve"> i </w:t>
      </w:r>
      <w:r>
        <w:rPr>
          <w:rFonts w:hint="eastAsia"/>
        </w:rPr>
        <w:t xml:space="preserve">の中心座標を</w:t>
      </w:r>
      <w:r>
        <w:t xml:space="preserve"> ((x_i, y_i, </w:t>
      </w:r>
      <w:r>
        <w:rPr>
          <w:rFonts w:hint="eastAsia"/>
        </w:rPr>
        <w:t xml:space="preserve">z_i))、重量を</w:t>
      </w:r>
      <w:r>
        <w:t xml:space="preserve"> (w_i) </w:t>
      </w:r>
      <w:r>
        <w:rPr>
          <w:rFonts w:hint="eastAsia"/>
        </w:rPr>
        <w:t xml:space="preserve">とすると、水平重心は：</w:t>
      </w:r>
    </w:p>
    <w:p>
      <w:pPr>
        <w:pStyle w:val="Compact"/>
        <w:numPr>
          <w:ilvl w:val="0"/>
          <w:numId w:val="1015"/>
        </w:numPr>
      </w:pPr>
      <w:r>
        <w:t>(x̄ = (Σ_i w_i x_i) / (Σ_i w_i))</w:t>
      </w:r>
    </w:p>
    <w:p>
      <w:pPr>
        <w:pStyle w:val="Compact"/>
        <w:numPr>
          <w:ilvl w:val="0"/>
          <w:numId w:val="1015"/>
        </w:numPr>
      </w:pPr>
      <w:r>
        <w:t>(ȳ = (Σ_i w_i y_i) / (Σ_i w_i))</w:t>
      </w:r>
    </w:p>
    <w:p>
      <w:pPr>
        <w:pStyle w:val="FirstParagraph"/>
      </w:pPr>
      <w:r>
        <w:rPr>
          <w:rFonts w:hint="eastAsia"/>
        </w:rPr>
        <w:t xml:space="preserve">制約：</w:t>
      </w:r>
    </w:p>
    <w:p>
      <w:pPr>
        <w:pStyle w:val="Compact"/>
        <w:numPr>
          <w:ilvl w:val="0"/>
          <w:numId w:val="1016"/>
        </w:numPr>
      </w:pPr>
      <w:r>
        <w:t>(x̄ - X_c)^2 + (ȳ - Y_c)^2 ≤ 300^2</w:t>
      </w:r>
    </w:p>
    <w:p>
      <w:pPr>
        <w:pStyle w:val="FirstParagraph"/>
      </w:pPr>
      <w:r>
        <w:rPr>
          <w:rFonts w:hint="eastAsia"/>
          <w:b/>
          <w:bCs/>
        </w:rPr>
        <w:t xml:space="preserve">箱中心座標の計算</w:t>
      </w:r>
      <w:r>
        <w:rPr>
          <w:rFonts w:hint="eastAsia"/>
        </w:rPr>
        <w:t xml:space="preserve">（配置が左下手前角</w:t>
      </w:r>
      <w:r>
        <w:t xml:space="preserve"> ((x^{pos}, y^{pos}, z^{pos})) </w:t>
      </w:r>
      <w:r>
        <w:rPr>
          <w:rFonts w:hint="eastAsia"/>
        </w:rPr>
        <w:t xml:space="preserve">のとき）：</w:t>
      </w:r>
    </w:p>
    <w:p>
      <w:pPr>
        <w:pStyle w:val="Compact"/>
        <w:numPr>
          <w:ilvl w:val="0"/>
          <w:numId w:val="1017"/>
        </w:numPr>
      </w:pPr>
      <w:r>
        <w:t>(x_i = x^{pos} + l_i/2)</w:t>
      </w:r>
    </w:p>
    <w:p>
      <w:pPr>
        <w:pStyle w:val="Compact"/>
        <w:numPr>
          <w:ilvl w:val="0"/>
          <w:numId w:val="1017"/>
        </w:numPr>
      </w:pPr>
      <w:r>
        <w:t>(y_i = y^{pos} + w_i/2)</w:t>
      </w:r>
    </w:p>
    <w:p>
      <w:pPr>
        <w:pStyle w:val="Compact"/>
        <w:numPr>
          <w:ilvl w:val="0"/>
          <w:numId w:val="1017"/>
        </w:numPr>
      </w:pPr>
      <w:r>
        <w:t>(z_i = z^{pos} + h_i/2)</w:t>
      </w:r>
    </w:p>
    <w:p>
      <w:r>
        <w:t>ここで (l_i, w_i, h_i) は箱 i の（長さ, 幅, 高さ）で、向きが 0° のとき (l_i, w_i) = (長辺, 短辺)、90° のとき (l_i, w_i) = (短辺, 長辺) とする。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目的関数評価"/>
    <w:p>
      <w:pPr>
        <w:pStyle w:val="Heading2"/>
      </w:pPr>
      <w:r>
        <w:t xml:space="preserve">5. </w:t>
      </w:r>
      <w:r>
        <w:rPr>
          <w:rFonts w:hint="eastAsia"/>
        </w:rPr>
        <w:t xml:space="preserve">目的関数（評価）</w:t>
      </w:r>
    </w:p>
    <w:bookmarkStart w:id="28" w:name="一次目的"/>
    <w:p>
      <w:pPr>
        <w:pStyle w:val="Heading3"/>
      </w:pPr>
      <w:r>
        <w:t xml:space="preserve">5.1 </w:t>
      </w:r>
      <w:r>
        <w:rPr>
          <w:rFonts w:hint="eastAsia"/>
        </w:rPr>
        <w:t xml:space="preserve">一次目的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使用コンテナ本数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を最小化</w:t>
      </w:r>
    </w:p>
    <w:bookmarkEnd w:id="28"/>
    <w:bookmarkStart w:id="29" w:name="タイブレーク同じ-n-の場合"/>
    <w:p>
      <w:pPr>
        <w:pStyle w:val="Heading3"/>
      </w:pPr>
      <w:r>
        <w:t xml:space="preserve">5.2 </w:t>
      </w:r>
      <w:r>
        <w:rPr>
          <w:rFonts w:hint="eastAsia"/>
        </w:rPr>
        <w:t xml:space="preserve">タイブレーク（同じ</w:t>
      </w:r>
      <w:r>
        <w:t xml:space="preserve"> N </w:t>
      </w:r>
      <w:r>
        <w:rPr>
          <w:rFonts w:hint="eastAsia"/>
        </w:rPr>
        <w:t xml:space="preserve">の場合）</w:t>
      </w:r>
    </w:p>
    <w:p>
      <w:pPr>
        <w:pStyle w:val="FirstParagraph"/>
      </w:pPr>
      <w:r>
        <w:rPr>
          <w:rFonts w:hint="eastAsia"/>
        </w:rPr>
        <w:t xml:space="preserve">以下を順に比較：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最悪コンテナの重心距離</w:t>
      </w:r>
      <w:r>
        <w:t xml:space="preserve"> </w:t>
      </w:r>
      <w:r>
        <w:t xml:space="preserve">(</w:t>
      </w:r>
      <w:r>
        <w:t xml:space="preserve">_k d_k) </w:t>
      </w:r>
      <w:r>
        <w:rPr>
          <w:rFonts w:hint="eastAsia"/>
        </w:rPr>
        <w:t xml:space="preserve">を最小化（小さいほど良い）</w:t>
      </w:r>
    </w:p>
    <w:p>
      <w:pPr>
        <w:pStyle w:val="Compact"/>
        <w:numPr>
          <w:ilvl w:val="1"/>
          <w:numId w:val="1020"/>
        </w:numPr>
      </w:pPr>
      <w:r>
        <w:t xml:space="preserve">(d_k =</w:t>
      </w:r>
      <w:r>
        <w:t xml:space="preserve"> 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総空き体積</w:t>
      </w:r>
      <w:r>
        <w:rPr>
          <w:rFonts w:hint="eastAsia"/>
        </w:rPr>
        <w:t xml:space="preserve">（2D/3Dの厳密計算が難しい場合は、箱体積合計での「充填率」でも可）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提出物印刷して採点できる形式"/>
    <w:p>
      <w:pPr>
        <w:pStyle w:val="Heading2"/>
      </w:pPr>
      <w:r>
        <w:t xml:space="preserve">6. </w:t>
      </w:r>
      <w:r>
        <w:rPr>
          <w:rFonts w:hint="eastAsia"/>
        </w:rPr>
        <w:t xml:space="preserve">提出物（印刷して採点できる形式）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使用コンテナ本数</w:t>
      </w:r>
      <w:r>
        <w:t xml:space="preserve"> N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各コンテナの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割り当て箱ID一覧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総重量</w:t>
      </w:r>
    </w:p>
    <w:p>
      <w:pPr>
        <w:pStyle w:val="Compact"/>
        <w:numPr>
          <w:ilvl w:val="1"/>
          <w:numId w:val="1022"/>
        </w:numPr>
      </w:pPr>
      <w:r>
        <w:t>箱ID / 種類 / 重量(kg) / 行先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レイアウト表</w:t>
      </w:r>
      <w:r>
        <w:rPr>
          <w:rFonts w:hint="eastAsia"/>
        </w:rPr>
        <w:t xml:space="preserve">（箱ごと）：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箱ID</w:t>
      </w:r>
      <w:r>
        <w:t xml:space="preserve"> / </w:t>
      </w:r>
      <w:r>
        <w:rPr>
          <w:rFonts w:hint="eastAsia"/>
        </w:rPr>
        <w:t xml:space="preserve">種類</w:t>
      </w:r>
      <w:r>
        <w:t xml:space="preserve"> / </w:t>
      </w:r>
      <w:r>
        <w:rPr>
          <w:rFonts w:hint="eastAsia"/>
        </w:rPr>
        <w:t xml:space="preserve">重量(kg)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コンテナ番号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向き（0°</w:t>
      </w:r>
      <w:r>
        <w:t xml:space="preserve"> or </w:t>
      </w:r>
      <w:r>
        <w:rPr>
          <w:rFonts w:hint="eastAsia"/>
        </w:rPr>
        <w:t xml:space="preserve">90°）</w:t>
      </w:r>
    </w:p>
    <w:p>
      <w:pPr>
        <w:pStyle w:val="Compact"/>
        <w:numPr>
          <w:ilvl w:val="1"/>
          <w:numId w:val="1023"/>
        </w:numPr>
      </w:pPr>
      <w:r>
        <w:t>配置（左下手前角＝ドア側左下の床角からの座標）((x^{pos}, y^{pos}, z^{pos})) [mm]</w:t>
      </w:r>
    </w:p>
    <w:p>
      <w:r>
        <w:pict>
          <v:rect style="width:0;height:1.5pt" o:hralign="center" o:hrstd="t" o:hr="t"/>
        </w:pict>
      </w:r>
    </w:p>
    <w:bookmarkEnd w:id="31"/>
    <w:bookmarkStart w:id="37" w:name="入力データ今回の問題インスタンス"/>
    <w:p>
      <w:pPr>
        <w:pStyle w:val="Heading2"/>
      </w:pPr>
      <w:r>
        <w:t xml:space="preserve">7. </w:t>
      </w:r>
      <w:r>
        <w:rPr>
          <w:rFonts w:hint="eastAsia"/>
        </w:rPr>
        <w:t xml:space="preserve">入力データ（今回の問題インスタンス）</w:t>
      </w:r>
    </w:p>
    <w:bookmarkStart w:id="32" w:name="箱一覧合計80箱"/>
    <w:p>
      <w:pPr>
        <w:pStyle w:val="Heading3"/>
      </w:pPr>
      <w:r>
        <w:t xml:space="preserve">7.1 </w:t>
      </w:r>
      <w:r>
        <w:rPr>
          <w:rFonts w:hint="eastAsia"/>
        </w:rPr>
        <w:t xml:space="preserve">箱一覧（合計80箱）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A：30箱（A01〜A30）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B：30箱（B01〜B30）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C：20箱（C01〜C20）</w:t>
      </w:r>
    </w:p>
    <w:p>
      <w:r>
        <w:t>※各箱には行先 Dest が付与され、Dest は "X" または "Y" のいずれかで与えられます。</w:t>
      </w:r>
    </w:p>
    <w:p>
      <w:pPr>
        <w:pStyle w:val="BlockText"/>
      </w:pPr>
      <w:r>
        <w:rPr>
          <w:rFonts w:hint="eastAsia"/>
        </w:rPr>
        <w:t xml:space="preserve">※寸法は種類で固定、重量は箱ごとに異なります。</w:t>
      </w:r>
    </w:p>
    <w:bookmarkEnd w:id="32"/>
    <w:bookmarkStart w:id="36" w:name="重量データkg"/>
    <w:p>
      <w:pPr>
        <w:pStyle w:val="Heading3"/>
      </w:pPr>
      <w:r>
        <w:t xml:space="preserve">7.2 </w:t>
      </w:r>
      <w:r>
        <w:rPr>
          <w:rFonts w:hint="eastAsia"/>
        </w:rPr>
        <w:t xml:space="preserve">重量データ（kg）</w:t>
      </w:r>
    </w:p>
    <w:bookmarkStart w:id="33" w:name="a14001000800"/>
    <w:p>
      <w:pPr>
        <w:pStyle w:val="Heading4"/>
      </w:pPr>
      <w:r>
        <w:rPr>
          <w:rFonts w:hint="eastAsia"/>
        </w:rPr>
        <w:t xml:space="preserve">A（1,400×1,000×800）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A21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  <w:tc>
          <w:tcPr/>
          <w:p>
            <w:pPr>
              <w:pStyle w:val="Compact"/>
            </w:pPr>
            <w:r>
              <w:t xml:space="preserve">A22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t xml:space="preserve">A13</w:t>
            </w:r>
          </w:p>
        </w:tc>
        <w:tc>
          <w:tcPr/>
          <w:p>
            <w:pPr>
              <w:pStyle w:val="Compact"/>
            </w:pPr>
            <w:r>
              <w:t xml:space="preserve">355</w:t>
            </w:r>
          </w:p>
        </w:tc>
        <w:tc>
          <w:tcPr/>
          <w:p>
            <w:pPr>
              <w:pStyle w:val="Compact"/>
            </w:pPr>
            <w:r>
              <w:t xml:space="preserve">A23</w:t>
            </w:r>
          </w:p>
        </w:tc>
        <w:tc>
          <w:tcPr/>
          <w:p>
            <w:pPr>
              <w:pStyle w:val="Compact"/>
            </w:pPr>
            <w:r>
              <w:t xml:space="preserve">430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A14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A24</w:t>
            </w:r>
          </w:p>
        </w:tc>
        <w:tc>
          <w:tcPr/>
          <w:p>
            <w:pPr>
              <w:pStyle w:val="Compact"/>
            </w:pPr>
            <w:r>
              <w:t xml:space="preserve">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A15</w:t>
            </w:r>
          </w:p>
        </w:tc>
        <w:tc>
          <w:tcPr/>
          <w:p>
            <w:pPr>
              <w:pStyle w:val="Compact"/>
            </w:pPr>
            <w:r>
              <w:t xml:space="preserve">395</w:t>
            </w:r>
          </w:p>
        </w:tc>
        <w:tc>
          <w:tcPr/>
          <w:p>
            <w:pPr>
              <w:pStyle w:val="Compact"/>
            </w:pPr>
            <w:r>
              <w:t xml:space="preserve">A25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A16</w:t>
            </w:r>
          </w:p>
        </w:tc>
        <w:tc>
          <w:tcPr/>
          <w:p>
            <w:pPr>
              <w:pStyle w:val="Compac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A26</w:t>
            </w:r>
          </w:p>
        </w:tc>
        <w:tc>
          <w:tcPr/>
          <w:p>
            <w:pPr>
              <w:pStyle w:val="Compact"/>
            </w:pPr>
            <w:r>
              <w:t xml:space="preserve">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A17</w:t>
            </w:r>
          </w:p>
        </w:tc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t xml:space="preserve">A27</w:t>
            </w:r>
          </w:p>
        </w:tc>
        <w:tc>
          <w:tcPr/>
          <w:p>
            <w:pPr>
              <w:pStyle w:val="Compact"/>
            </w:pPr>
            <w:r>
              <w:t xml:space="preserve">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</w:t>
            </w:r>
          </w:p>
        </w:tc>
        <w:tc>
          <w:tcPr/>
          <w:p>
            <w:pPr>
              <w:pStyle w:val="Compact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  <w:r>
              <w:t xml:space="preserve">A18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A28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A19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A29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A20</w:t>
            </w:r>
          </w:p>
        </w:tc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A30</w:t>
            </w:r>
          </w:p>
        </w:tc>
        <w:tc>
          <w:tcPr/>
          <w:p>
            <w:pPr>
              <w:pStyle w:val="Compact"/>
            </w:pPr>
            <w:r>
              <w:t xml:space="preserve">345</w:t>
            </w:r>
          </w:p>
        </w:tc>
      </w:tr>
    </w:tbl>
    <w:bookmarkEnd w:id="33"/>
    <w:bookmarkStart w:id="34" w:name="b1200900700"/>
    <w:p>
      <w:pPr>
        <w:pStyle w:val="Heading4"/>
      </w:pPr>
      <w:r>
        <w:rPr>
          <w:rFonts w:hint="eastAsia"/>
        </w:rPr>
        <w:t xml:space="preserve">B（1,200×900×700）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B21</w:t>
            </w:r>
          </w:p>
        </w:tc>
        <w:tc>
          <w:tcPr/>
          <w:p>
            <w:pPr>
              <w:pStyle w:val="Compact"/>
            </w:pPr>
            <w:r>
              <w:t xml:space="preserve">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B12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B22</w:t>
            </w:r>
          </w:p>
        </w:tc>
        <w:tc>
          <w:tcPr/>
          <w:p>
            <w:pPr>
              <w:pStyle w:val="Compact"/>
            </w:pPr>
            <w:r>
              <w:t xml:space="preserve">290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t xml:space="preserve">B13</w:t>
            </w:r>
          </w:p>
        </w:tc>
        <w:tc>
          <w:tcPr/>
          <w:p>
            <w:pPr>
              <w:pStyle w:val="Compac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B23</w:t>
            </w:r>
          </w:p>
        </w:tc>
        <w:tc>
          <w:tcPr/>
          <w:p>
            <w:pPr>
              <w:pStyle w:val="Compact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B14</w:t>
            </w:r>
          </w:p>
        </w:tc>
        <w:tc>
          <w:tcPr/>
          <w:p>
            <w:pPr>
              <w:pStyle w:val="Compact"/>
            </w:pPr>
            <w:r>
              <w:t xml:space="preserve">235</w:t>
            </w:r>
          </w:p>
        </w:tc>
        <w:tc>
          <w:tcPr/>
          <w:p>
            <w:pPr>
              <w:pStyle w:val="Compact"/>
            </w:pPr>
            <w:r>
              <w:t xml:space="preserve">B24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</w:t>
            </w:r>
          </w:p>
        </w:tc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B15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B25</w:t>
            </w:r>
          </w:p>
        </w:tc>
        <w:tc>
          <w:tcPr/>
          <w:p>
            <w:pPr>
              <w:pStyle w:val="Compact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B16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B26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B17</w:t>
            </w:r>
          </w:p>
        </w:tc>
        <w:tc>
          <w:tcPr/>
          <w:p>
            <w:pPr>
              <w:pStyle w:val="Compact"/>
            </w:pPr>
            <w:r>
              <w:t xml:space="preserve">265</w:t>
            </w:r>
          </w:p>
        </w:tc>
        <w:tc>
          <w:tcPr/>
          <w:p>
            <w:pPr>
              <w:pStyle w:val="Compact"/>
            </w:pPr>
            <w:r>
              <w:t xml:space="preserve">B27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B18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B28</w:t>
            </w:r>
          </w:p>
        </w:tc>
        <w:tc>
          <w:tcPr/>
          <w:p>
            <w:pPr>
              <w:pStyle w:val="Compac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B09</w:t>
            </w:r>
          </w:p>
        </w:tc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B19</w:t>
            </w:r>
          </w:p>
        </w:tc>
        <w:tc>
          <w:tcPr/>
          <w:p>
            <w:pPr>
              <w:pStyle w:val="Compact"/>
            </w:pPr>
            <w:r>
              <w:t xml:space="preserve">305</w:t>
            </w:r>
          </w:p>
        </w:tc>
        <w:tc>
          <w:tcPr/>
          <w:p>
            <w:pPr>
              <w:pStyle w:val="Compact"/>
            </w:pPr>
            <w:r>
              <w:t xml:space="preserve">B29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B10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B20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195</w:t>
            </w:r>
          </w:p>
        </w:tc>
      </w:tr>
    </w:tbl>
    <w:bookmarkEnd w:id="34"/>
    <w:bookmarkStart w:id="35" w:name="c800600600"/>
    <w:p>
      <w:pPr>
        <w:pStyle w:val="Heading4"/>
      </w:pPr>
      <w:r>
        <w:rPr>
          <w:rFonts w:hint="eastAsia"/>
        </w:rPr>
        <w:t xml:space="preserve">C（800×600×600）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C06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C16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C07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C17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C08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C13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C18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C09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C14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C19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C05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C15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C20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</w:tr>
    </w:tbl>
    <w:bookmarkEnd w:id="35"/>
    <w:bookmarkEnd w:id="36"/>
    <w:bookmarkEnd w:id="37"/>
    <w:bookmarkStart w:id="38" w:name="section"/>
    <w:p>
      <w:pPr>
        <w:pStyle w:val="Heading2"/>
      </w:pPr>
    </w:p>
    <w:bookmarkEnd w:id="38"/>
    <w:bookmarkEnd w:id="39"/>
    <w:p/>
    <w:p>
      <w:r>
        <w:t>7.3 行先データ（X/Y）</w:t>
      </w:r>
    </w:p>
    <w:p>
      <w:r>
        <w:t>以下に各箱の行先 Dest（"X" または "Y"）を示します。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箱ID</w:t>
            </w:r>
          </w:p>
        </w:tc>
        <w:tc>
          <w:tcPr>
            <w:tcW w:type="dxa" w:w="4680"/>
          </w:tcPr>
          <w:p>
            <w:r>
              <w:t>行先 Dest</w:t>
            </w:r>
          </w:p>
        </w:tc>
      </w:tr>
      <w:tr>
        <w:tc>
          <w:tcPr>
            <w:tcW w:type="dxa" w:w="4680"/>
          </w:tcPr>
          <w:p>
            <w:r>
              <w:t>A01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A02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A03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A04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A05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A06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A07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A08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A09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A10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A11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A12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A13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A14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A15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A16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A17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A18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A19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A20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A21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A22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A23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A24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A25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A26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A27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A28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A29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A30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B01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B02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B03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B04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B05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B06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B07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B08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B09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B10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B11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B12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B13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B14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B15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B16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B17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B18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B19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B20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B21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B22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B23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B24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B25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B26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B27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B28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B29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B30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C01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C02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C03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C04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C05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C06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C07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C08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C09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C10</w:t>
            </w:r>
          </w:p>
        </w:tc>
        <w:tc>
          <w:tcPr>
            <w:tcW w:type="dxa" w:w="4680"/>
          </w:tcPr>
          <w:p>
            <w:r>
              <w:t>X</w:t>
            </w:r>
          </w:p>
        </w:tc>
      </w:tr>
      <w:tr>
        <w:tc>
          <w:tcPr>
            <w:tcW w:type="dxa" w:w="4680"/>
          </w:tcPr>
          <w:p>
            <w:r>
              <w:t>C11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C12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C13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C14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C15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C16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C17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C18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C19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C20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2026-01-07T02:28:37Z</dcterms:created>
  <dcterms:modified xsi:type="dcterms:W3CDTF">2026-01-07T02:28:37Z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