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Identidade visual do FX Solution</w:t>
      </w:r>
    </w:p>
    <w:p>
      <w:pPr>
        <w:pStyle w:val="Subtitle"/>
      </w:pPr>
      <w:r>
        <w:t>Guia para aplicar a marca e a interface em outro CRM</w:t>
      </w:r>
    </w:p>
    <w:p>
      <w:r>
        <w:t>Flix Company  |  Edição de 17 de setembro de 2026</w:t>
      </w:r>
    </w:p>
    <w:p>
      <w:r>
        <w:t>Use este guia e os arquivos do kit para reproduzir a aparência do FX Solution em um novo sistema. O objetivo é transferir a marca, os componentes e o comportamento visual, mantendo as funções e os dados do novo CRM sob a sua própria arquitetura.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 descr="Identidade principal: símbolo FX metálico, fundo grafite e destaque cor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636A75"/>
          <w:sz w:val="18"/>
        </w:rPr>
        <w:t>Identidade principal: símbolo FX metálico, fundo grafite e destaque coral.</w:t>
      </w:r>
    </w:p>
    <w:p>
      <w:pPr>
        <w:pStyle w:val="Heading2"/>
      </w:pPr>
      <w:r>
        <w:t>Como usar esta entrega</w:t>
      </w:r>
    </w:p>
    <w:p>
      <w:pPr>
        <w:pStyle w:val="ListBullet"/>
      </w:pPr>
      <w:r>
        <w:t>Leia o guia para entender as decisões visuais e as medidas.</w:t>
      </w:r>
    </w:p>
    <w:p>
      <w:pPr>
        <w:pStyle w:val="ListBullet"/>
      </w:pPr>
      <w:r>
        <w:t>Use os SVGs, imagens, fontes e tokens do pacote como referência de implementação.</w:t>
      </w:r>
    </w:p>
    <w:p>
      <w:pPr>
        <w:pStyle w:val="ListBullet"/>
      </w:pPr>
      <w:r>
        <w:t>Abra preview/index.html para consultar as telas de exemplo.</w:t>
      </w:r>
    </w:p>
    <w:p>
      <w:pPr>
        <w:pStyle w:val="ListBullet"/>
      </w:pPr>
      <w:r>
        <w:t>Entregue docs/PROMPT-PARA-IA.md à IA responsável pelo novo CRM.</w:t>
      </w:r>
    </w:p>
    <w:p>
      <w:r>
        <w:t>O pacote visual contém arquivos de marca e exemplos com conteúdo neutro. A base visual é a edição do projeto identificada pela revisão e2748be9d27a, preservada no arquivo de referência.</w:t>
      </w:r>
    </w:p>
    <w:p>
      <w:pPr>
        <w:pStyle w:val="Heading1"/>
        <w:pageBreakBefore/>
      </w:pPr>
      <w:r>
        <w:t>A marca e suas assinaturas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1200150"/>
            <wp:docPr id="2" name="Picture 2" descr="Da esquerda para a direita: assinatura horizontal, símbolo da interface e favicon origi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0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636A75"/>
          <w:sz w:val="18"/>
        </w:rPr>
        <w:t>Da esquerda para a direita: assinatura horizontal, símbolo da interface e favicon original.</w:t>
      </w:r>
    </w:p>
    <w:p>
      <w:r>
        <w:t>A marca combina o monograma FX de traços angulares com a assinatura FX SOLUTION. O símbolo funciona sozinho em áreas compactas; a assinatura completa identifica a plataforma na entrada e na navegação lateral. OPERATION INTELLIGENCE é o descritivo secundário presente no projeto.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7056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Valor da interface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Símbolo vetorial</w:t>
            </w:r>
          </w:p>
        </w:tc>
        <w:tc>
          <w:tcPr>
            <w:tcW w:type="dxa" w:w="70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viewBox 0 0 64 64; dois paths; preenchimento currentColor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Símbolo na assinatura</w:t>
            </w:r>
          </w:p>
        </w:tc>
        <w:tc>
          <w:tcPr>
            <w:tcW w:type="dxa" w:w="705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39 × 39 px; cor #F2F2F4; distância de 10 px para o texto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FX</w:t>
            </w:r>
          </w:p>
        </w:tc>
        <w:tc>
          <w:tcPr>
            <w:tcW w:type="dxa" w:w="70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Outfit 17 px, peso 600, espaçamento 1 px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SOLUTION</w:t>
            </w:r>
          </w:p>
        </w:tc>
        <w:tc>
          <w:tcPr>
            <w:tcW w:type="dxa" w:w="705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Outfit 12 px, peso 400, espaçamento 1,3 px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Descritivo</w:t>
            </w:r>
          </w:p>
        </w:tc>
        <w:tc>
          <w:tcPr>
            <w:tcW w:type="dxa" w:w="70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IBM Plex Mono 6,7 px; espaçamento 1,3 px; cor #959AA5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Marca na entrada móvel</w:t>
            </w:r>
          </w:p>
        </w:tc>
        <w:tc>
          <w:tcPr>
            <w:tcW w:type="dxa" w:w="705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Símbolo de 31 px; assinatura principal de 15 px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Heading2"/>
      </w:pPr>
      <w:r>
        <w:t>Arquivos para aplicação</w:t>
      </w:r>
    </w:p>
    <w:p>
      <w:r>
        <w:t>Use assets/fx-symbol-ui.svg no modo inline para herdar currentColor. Use fx-symbol-light.svg ou fx-symbol-coral.svg como imagem externa. O componente components/FXBrand.tsx preserva a composição HTML original. fx-logo-horizontal.svg é uma versão em curvas preparada para esta entrega, sem depender da instalação de fontes.</w:t>
      </w:r>
    </w:p>
    <w:p>
      <w:r>
        <w:t>Preserve os arquivos como variantes distintas: o monograma da interface, o favicon e a escultura metálica têm desenhos diferentes na base original. Não substitua todos por um símbolo novo gerado por IA.</w:t>
      </w:r>
    </w:p>
    <w:p>
      <w:pPr>
        <w:pStyle w:val="Heading2"/>
      </w:pPr>
      <w:r>
        <w:t>Regras para o novo CRM</w:t>
      </w:r>
    </w:p>
    <w:p>
      <w:r>
        <w:t>Mantenha a proporção original. Como regra de aplicação, reserve ao redor do símbolo pelo menos metade da sua altura. Sobre fundos claros, use um suporte escuro para a assinatura branca. O nome da empresa cliente pode variar no workspace; o selo FX continua identificando a plataforma.</w:t>
      </w:r>
    </w:p>
    <w:p>
      <w:pPr>
        <w:pStyle w:val="Heading1"/>
        <w:pageBreakBefore/>
      </w:pPr>
      <w:r>
        <w:t>Imagens favicon e arquivos de marca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080260"/>
            <wp:docPr id="3" name="Picture 3" descr="Arte vertical de entrada, capa horizontal e imagem de compartilhamento incluídas no k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636A75"/>
          <w:sz w:val="18"/>
        </w:rPr>
        <w:t>Arte vertical de entrada, capa horizontal e imagem de compartilhamento incluídas no kit.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2016"/>
        <w:gridCol w:w="4248"/>
      </w:tblGrid>
      <w:tr>
        <w:trPr>
          <w:cantSplit/>
          <w:tblHeader/>
        </w:trPr>
        <w:tc>
          <w:tcPr>
            <w:tcW w:type="dxa" w:w="3816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Arquivo em assets</w:t>
            </w:r>
          </w:p>
        </w:tc>
        <w:tc>
          <w:tcPr>
            <w:tcW w:type="dxa" w:w="2016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Dimensões</w:t>
            </w:r>
          </w:p>
        </w:tc>
        <w:tc>
          <w:tcPr>
            <w:tcW w:type="dxa" w:w="4248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Aplicação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fx-brand.webp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1400 × 1738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Arte principal da entrada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fx-cover.webp</w:t>
            </w:r>
          </w:p>
        </w:tc>
        <w:tc>
          <w:tcPr>
            <w:tcW w:type="dxa" w:w="201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1800 × 1200</w:t>
            </w:r>
          </w:p>
        </w:tc>
        <w:tc>
          <w:tcPr>
            <w:tcW w:type="dxa" w:w="424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Capa de apresentação da marca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fx-og.webp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1200 × 630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Prévia de compartilhamento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favicon.svg</w:t>
            </w:r>
          </w:p>
        </w:tc>
        <w:tc>
          <w:tcPr>
            <w:tcW w:type="dxa" w:w="201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viewBox 64 × 64</w:t>
            </w:r>
          </w:p>
        </w:tc>
        <w:tc>
          <w:tcPr>
            <w:tcW w:type="dxa" w:w="424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Ícone vetorial do navegador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icon-32.png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32 × 32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Favicon raster de apoio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icon-180.png</w:t>
            </w:r>
          </w:p>
        </w:tc>
        <w:tc>
          <w:tcPr>
            <w:tcW w:type="dxa" w:w="201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180 × 180</w:t>
            </w:r>
          </w:p>
        </w:tc>
        <w:tc>
          <w:tcPr>
            <w:tcW w:type="dxa" w:w="424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Apple touch icon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icon-192.png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192 × 192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Ícone do aplicativo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icon-512.png</w:t>
            </w:r>
          </w:p>
        </w:tc>
        <w:tc>
          <w:tcPr>
            <w:tcW w:type="dxa" w:w="201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512 × 512</w:t>
            </w:r>
          </w:p>
        </w:tc>
        <w:tc>
          <w:tcPr>
            <w:tcW w:type="dxa" w:w="424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Ícone maior do aplicativo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r>
        <w:t>A imagem fx-brand.webp mostra uma peça metálica prateada, com faces vermelhas, apoiada em uma superfície cinza. Ela é o foco visual da entrada. A capa e a imagem Open Graph já contêm textos incorporados; são peças de apresentação, não substitutos do fundo de login.</w:t>
      </w:r>
    </w:p>
    <w:p>
      <w:r>
        <w:t>O favicon SVG tem fundo #181A1E, cantos de 13 unidades e símbolo #E46674. Preserve também as versões PNG originais. Os novos SVGs do símbolo e da assinatura estão identificados no inventário assets/manifest.json.</w:t>
      </w:r>
    </w:p>
    <w:p>
      <w:r>
        <w:t>No novo projeto, copie os arquivos para a pasta pública de assets e ajuste os caminhos do manifest. Use o domínio do novo sistema para og:image. Não copie URLs de publicação, títulos operacionais ou descrições do sistema anterior.</w:t>
      </w:r>
    </w:p>
    <w:p>
      <w:pPr>
        <w:pStyle w:val="Heading1"/>
        <w:pageBreakBefore/>
      </w:pPr>
      <w:r>
        <w:t>Cores e hierarquia visual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1400175"/>
            <wp:docPr id="4" name="Picture 4" descr="Paleta principal extraída das regras da interface. Os valores completos estão em design-tokens.j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636A75"/>
          <w:sz w:val="18"/>
        </w:rPr>
        <w:t>Paleta principal extraída das regras da interface. Os valores completos estão em design-tokens.json.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800"/>
        <w:gridCol w:w="5616"/>
      </w:tblGrid>
      <w:tr>
        <w:trPr>
          <w:cantSplit/>
          <w:tblHeader/>
        </w:trPr>
        <w:tc>
          <w:tcPr>
            <w:tcW w:type="dxa" w:w="2664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1800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Cor</w:t>
            </w:r>
          </w:p>
        </w:tc>
        <w:tc>
          <w:tcPr>
            <w:tcW w:type="dxa" w:w="5616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Orientação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Fundo global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#101113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Base escura contínua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Sidebar e topbar</w:t>
            </w:r>
          </w:p>
        </w:tc>
        <w:tc>
          <w:tcPr>
            <w:tcW w:type="dxa" w:w="1800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#141518</w:t>
            </w:r>
          </w:p>
        </w:tc>
        <w:tc>
          <w:tcPr>
            <w:tcW w:type="dxa" w:w="561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Estrutura persistente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Cards e painéis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#181A1E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Conteúdo agrupado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Borda principal</w:t>
            </w:r>
          </w:p>
        </w:tc>
        <w:tc>
          <w:tcPr>
            <w:tcW w:type="dxa" w:w="1800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#2A2C32</w:t>
            </w:r>
          </w:p>
        </w:tc>
        <w:tc>
          <w:tcPr>
            <w:tcW w:type="dxa" w:w="561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Separação de 1 px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Texto principal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#ECEDEF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Títulos, valores e leitura prioritária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Texto secundário</w:t>
            </w:r>
          </w:p>
        </w:tc>
        <w:tc>
          <w:tcPr>
            <w:tcW w:type="dxa" w:w="1800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#989DA8</w:t>
            </w:r>
          </w:p>
        </w:tc>
        <w:tc>
          <w:tcPr>
            <w:tcW w:type="dxa" w:w="561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Descrições e suporte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Ação principal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#DF4650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Botões primários e seleção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Texto de destaque</w:t>
            </w:r>
          </w:p>
        </w:tc>
        <w:tc>
          <w:tcPr>
            <w:tcW w:type="dxa" w:w="1800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#F1848C</w:t>
            </w:r>
          </w:p>
        </w:tc>
        <w:tc>
          <w:tcPr>
            <w:tcW w:type="dxa" w:w="561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Ênfase coral suave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Foco por teclado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#F68A93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Contorno visível de 2 px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Ícones comuns</w:t>
            </w:r>
          </w:p>
        </w:tc>
        <w:tc>
          <w:tcPr>
            <w:tcW w:type="dxa" w:w="1800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#A6ACB6</w:t>
            </w:r>
          </w:p>
        </w:tc>
        <w:tc>
          <w:tcPr>
            <w:tcW w:type="dxa" w:w="561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Controles secundários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r>
        <w:t>A base é predominantemente escura e neutra. O coral identifica a ação principal, a seleção e os pontos de atenção. Tons frios de azul e vinho aparecem em conversas, modais e blocos do funil; eles complementam a marca sem tomar o lugar do coral.</w:t>
      </w:r>
    </w:p>
    <w:p>
      <w:r>
        <w:t>Estados: sucesso usa texto #79C4A0, atenção #D9BA80 e erro #F18B94. Aplique os fundos translúcidos e as bordas especificados nos tokens; não use preenchimentos verdes, amarelos ou vermelhos saturados em grandes áreas.</w:t>
      </w:r>
    </w:p>
    <w:p>
      <w:r>
        <w:t>A cor configurável original é --accent. Para personalização consistente no novo CRM, derive também as transparências, os estados de seleção e as cores de foco. Trocar apenas o botão deixa outros detalhes presos à cor anterior.</w:t>
      </w:r>
    </w:p>
    <w:p>
      <w:pPr>
        <w:pStyle w:val="Heading1"/>
        <w:pageBreakBefore/>
      </w:pPr>
      <w:r>
        <w:t>Tipografia medidas e organização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  <w:tblHeader/>
        </w:trPr>
        <w:tc>
          <w:tcPr>
            <w:tcW w:type="dxa" w:w="3096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Papel</w:t>
            </w:r>
          </w:p>
        </w:tc>
        <w:tc>
          <w:tcPr>
            <w:tcW w:type="dxa" w:w="6984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Especificação original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Família principal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Outfit; pesos 300, 400, 500, 600 e 700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Família técnica</w:t>
            </w:r>
          </w:p>
        </w:tc>
        <w:tc>
          <w:tcPr>
            <w:tcW w:type="dxa" w:w="6984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IBM Plex Mono; pesos 400 e 500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Título da página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30 px, peso 400, entreletra −0,9 px, linha 1,2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Título do login</w:t>
            </w:r>
          </w:p>
        </w:tc>
        <w:tc>
          <w:tcPr>
            <w:tcW w:type="dxa" w:w="6984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43 px, peso 300, entreletra −1,2 px, linha 1,17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Título da arte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46 px, peso 300, entreletra −1,1 px, linha 1,15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Número de indicador</w:t>
            </w:r>
          </w:p>
        </w:tc>
        <w:tc>
          <w:tcPr>
            <w:tcW w:type="dxa" w:w="6984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29 px, peso 400, algarismos tabulares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Título de seção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15 px, peso 500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Botão comum</w:t>
            </w:r>
          </w:p>
        </w:tc>
        <w:tc>
          <w:tcPr>
            <w:tcW w:type="dxa" w:w="6984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12 px, peso 500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Eyebrow técnico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IBM Plex Mono 10 px, entreletra 1,8 px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Texto auxiliar</w:t>
            </w:r>
          </w:p>
        </w:tc>
        <w:tc>
          <w:tcPr>
            <w:tcW w:type="dxa" w:w="6984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11 a 12 px; metadados menores conforme o componente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Heading2"/>
      </w:pPr>
      <w:r>
        <w:t>Estrutura do workspace</w:t>
      </w:r>
    </w:p>
    <w:p>
      <w:r>
        <w:t>No desktop, a sidebar fixa mede 225 px e a topbar 72 px. O conteúdo usa margem esquerda de 225 px e padding de 34 px no topo, 32 px nas laterais e 25 px na base. O painel padrão tem padding de 24 px, borda de 1 px e raio de 11 px.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152"/>
        <w:gridCol w:w="5976"/>
      </w:tblGrid>
      <w:tr>
        <w:trPr>
          <w:cantSplit/>
          <w:tblHeader/>
        </w:trPr>
        <w:tc>
          <w:tcPr>
            <w:tcW w:type="dxa" w:w="2952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1152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Raio</w:t>
            </w:r>
          </w:p>
        </w:tc>
        <w:tc>
          <w:tcPr>
            <w:tcW w:type="dxa" w:w="5976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Espaçamento característico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Botão e campo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7 px</w:t>
            </w:r>
          </w:p>
        </w:tc>
        <w:tc>
          <w:tcPr>
            <w:tcW w:type="dxa" w:w="59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Botão 10 × 15 px; campo 11 × 12 px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Badge</w:t>
            </w:r>
          </w:p>
        </w:tc>
        <w:tc>
          <w:tcPr>
            <w:tcW w:type="dxa" w:w="11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4 px</w:t>
            </w:r>
          </w:p>
        </w:tc>
        <w:tc>
          <w:tcPr>
            <w:tcW w:type="dxa" w:w="597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4 × 7 px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Painel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11 px</w:t>
            </w:r>
          </w:p>
        </w:tc>
        <w:tc>
          <w:tcPr>
            <w:tcW w:type="dxa" w:w="59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24 px interno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Modal</w:t>
            </w:r>
          </w:p>
        </w:tc>
        <w:tc>
          <w:tcPr>
            <w:tcW w:type="dxa" w:w="11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13 px</w:t>
            </w:r>
          </w:p>
        </w:tc>
        <w:tc>
          <w:tcPr>
            <w:tcW w:type="dxa" w:w="5976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Cabeçalho e formulário com 27 px laterais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Nó de funil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9 px</w:t>
            </w:r>
          </w:p>
        </w:tc>
        <w:tc>
          <w:tcPr>
            <w:tcW w:type="dxa" w:w="59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17 × 16 px; largura de 240 px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Heading2"/>
      </w:pPr>
      <w:r>
        <w:t>Fontes incluídas</w:t>
      </w:r>
    </w:p>
    <w:p>
      <w:r>
        <w:t>A pasta fonts contém os arquivos TTF e as licenças SIL Open Font License das duas famílias. fonts/fonts.css permite carregamento local. Os arquivos vieram das famílias utilizadas pelo CSS do projeto; mantenha os avisos de licença ao redistribuí-los.</w:t>
      </w:r>
    </w:p>
    <w:p>
      <w:r>
        <w:t>No novo sistema, mantenha títulos leves e hierarquia clara. Aumentos de tamanho para acessibilidade devem ser tratados como adaptação documentada, preservando a família, o peso relativo e a composição.</w:t>
      </w:r>
    </w:p>
    <w:p>
      <w:pPr>
        <w:pStyle w:val="Heading1"/>
        <w:pageBreakBefore/>
      </w:pPr>
      <w:r>
        <w:t>Entrada do sistema no desktop e no celular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 descr="Referência reconstruída com os estilos e a arte originais, sem autenticação ou dados conec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636A75"/>
          <w:sz w:val="18"/>
        </w:rPr>
        <w:t>Referência reconstruída com os estilos e a arte originais, sem autenticação ou dados conectados.</w:t>
      </w:r>
    </w:p>
    <w:p>
      <w:r>
        <w:t>A entrada usa duas colunas iguais. À esquerda ficam marca, título, campos e ações. À direita, a arte ocupa toda a altura com object-fit: cover, object-position: center 38% e brilho de 0,85. Um degradê escurece a região inferior para dar contraste ao texto.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7128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Composição original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Coluna de formulário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Padding 38 px 48 px 25 px; altura mínima 100dvh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Miolo do formulário</w:t>
            </w:r>
          </w:p>
        </w:tc>
        <w:tc>
          <w:tcPr>
            <w:tcW w:type="dxa" w:w="71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Largura máxima 365 px; centralização vertical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Campos do login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Fundo #19191E; borda #35343E; altura mínima 46 px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Ação de entrada</w:t>
            </w:r>
          </w:p>
        </w:tc>
        <w:tc>
          <w:tcPr>
            <w:tcW w:type="dxa" w:w="71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Coral; largura total; texto à esquerda e seta à direita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Ação secundária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Contorno discreto, sem preenchimento coral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Arte e copy</w:t>
            </w:r>
          </w:p>
        </w:tc>
        <w:tc>
          <w:tcPr>
            <w:tcW w:type="dxa" w:w="71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Título próximo à base; textos pequenos em mono no topo e no rodapé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r>
        <w:t>Copy de marca disponível: “Bem-vindo ao próximo nível.”; “Toda a sua operação. Uma visão inteligente.”; “A próxima decisão muda tudo.”; “Da primeira conexão ao resultado. Transforme informação em direção.”. Fluxos de convite, cadastro e recuperação devem seguir a autenticação do novo CRM.</w:t>
      </w:r>
    </w:p>
    <w:p>
      <w:pPr>
        <w:pStyle w:val="Heading1"/>
        <w:pageBreakBefore/>
      </w:pPr>
      <w:r>
        <w:t>Entrada móvel e adaptação responsiva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468880" cy="6431749"/>
            <wp:docPr id="6" name="Picture 6" descr="Entrada a 390 px de largura. A arte aparece antes do formulá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6431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636A75"/>
          <w:sz w:val="18"/>
        </w:rPr>
        <w:t>Entrada a 390 px de largura. A arte aparece antes do formulário.</w:t>
      </w:r>
    </w:p>
    <w:p>
      <w:r>
        <w:t>Até 760 px, a entrada vira uma coluna e a arte sobe para o topo. O bloco visual mede 340 px de altura, usa object-position: center 35% e brilho de 0,65. O título da arte cai para 29 px. O parágrafo da arte e seu rodapé ficam ocultos.</w:t>
      </w:r>
    </w:p>
    <w:p>
      <w:r>
        <w:t>O formulário recebe padding lateral de 27 px e largura máxima de 420 px. O título mede 29 px; campos e botão principal têm altura mínima de 48 px. O formulário continua abaixo da arte, com rolagem normal da página.</w:t>
      </w:r>
    </w:p>
    <w:p>
      <w:pPr>
        <w:pStyle w:val="Heading1"/>
        <w:pageBreakBefore/>
      </w:pPr>
      <w:r>
        <w:t>Botões campos e janelas de edição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70748"/>
            <wp:docPr id="7" name="Picture 7" descr="Amostras de ações, estados, campos, mensagens e modal em conteúdo neut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-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70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636A75"/>
          <w:sz w:val="18"/>
        </w:rPr>
        <w:t>Amostras de ações, estados, campos, mensagens e modal em conteúdo neutro.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Estado ou controle</w:t>
            </w:r>
          </w:p>
        </w:tc>
        <w:tc>
          <w:tcPr>
            <w:tcW w:type="dxa" w:w="7128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Especificação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Botão primário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Fundo e borda #DF4650; texto #FFFFFF; hover brightness 1,1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Botão secundário</w:t>
            </w:r>
          </w:p>
        </w:tc>
        <w:tc>
          <w:tcPr>
            <w:tcW w:type="dxa" w:w="71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Fundo #212328; borda #35383F; hover #2C2F35 / #5B606A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Ação discreta coral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Fundo #DF465017; texto #F78E95; borda #DF46502B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Desabilitado</w:t>
            </w:r>
          </w:p>
        </w:tc>
        <w:tc>
          <w:tcPr>
            <w:tcW w:type="dxa" w:w="71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Opacidade 0,45; cursor not-allowed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Pressionado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Deslocamento vertical de 1 px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Foco de botão ou link</w:t>
            </w:r>
          </w:p>
        </w:tc>
        <w:tc>
          <w:tcPr>
            <w:tcW w:type="dxa" w:w="71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Outline #F68A93 de 2 px; distância de 4 px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Campo comum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Fundo #121417; texto #E9EBEF; borda #33363D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Campo em foco</w:t>
            </w:r>
          </w:p>
        </w:tc>
        <w:tc>
          <w:tcPr>
            <w:tcW w:type="dxa" w:w="71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Borda coral; halo de 3 px em #DF465018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r>
        <w:t>O botão padrão tem altura mínima de 39 px, raio de 7 px, padding de 10 × 15 px e ícone com distância de 8 px do texto. Ícones isolados usam botão de 34 × 34 px e raio de 6 px. Campos precisam de label visível; placeholder complementa o label.</w:t>
      </w:r>
    </w:p>
    <w:p>
      <w:r>
        <w:t>O modal mede 640 px, limitado à largura da tela menos 30 px e a 90dvh de altura. Use fundo #1B2028, texto #DEE5EF, borda #4A5261, backdrop #05080DCF com blur de 7 px e rodapé de ações fixo dentro do modal. No celular, o formulário passa de duas para uma coluna.</w:t>
      </w:r>
    </w:p>
    <w:p>
      <w:pPr>
        <w:pStyle w:val="Heading1"/>
        <w:pageBreakBefore/>
      </w:pPr>
      <w:r>
        <w:t>Painel navegação listas e conversas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982720"/>
            <wp:docPr id="8" name="Picture 8" descr="Composição ilustrativa com valores vazios e registros de exemplo, usando a linguagem visual do proje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-desk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8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636A75"/>
          <w:sz w:val="18"/>
        </w:rPr>
        <w:t>Composição ilustrativa com valores vazios e registros de exemplo, usando a linguagem visual do projeto.</w:t>
      </w:r>
    </w:p>
    <w:p>
      <w:r>
        <w:t>A navegação lateral usa ícones de contorno, texto cinza e espaçamento vertical compacto. O item ativo tem fundo #DF465014 e uma linha coral interna de 2 px à esquerda. A topbar mostra o caminho da página e controles de apoio; o título principal pertence ao conteúdo abaixo dela.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7992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Direcionamento visual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Indicadores</w:t>
            </w:r>
          </w:p>
        </w:tc>
        <w:tc>
          <w:tcPr>
            <w:tcW w:type="dxa" w:w="799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Quatro colunas, gap de 16 px; apenas um destaque coral quando necessário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Gráficos</w:t>
            </w:r>
          </w:p>
        </w:tc>
        <w:tc>
          <w:tcPr>
            <w:tcW w:type="dxa" w:w="799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Série principal coral 2,5 px; secundária #758393 de 1,5 px; preenchimento coral de 25% a zero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Tabelas</w:t>
            </w:r>
          </w:p>
        </w:tc>
        <w:tc>
          <w:tcPr>
            <w:tcW w:type="dxa" w:w="799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Alinhamento consistente, bordas discretas, ações curtas; rolagem no contêiner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Kanban</w:t>
            </w:r>
          </w:p>
        </w:tc>
        <w:tc>
          <w:tcPr>
            <w:tcW w:type="dxa" w:w="799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Colunas de 225 px mínimas, raio 9 px; cartões #1D2127, raio 7 px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Mensagens</w:t>
            </w:r>
          </w:p>
        </w:tc>
        <w:tc>
          <w:tcPr>
            <w:tcW w:type="dxa" w:w="799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Entrada #272F39; saída #402E39; texto #CAD2DE; cantos assimétricos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Ícones</w:t>
            </w:r>
          </w:p>
        </w:tc>
        <w:tc>
          <w:tcPr>
            <w:tcW w:type="dxa" w:w="799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Tabler Icons em contorno; 16 a 20 px nos controles, 19 px na navegação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r>
        <w:t>Use os módulos que existirem no novo CRM. Os nomes, os registros, os indicadores e as ações devem vir do novo produto. As telas de referência do kit demonstram composição e não representam uma operação real.</w:t>
      </w:r>
    </w:p>
    <w:p>
      <w:pPr>
        <w:pStyle w:val="Heading1"/>
        <w:pageBreakBefore/>
      </w:pPr>
      <w:r>
        <w:t>Funis profundidade e movimento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56347"/>
            <wp:docPr id="9" name="Picture 9" descr="Workspace de referência com perspectiva CSS e blocos sem regras operaciona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cr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5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636A75"/>
          <w:sz w:val="18"/>
        </w:rPr>
        <w:t>Workspace de referência com perspectiva CSS e blocos sem regras operacionais.</w:t>
      </w:r>
    </w:p>
    <w:p>
      <w:r>
        <w:t>O efeito espacial é uma transformação do canvas em CSS. Não é um motor de cena 3D. O projeto usa React Flow para nós, conexões, zoom e arraste; o modo Perspectiva aplica a inclinação ao contêiner que mantém os elementos do fluxo.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Propriedade</w:t>
            </w:r>
          </w:p>
        </w:tc>
        <w:tc>
          <w:tcPr>
            <w:tcW w:type="dxa" w:w="7128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Valor original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Área de trabalho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650 px de altura; colunas de 170 px, área flexível e 220 px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Perspectiva</w:t>
            </w:r>
          </w:p>
        </w:tc>
        <w:tc>
          <w:tcPr>
            <w:tcW w:type="dxa" w:w="71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1300 px no contêiner do canvas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Transformação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rotateX(18deg) rotateY(-10deg) scale(.94)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Transição do plano</w:t>
            </w:r>
          </w:p>
        </w:tc>
        <w:tc>
          <w:tcPr>
            <w:tcW w:type="dxa" w:w="71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700 ms ease; origem 50% 50%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Bloco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240 px de largura; padding 17 × 16 px; raio 9 px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Material do bloco</w:t>
            </w:r>
          </w:p>
        </w:tc>
        <w:tc>
          <w:tcPr>
            <w:tcW w:type="dxa" w:w="71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Degradê #2A2E38 para #1D222A; borda #50515F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Conexões e grade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Conexão #B45460; grade de pontos #353941 a cada 22 px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Seleção</w:t>
            </w:r>
          </w:p>
        </w:tc>
        <w:tc>
          <w:tcPr>
            <w:tcW w:type="dxa" w:w="71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Borda coral e halo suave #DF46502A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r>
        <w:t>Outros movimentos: botões em 180 ms; entrada da página em 350 ms com fade e deslocamento de 8 px; gaveta móvel em 250 ms; spinner em ciclo de 1 segundo. Preserve prefers-reduced-motion para desligar animações e transições quando solicitado pelo usuário.</w:t>
      </w:r>
    </w:p>
    <w:p>
      <w:r>
        <w:t>Na implementação nova, mantenha 2D como modo padrão de edição. A perspectiva deve ser opcional. Confirme as coordenadas de arraste e conexão após transformar o canvas, especialmente em telas de toque.</w:t>
      </w:r>
    </w:p>
    <w:p>
      <w:pPr>
        <w:pStyle w:val="Heading1"/>
        <w:pageBreakBefore/>
      </w:pPr>
      <w:r>
        <w:t>Responsividade legibilidade e 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  <w:tblHeader/>
        </w:trPr>
        <w:tc>
          <w:tcPr>
            <w:tcW w:type="dxa" w:w="2232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Largura</w:t>
            </w:r>
          </w:p>
        </w:tc>
        <w:tc>
          <w:tcPr>
            <w:tcW w:type="dxa" w:w="7848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Comportamento do projeto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 partir de 1600 px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Workspace com 44 px laterais; indicadores maiores; áreas de gráfico e funil ampliadas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Até 1250 px</w:t>
            </w:r>
          </w:p>
        </w:tc>
        <w:tc>
          <w:tcPr>
            <w:tcW w:type="dxa" w:w="784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Sidebar de 205 px; padding lateral de 23 px; grades de catálogo em duas colunas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Até 1000 px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Sidebar de 190 px; indicadores em duas colunas; painel principal em uma coluna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Até 760 px</w:t>
            </w:r>
          </w:p>
        </w:tc>
        <w:tc>
          <w:tcPr>
            <w:tcW w:type="dxa" w:w="784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Sidebar como gaveta de 240 px; topbar de 60 px; conteúdo com 16 px laterais; grades em uma coluna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Até 600 px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Ajustes adicionais em filtros, paginação e gráfico compacto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Heading2"/>
      </w:pPr>
      <w:r>
        <w:t>Estados necessários no novo sistema</w:t>
      </w:r>
    </w:p>
    <w:p>
      <w:pPr>
        <w:pStyle w:val="ListBullet"/>
      </w:pPr>
      <w:r>
        <w:t>Normal, hover, foco, pressionado, desabilitado e carregamento nos controles.</w:t>
      </w:r>
    </w:p>
    <w:p>
      <w:pPr>
        <w:pStyle w:val="ListBullet"/>
      </w:pPr>
      <w:r>
        <w:t>Vazio, carregando, erro, sucesso e sem permissão nas áreas de conteúdo.</w:t>
      </w:r>
    </w:p>
    <w:p>
      <w:pPr>
        <w:pStyle w:val="ListBullet"/>
      </w:pPr>
      <w:r>
        <w:t>Labels, ajuda e erro associados a cada campo.</w:t>
      </w:r>
    </w:p>
    <w:p>
      <w:pPr>
        <w:pStyle w:val="ListBullet"/>
      </w:pPr>
      <w:r>
        <w:t>Fechar modal por botão e Escape, com foco retornando ao controle de origem.</w:t>
      </w:r>
    </w:p>
    <w:p>
      <w:pPr>
        <w:pStyle w:val="ListBullet"/>
      </w:pPr>
      <w:r>
        <w:t>Menu móvel operável por teclado, com fechamento e fundo de bloqueio.</w:t>
      </w:r>
    </w:p>
    <w:p>
      <w:pPr>
        <w:pStyle w:val="Heading2"/>
      </w:pPr>
      <w:r>
        <w:t>Ajustes recomendados para a nova implementação</w:t>
      </w:r>
    </w:p>
    <w:p>
      <w:r>
        <w:t>A interface original usa vários textos de 7 a 12 px. Para a nova operação, aumente textos de leitura contínua para 14 a 16 px e preserve a hierarquia. Prefira áreas de toque de pelo menos 44 × 44 px, mesmo quando o ícone visual for menor. No iPhone, campos com texto de 16 px também evitam o zoom automático de foco.</w:t>
      </w:r>
    </w:p>
    <w:p>
      <w:r>
        <w:t>Branco sobre o coral #DF4650 tem contraste calculado de aproximadamente 4,09:1. Para texto pequeno de botão, valide uma variação coral mais escura ou texto escuro; não afirme conformidade de acessibilidade mantendo esse par sem revisão. Os valores originais permanecem documentados para reprodução fiel.</w:t>
      </w:r>
    </w:p>
    <w:p>
      <w:r>
        <w:t>Esses ajustes são recomendações para o novo CRM, não características já aplicadas ao projeto de referência. Valide contraste, navegação por teclado, zoom de 200% e ausência de corte horizontal antes de aprovar a nova interface.</w:t>
      </w:r>
    </w:p>
    <w:p>
      <w:pPr>
        <w:pStyle w:val="Heading1"/>
        <w:pageBreakBefore/>
      </w:pPr>
      <w:r>
        <w:t>Entrega para a IA e organização do repositório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552"/>
      </w:tblGrid>
      <w:tr>
        <w:trPr>
          <w:cantSplit/>
          <w:tblHeader/>
        </w:trPr>
        <w:tc>
          <w:tcPr>
            <w:tcW w:type="dxa" w:w="3528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Pasta ou arquivo</w:t>
            </w:r>
          </w:p>
        </w:tc>
        <w:tc>
          <w:tcPr>
            <w:tcW w:type="dxa" w:w="6552"/>
            <w:vAlign w:val="center"/>
            <w:shd w:fill="22262D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Conteúdo e uso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assets/</w:t>
            </w:r>
          </w:p>
        </w:tc>
        <w:tc>
          <w:tcPr>
            <w:tcW w:type="dxa" w:w="65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Imagens, símbolos, assinatura, favicons, manifest e inventário com hashes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fonts/</w:t>
            </w:r>
          </w:p>
        </w:tc>
        <w:tc>
          <w:tcPr>
            <w:tcW w:type="dxa" w:w="65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Fontes TTF, CSS de carregamento e licenças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styles/design-tokens.json</w:t>
            </w:r>
          </w:p>
        </w:tc>
        <w:tc>
          <w:tcPr>
            <w:tcW w:type="dxa" w:w="65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Valores de cor, tipografia, medidas, breakpoints e movimento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styles/tokens.css</w:t>
            </w:r>
          </w:p>
        </w:tc>
        <w:tc>
          <w:tcPr>
            <w:tcW w:type="dxa" w:w="65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Variáveis semânticas com prefixo --fx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styles/interface.css</w:t>
            </w:r>
          </w:p>
        </w:tc>
        <w:tc>
          <w:tcPr>
            <w:tcW w:type="dxa" w:w="65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Referência visual completa, com fontes locais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components/FXBrand.tsx</w:t>
            </w:r>
          </w:p>
        </w:tc>
        <w:tc>
          <w:tcPr>
            <w:tcW w:type="dxa" w:w="65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Símbolo e assinatura em componentes React de apresentação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preview/</w:t>
            </w:r>
          </w:p>
        </w:tc>
        <w:tc>
          <w:tcPr>
            <w:tcW w:type="dxa" w:w="65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Referências navegáveis de entrada, painel, componentes, marca e perspectiva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docs/</w:t>
            </w:r>
          </w:p>
        </w:tc>
        <w:tc>
          <w:tcPr>
            <w:tcW w:type="dxa" w:w="6552"/>
            <w:vAlign w:val="center"/>
            <w:shd w:fill="F3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Este guia, versão Markdown e instruções prontas para outra IA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reference/interface-original.css</w:t>
            </w:r>
          </w:p>
        </w:tc>
        <w:tc>
          <w:tcPr>
            <w:tcW w:type="dxa" w:w="65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3262B"/>
                <w:sz w:val="20"/>
              </w:rPr>
              <w:t>CSS de origem para conferir valores e diferenças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Heading2"/>
      </w:pPr>
      <w:r>
        <w:t>Ordem de aplicação</w:t>
      </w:r>
    </w:p>
    <w:p>
      <w:pPr>
        <w:pStyle w:val="ListBullet"/>
      </w:pPr>
      <w:r>
        <w:t>Copiar assets e fontes para o novo projeto e ajustar seus caminhos públicos.</w:t>
      </w:r>
    </w:p>
    <w:p>
      <w:pPr>
        <w:pStyle w:val="ListBullet"/>
      </w:pPr>
      <w:r>
        <w:t>Definir os tokens e importar as fontes uma única vez.</w:t>
      </w:r>
    </w:p>
    <w:p>
      <w:pPr>
        <w:pStyle w:val="ListBullet"/>
      </w:pPr>
      <w:r>
        <w:t>Implementar o símbolo, a assinatura, a estrutura e a entrada responsiva.</w:t>
      </w:r>
    </w:p>
    <w:p>
      <w:pPr>
        <w:pStyle w:val="ListBullet"/>
      </w:pPr>
      <w:r>
        <w:t>Mapear os componentes existentes para botões, campos, painéis, tabelas e estados FX.</w:t>
      </w:r>
    </w:p>
    <w:p>
      <w:pPr>
        <w:pStyle w:val="ListBullet"/>
      </w:pPr>
      <w:r>
        <w:t>Aplicar os estilos aos módulos do novo CRM sem copiar a lógica do projeto anterior.</w:t>
      </w:r>
    </w:p>
    <w:p>
      <w:pPr>
        <w:pStyle w:val="ListBullet"/>
      </w:pPr>
      <w:r>
        <w:t>Conferir desktop, celular, foco, erros, carregamento e redução de movimento.</w:t>
      </w:r>
    </w:p>
    <w:p>
      <w:r>
        <w:t>O CSS completo tem seletores globais. Use-o para comparação em um ambiente isolado; em um aplicativo existente, adote os tokens e adapte os seletores ou coloque a interface em um escopo próprio. Não sobreponha estilos globais de produção sem verificar conflitos.</w:t>
      </w:r>
    </w:p>
    <w:p>
      <w:pPr>
        <w:pStyle w:val="Heading2"/>
      </w:pPr>
      <w:r>
        <w:t>Critérios de aceite</w:t>
      </w:r>
    </w:p>
    <w:p>
      <w:r>
        <w:t>A nova interface deve manter o símbolo FX, as imagens originais, as duas famílias tipográficas, a hierarquia escura com coral, a composição da entrada e a consistência dos estados. Os dados, os links, a autenticação, as permissões e as integrações devem pertencer exclusivamente ao novo CRM.</w:t>
      </w:r>
    </w:p>
    <w:p>
      <w:r>
        <w:t>Inicie pela prévia local e pelo arquivo PROMPT-PARA-IA.md. As licenças de fontes ficam em fonts; o inventário em assets/manifest.json permite confirmar quais imagens e símbolos foram usados.</w:t>
      </w:r>
    </w:p>
    <w:sectPr w:rsidR="00FC693F" w:rsidRPr="0006063C" w:rsidSect="00034616">
      <w:footerReference w:type="default" r:id="rId9"/>
      <w:pgSz w:w="12240" w:h="15840"/>
      <w:pgMar w:top="965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0757E"/>
        <w:sz w:val="16"/>
      </w:rPr>
      <w:t xml:space="preserve">FX SOLUTION   /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2326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00"/>
      <w:outlineLvl w:val="0"/>
    </w:pPr>
    <w:rPr>
      <w:rFonts w:ascii="Calibri" w:hAnsi="Calibri"/>
      <w:b/>
      <w:bCs/>
      <w:i w:val="0"/>
      <w:color w:val="000000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="Calibri" w:hAnsi="Calibri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00"/>
      <w:outlineLvl w:val="2"/>
    </w:pPr>
    <w:rPr>
      <w:rFonts w:ascii="Calibri" w:hAnsi="Calibri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="Calibri" w:hAnsi="Calibri"/>
      <w:b w:val="0"/>
      <w:i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="Calibri" w:hAnsi="Calibri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Identidade visual do FX Solution</dc:title>
  <dc:subject>Guia de aplicação da interface em outro CRM</dc:subject>
  <dc:creator>Flix Company</dc:creator>
  <cp:keywords>FX Solution, branding, interface, design system, implementação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