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F89CB4">
      <w:pPr>
        <w:pStyle w:val="31"/>
        <w:jc w:val="center"/>
        <w:rPr>
          <w:rFonts w:hint="default" w:ascii="Times New Roman" w:hAnsi="Times New Roman" w:eastAsia="宋体" w:cs="Times New Roman"/>
        </w:rPr>
      </w:pPr>
      <w:bookmarkStart w:id="0" w:name="_GoBack"/>
      <w:bookmarkEnd w:id="0"/>
      <w:r>
        <w:rPr>
          <w:rFonts w:hint="default" w:ascii="Times New Roman" w:hAnsi="Times New Roman" w:eastAsia="宋体" w:cs="Times New Roman"/>
          <w:b/>
          <w:i w:val="0"/>
          <w:color w:val="1F4E79"/>
          <w:sz w:val="40"/>
        </w:rPr>
        <w:t>呼气组学用于活动性肺结核</w:t>
      </w:r>
      <w:r>
        <w:rPr>
          <w:rFonts w:hint="default" w:ascii="Times New Roman" w:hAnsi="Times New Roman" w:eastAsia="宋体" w:cs="Times New Roman"/>
          <w:b/>
          <w:i w:val="0"/>
          <w:color w:val="1F4E79"/>
          <w:sz w:val="40"/>
        </w:rPr>
        <w:br w:type="textWrapping"/>
      </w:r>
      <w:r>
        <w:rPr>
          <w:rFonts w:hint="default" w:ascii="Times New Roman" w:hAnsi="Times New Roman" w:eastAsia="宋体" w:cs="Times New Roman"/>
          <w:b/>
          <w:i w:val="0"/>
          <w:color w:val="1F4E79"/>
          <w:sz w:val="40"/>
        </w:rPr>
        <w:t>非痰前端筛查的多中心前瞻性研究</w:t>
      </w:r>
    </w:p>
    <w:p w14:paraId="642489B3">
      <w:pPr>
        <w:spacing w:before="0" w:after="560" w:line="348" w:lineRule="auto"/>
        <w:jc w:val="center"/>
        <w:rPr>
          <w:rFonts w:hint="default" w:ascii="Times New Roman" w:hAnsi="Times New Roman" w:eastAsia="宋体" w:cs="Times New Roman"/>
        </w:rPr>
      </w:pPr>
      <w:r>
        <w:rPr>
          <w:rFonts w:hint="default" w:ascii="Times New Roman" w:hAnsi="Times New Roman" w:eastAsia="宋体" w:cs="Times New Roman"/>
          <w:b w:val="0"/>
          <w:i w:val="0"/>
          <w:color w:val="4A5568"/>
          <w:sz w:val="24"/>
        </w:rPr>
        <w:t>完整版研究方案（整合稿）</w:t>
      </w:r>
    </w:p>
    <w:tbl>
      <w:tblPr>
        <w:tblStyle w:val="32"/>
        <w:tblW w:w="0" w:type="auto"/>
        <w:jc w:val="center"/>
        <w:tblBorders>
          <w:top w:val="single" w:color="D8DEE9" w:sz="8" w:space="0"/>
          <w:left w:val="single" w:color="D8DEE9" w:sz="8" w:space="0"/>
          <w:bottom w:val="single" w:color="D8DEE9" w:sz="8" w:space="0"/>
          <w:right w:val="single" w:color="D8DEE9" w:sz="8" w:space="0"/>
          <w:insideH w:val="single" w:color="D8DEE9" w:sz="8" w:space="0"/>
          <w:insideV w:val="single" w:color="D8DEE9" w:sz="8" w:space="0"/>
        </w:tblBorders>
        <w:tblLayout w:type="fixed"/>
        <w:tblCellMar>
          <w:top w:w="0" w:type="dxa"/>
          <w:left w:w="108" w:type="dxa"/>
          <w:bottom w:w="0" w:type="dxa"/>
          <w:right w:w="108" w:type="dxa"/>
        </w:tblCellMar>
      </w:tblPr>
      <w:tblGrid>
        <w:gridCol w:w="4592"/>
        <w:gridCol w:w="4592"/>
      </w:tblGrid>
      <w:tr w14:paraId="5BF225CC">
        <w:tblPrEx>
          <w:tblBorders>
            <w:top w:val="single" w:color="D8DEE9" w:sz="8" w:space="0"/>
            <w:left w:val="single" w:color="D8DEE9" w:sz="8" w:space="0"/>
            <w:bottom w:val="single" w:color="D8DEE9" w:sz="8" w:space="0"/>
            <w:right w:val="single" w:color="D8DEE9" w:sz="8" w:space="0"/>
            <w:insideH w:val="single" w:color="D8DEE9" w:sz="8" w:space="0"/>
            <w:insideV w:val="single" w:color="D8DEE9" w:sz="8" w:space="0"/>
          </w:tblBorders>
          <w:tblCellMar>
            <w:top w:w="0" w:type="dxa"/>
            <w:left w:w="108" w:type="dxa"/>
            <w:bottom w:w="0" w:type="dxa"/>
            <w:right w:w="108" w:type="dxa"/>
          </w:tblCellMar>
        </w:tblPrEx>
        <w:trPr>
          <w:jc w:val="center"/>
        </w:trPr>
        <w:tc>
          <w:tcPr>
            <w:tcW w:w="2268" w:type="dxa"/>
            <w:shd w:val="clear" w:color="auto" w:fill="EAF2F8"/>
            <w:tcMar>
              <w:top w:w="120" w:type="dxa"/>
              <w:left w:w="120" w:type="dxa"/>
              <w:bottom w:w="120" w:type="dxa"/>
              <w:right w:w="120" w:type="dxa"/>
            </w:tcMar>
            <w:vAlign w:val="center"/>
          </w:tcPr>
          <w:p w14:paraId="3814CE58">
            <w:pPr>
              <w:spacing w:before="0" w:after="0" w:line="300" w:lineRule="auto"/>
              <w:jc w:val="left"/>
              <w:rPr>
                <w:rFonts w:hint="default" w:ascii="Times New Roman" w:hAnsi="Times New Roman" w:eastAsia="宋体" w:cs="Times New Roman"/>
              </w:rPr>
            </w:pPr>
            <w:r>
              <w:rPr>
                <w:rFonts w:hint="default" w:ascii="Times New Roman" w:hAnsi="Times New Roman" w:eastAsia="宋体" w:cs="Times New Roman"/>
                <w:b/>
                <w:i w:val="0"/>
                <w:color w:val="253858"/>
                <w:sz w:val="21"/>
              </w:rPr>
              <w:t>研究类型</w:t>
            </w:r>
          </w:p>
        </w:tc>
        <w:tc>
          <w:tcPr>
            <w:tcW w:w="5783" w:type="dxa"/>
            <w:shd w:val="clear" w:color="auto" w:fill="F9FBFD"/>
            <w:tcMar>
              <w:top w:w="120" w:type="dxa"/>
              <w:left w:w="120" w:type="dxa"/>
              <w:bottom w:w="120" w:type="dxa"/>
              <w:right w:w="120" w:type="dxa"/>
            </w:tcMar>
            <w:vAlign w:val="center"/>
          </w:tcPr>
          <w:p w14:paraId="467C416C">
            <w:pPr>
              <w:spacing w:before="0" w:after="0" w:line="300" w:lineRule="auto"/>
              <w:jc w:val="left"/>
              <w:rPr>
                <w:rFonts w:hint="default" w:ascii="Times New Roman" w:hAnsi="Times New Roman" w:eastAsia="宋体" w:cs="Times New Roman"/>
              </w:rPr>
            </w:pPr>
            <w:r>
              <w:rPr>
                <w:rFonts w:hint="default" w:ascii="Times New Roman" w:hAnsi="Times New Roman" w:eastAsia="宋体" w:cs="Times New Roman"/>
                <w:b w:val="0"/>
                <w:i w:val="0"/>
                <w:color w:val="253858"/>
                <w:sz w:val="21"/>
              </w:rPr>
              <w:t>多中心、前瞻性、连续入组、诊断准确性研究</w:t>
            </w:r>
          </w:p>
        </w:tc>
      </w:tr>
      <w:tr w14:paraId="6A2FBC86">
        <w:tblPrEx>
          <w:tblBorders>
            <w:top w:val="single" w:color="D8DEE9" w:sz="8" w:space="0"/>
            <w:left w:val="single" w:color="D8DEE9" w:sz="8" w:space="0"/>
            <w:bottom w:val="single" w:color="D8DEE9" w:sz="8" w:space="0"/>
            <w:right w:val="single" w:color="D8DEE9" w:sz="8" w:space="0"/>
            <w:insideH w:val="single" w:color="D8DEE9" w:sz="8" w:space="0"/>
            <w:insideV w:val="single" w:color="D8DEE9" w:sz="8" w:space="0"/>
          </w:tblBorders>
          <w:tblCellMar>
            <w:top w:w="0" w:type="dxa"/>
            <w:left w:w="108" w:type="dxa"/>
            <w:bottom w:w="0" w:type="dxa"/>
            <w:right w:w="108" w:type="dxa"/>
          </w:tblCellMar>
        </w:tblPrEx>
        <w:trPr>
          <w:jc w:val="center"/>
        </w:trPr>
        <w:tc>
          <w:tcPr>
            <w:tcW w:w="2268" w:type="dxa"/>
            <w:shd w:val="clear" w:color="auto" w:fill="EAF2F8"/>
            <w:tcMar>
              <w:top w:w="120" w:type="dxa"/>
              <w:left w:w="120" w:type="dxa"/>
              <w:bottom w:w="120" w:type="dxa"/>
              <w:right w:w="120" w:type="dxa"/>
            </w:tcMar>
            <w:vAlign w:val="center"/>
          </w:tcPr>
          <w:p w14:paraId="22F6135F">
            <w:pPr>
              <w:spacing w:before="0" w:after="0" w:line="300" w:lineRule="auto"/>
              <w:jc w:val="left"/>
              <w:rPr>
                <w:rFonts w:hint="default" w:ascii="Times New Roman" w:hAnsi="Times New Roman" w:eastAsia="宋体" w:cs="Times New Roman"/>
              </w:rPr>
            </w:pPr>
            <w:r>
              <w:rPr>
                <w:rFonts w:hint="default" w:ascii="Times New Roman" w:hAnsi="Times New Roman" w:eastAsia="宋体" w:cs="Times New Roman"/>
                <w:b/>
                <w:i w:val="0"/>
                <w:color w:val="253858"/>
                <w:sz w:val="21"/>
              </w:rPr>
              <w:t>研究定位</w:t>
            </w:r>
          </w:p>
        </w:tc>
        <w:tc>
          <w:tcPr>
            <w:tcW w:w="5783" w:type="dxa"/>
            <w:shd w:val="clear" w:color="auto" w:fill="F9FBFD"/>
            <w:tcMar>
              <w:top w:w="120" w:type="dxa"/>
              <w:left w:w="120" w:type="dxa"/>
              <w:bottom w:w="120" w:type="dxa"/>
              <w:right w:w="120" w:type="dxa"/>
            </w:tcMar>
            <w:vAlign w:val="center"/>
          </w:tcPr>
          <w:p w14:paraId="1AF5C4D8">
            <w:pPr>
              <w:spacing w:before="0" w:after="0" w:line="300" w:lineRule="auto"/>
              <w:jc w:val="left"/>
              <w:rPr>
                <w:rFonts w:hint="default" w:ascii="Times New Roman" w:hAnsi="Times New Roman" w:eastAsia="宋体" w:cs="Times New Roman"/>
              </w:rPr>
            </w:pPr>
            <w:r>
              <w:rPr>
                <w:rFonts w:hint="default" w:ascii="Times New Roman" w:hAnsi="Times New Roman" w:eastAsia="宋体" w:cs="Times New Roman"/>
                <w:b w:val="0"/>
                <w:i w:val="0"/>
                <w:color w:val="253858"/>
                <w:sz w:val="21"/>
              </w:rPr>
              <w:t>以活动性肺结核整体为主命题，以 PTB-U 为关键亮点，验证锁定呼气组学模型作为非痰前端筛查/分诊工具的临床可迁移性</w:t>
            </w:r>
          </w:p>
        </w:tc>
      </w:tr>
      <w:tr w14:paraId="5504BA0E">
        <w:tblPrEx>
          <w:tblBorders>
            <w:top w:val="single" w:color="D8DEE9" w:sz="8" w:space="0"/>
            <w:left w:val="single" w:color="D8DEE9" w:sz="8" w:space="0"/>
            <w:bottom w:val="single" w:color="D8DEE9" w:sz="8" w:space="0"/>
            <w:right w:val="single" w:color="D8DEE9" w:sz="8" w:space="0"/>
            <w:insideH w:val="single" w:color="D8DEE9" w:sz="8" w:space="0"/>
            <w:insideV w:val="single" w:color="D8DEE9" w:sz="8" w:space="0"/>
          </w:tblBorders>
          <w:tblCellMar>
            <w:top w:w="0" w:type="dxa"/>
            <w:left w:w="108" w:type="dxa"/>
            <w:bottom w:w="0" w:type="dxa"/>
            <w:right w:w="108" w:type="dxa"/>
          </w:tblCellMar>
        </w:tblPrEx>
        <w:trPr>
          <w:jc w:val="center"/>
        </w:trPr>
        <w:tc>
          <w:tcPr>
            <w:tcW w:w="2268" w:type="dxa"/>
            <w:shd w:val="clear" w:color="auto" w:fill="EAF2F8"/>
            <w:tcMar>
              <w:top w:w="120" w:type="dxa"/>
              <w:left w:w="120" w:type="dxa"/>
              <w:bottom w:w="120" w:type="dxa"/>
              <w:right w:w="120" w:type="dxa"/>
            </w:tcMar>
            <w:vAlign w:val="center"/>
          </w:tcPr>
          <w:p w14:paraId="16529E21">
            <w:pPr>
              <w:spacing w:before="0" w:after="0" w:line="300" w:lineRule="auto"/>
              <w:jc w:val="left"/>
              <w:rPr>
                <w:rFonts w:hint="default" w:ascii="Times New Roman" w:hAnsi="Times New Roman" w:eastAsia="宋体" w:cs="Times New Roman"/>
              </w:rPr>
            </w:pPr>
            <w:r>
              <w:rPr>
                <w:rFonts w:hint="default" w:ascii="Times New Roman" w:hAnsi="Times New Roman" w:eastAsia="宋体" w:cs="Times New Roman"/>
                <w:b/>
                <w:i w:val="0"/>
                <w:color w:val="253858"/>
                <w:sz w:val="21"/>
              </w:rPr>
              <w:t>计划周期</w:t>
            </w:r>
          </w:p>
        </w:tc>
        <w:tc>
          <w:tcPr>
            <w:tcW w:w="5783" w:type="dxa"/>
            <w:shd w:val="clear" w:color="auto" w:fill="F9FBFD"/>
            <w:tcMar>
              <w:top w:w="120" w:type="dxa"/>
              <w:left w:w="120" w:type="dxa"/>
              <w:bottom w:w="120" w:type="dxa"/>
              <w:right w:w="120" w:type="dxa"/>
            </w:tcMar>
            <w:vAlign w:val="center"/>
          </w:tcPr>
          <w:p w14:paraId="759DBF88">
            <w:pPr>
              <w:spacing w:before="0" w:after="0" w:line="300" w:lineRule="auto"/>
              <w:jc w:val="left"/>
              <w:rPr>
                <w:rFonts w:hint="default" w:ascii="Times New Roman" w:hAnsi="Times New Roman" w:eastAsia="宋体" w:cs="Times New Roman"/>
              </w:rPr>
            </w:pPr>
            <w:r>
              <w:rPr>
                <w:rFonts w:hint="default" w:ascii="Times New Roman" w:hAnsi="Times New Roman" w:eastAsia="宋体" w:cs="Times New Roman"/>
                <w:b w:val="0"/>
                <w:i w:val="0"/>
                <w:color w:val="253858"/>
                <w:sz w:val="21"/>
              </w:rPr>
              <w:t>36 个月</w:t>
            </w:r>
          </w:p>
        </w:tc>
      </w:tr>
      <w:tr w14:paraId="1C5271D9">
        <w:tblPrEx>
          <w:tblBorders>
            <w:top w:val="single" w:color="D8DEE9" w:sz="8" w:space="0"/>
            <w:left w:val="single" w:color="D8DEE9" w:sz="8" w:space="0"/>
            <w:bottom w:val="single" w:color="D8DEE9" w:sz="8" w:space="0"/>
            <w:right w:val="single" w:color="D8DEE9" w:sz="8" w:space="0"/>
            <w:insideH w:val="single" w:color="D8DEE9" w:sz="8" w:space="0"/>
            <w:insideV w:val="single" w:color="D8DEE9" w:sz="8" w:space="0"/>
          </w:tblBorders>
          <w:tblCellMar>
            <w:top w:w="0" w:type="dxa"/>
            <w:left w:w="108" w:type="dxa"/>
            <w:bottom w:w="0" w:type="dxa"/>
            <w:right w:w="108" w:type="dxa"/>
          </w:tblCellMar>
        </w:tblPrEx>
        <w:trPr>
          <w:jc w:val="center"/>
        </w:trPr>
        <w:tc>
          <w:tcPr>
            <w:tcW w:w="2268" w:type="dxa"/>
            <w:shd w:val="clear" w:color="auto" w:fill="EAF2F8"/>
            <w:tcMar>
              <w:top w:w="120" w:type="dxa"/>
              <w:left w:w="120" w:type="dxa"/>
              <w:bottom w:w="120" w:type="dxa"/>
              <w:right w:w="120" w:type="dxa"/>
            </w:tcMar>
            <w:vAlign w:val="center"/>
          </w:tcPr>
          <w:p w14:paraId="222A2039">
            <w:pPr>
              <w:spacing w:before="0" w:after="0" w:line="300" w:lineRule="auto"/>
              <w:jc w:val="left"/>
              <w:rPr>
                <w:rFonts w:hint="default" w:ascii="Times New Roman" w:hAnsi="Times New Roman" w:eastAsia="宋体" w:cs="Times New Roman"/>
              </w:rPr>
            </w:pPr>
            <w:r>
              <w:rPr>
                <w:rFonts w:hint="default" w:ascii="Times New Roman" w:hAnsi="Times New Roman" w:eastAsia="宋体" w:cs="Times New Roman"/>
                <w:b/>
                <w:i w:val="0"/>
                <w:color w:val="253858"/>
                <w:sz w:val="21"/>
              </w:rPr>
              <w:t>版本日期</w:t>
            </w:r>
          </w:p>
        </w:tc>
        <w:tc>
          <w:tcPr>
            <w:tcW w:w="5783" w:type="dxa"/>
            <w:shd w:val="clear" w:color="auto" w:fill="F9FBFD"/>
            <w:tcMar>
              <w:top w:w="120" w:type="dxa"/>
              <w:left w:w="120" w:type="dxa"/>
              <w:bottom w:w="120" w:type="dxa"/>
              <w:right w:w="120" w:type="dxa"/>
            </w:tcMar>
            <w:vAlign w:val="center"/>
          </w:tcPr>
          <w:p w14:paraId="640FAC9D">
            <w:pPr>
              <w:spacing w:before="0" w:after="0" w:line="300" w:lineRule="auto"/>
              <w:jc w:val="left"/>
              <w:rPr>
                <w:rFonts w:hint="default" w:ascii="Times New Roman" w:hAnsi="Times New Roman" w:eastAsia="宋体" w:cs="Times New Roman"/>
              </w:rPr>
            </w:pPr>
            <w:r>
              <w:rPr>
                <w:rFonts w:hint="default" w:ascii="Times New Roman" w:hAnsi="Times New Roman" w:eastAsia="宋体" w:cs="Times New Roman"/>
                <w:b w:val="0"/>
                <w:i w:val="0"/>
                <w:color w:val="253858"/>
                <w:sz w:val="21"/>
              </w:rPr>
              <w:t>2026-03-18</w:t>
            </w:r>
          </w:p>
        </w:tc>
      </w:tr>
    </w:tbl>
    <w:p w14:paraId="3DF3C153">
      <w:pPr>
        <w:rPr>
          <w:rFonts w:hint="default" w:ascii="Times New Roman" w:hAnsi="Times New Roman" w:eastAsia="宋体" w:cs="Times New Roman"/>
        </w:rPr>
      </w:pPr>
    </w:p>
    <w:p w14:paraId="29D5664C">
      <w:pPr>
        <w:jc w:val="center"/>
        <w:rPr>
          <w:rFonts w:hint="default" w:ascii="Times New Roman" w:hAnsi="Times New Roman" w:eastAsia="宋体" w:cs="Times New Roman"/>
        </w:rPr>
      </w:pPr>
      <w:r>
        <w:rPr>
          <w:rFonts w:hint="default" w:ascii="Times New Roman" w:hAnsi="Times New Roman" w:eastAsia="宋体" w:cs="Times New Roman"/>
          <w:b w:val="0"/>
          <w:i w:val="0"/>
          <w:color w:val="6B7280"/>
          <w:sz w:val="19"/>
        </w:rPr>
        <w:t>本稿根据用户提供的 V3.0 草稿整理，已去除重复段落，并按正式研究方案体例重构。</w:t>
      </w:r>
    </w:p>
    <w:p w14:paraId="214FBF11">
      <w:pPr>
        <w:rPr>
          <w:rFonts w:hint="default" w:ascii="Times New Roman" w:hAnsi="Times New Roman" w:eastAsia="宋体" w:cs="Times New Roman"/>
        </w:rPr>
      </w:pPr>
      <w:r>
        <w:rPr>
          <w:rFonts w:hint="default" w:ascii="Times New Roman" w:hAnsi="Times New Roman" w:eastAsia="宋体" w:cs="Times New Roman"/>
        </w:rPr>
        <w:br w:type="page"/>
      </w:r>
    </w:p>
    <w:p w14:paraId="62070871">
      <w:pPr>
        <w:pStyle w:val="3"/>
        <w:rPr>
          <w:rFonts w:hint="default" w:ascii="Times New Roman" w:hAnsi="Times New Roman" w:eastAsia="宋体" w:cs="Times New Roman"/>
        </w:rPr>
      </w:pPr>
      <w:r>
        <w:rPr>
          <w:rFonts w:hint="default" w:ascii="Times New Roman" w:hAnsi="Times New Roman" w:eastAsia="宋体" w:cs="Times New Roman"/>
        </w:rPr>
        <w:t>一、方案摘要</w:t>
      </w:r>
    </w:p>
    <w:p w14:paraId="7B440469">
      <w:pPr>
        <w:spacing w:before="0" w:after="120" w:line="360" w:lineRule="auto"/>
        <w:rPr>
          <w:rFonts w:hint="default" w:ascii="Times New Roman" w:hAnsi="Times New Roman" w:eastAsia="宋体" w:cs="Times New Roman"/>
        </w:rPr>
      </w:pPr>
      <w:r>
        <w:rPr>
          <w:rFonts w:hint="default" w:ascii="Times New Roman" w:hAnsi="Times New Roman" w:eastAsia="宋体" w:cs="Times New Roman"/>
          <w:b w:val="0"/>
          <w:i w:val="0"/>
          <w:sz w:val="22"/>
        </w:rPr>
        <w:t>本研究拟在多中心、前瞻性、真实世界连续入组框架下，验证既往单中心建立并锁定的呼气组学模型，能否作为活动性肺结核整体的非痰前端筛查/分诊工具稳定工作。 目标疾病包括病原学阳性肺结核（PTB+）和病原学阴性/细菌学未确诊肺结核（PTB-U），并以 PTB-U 作为关键亮点人群。</w:t>
      </w:r>
    </w:p>
    <w:tbl>
      <w:tblPr>
        <w:tblStyle w:val="32"/>
        <w:tblW w:w="0" w:type="auto"/>
        <w:jc w:val="center"/>
        <w:tblBorders>
          <w:top w:val="single" w:color="B8C7D9" w:sz="8" w:space="0"/>
          <w:left w:val="single" w:color="B8C7D9" w:sz="8" w:space="0"/>
          <w:bottom w:val="single" w:color="B8C7D9" w:sz="8" w:space="0"/>
          <w:right w:val="single" w:color="B8C7D9" w:sz="8" w:space="0"/>
          <w:insideH w:val="single" w:color="B8C7D9" w:sz="8" w:space="0"/>
          <w:insideV w:val="single" w:color="B8C7D9" w:sz="8" w:space="0"/>
        </w:tblBorders>
        <w:tblLayout w:type="fixed"/>
        <w:tblCellMar>
          <w:top w:w="0" w:type="dxa"/>
          <w:left w:w="108" w:type="dxa"/>
          <w:bottom w:w="0" w:type="dxa"/>
          <w:right w:w="108" w:type="dxa"/>
        </w:tblCellMar>
      </w:tblPr>
      <w:tblGrid>
        <w:gridCol w:w="2381"/>
        <w:gridCol w:w="6803"/>
      </w:tblGrid>
      <w:tr w14:paraId="045EFC10">
        <w:tblPrEx>
          <w:tblBorders>
            <w:top w:val="single" w:color="B8C7D9" w:sz="8" w:space="0"/>
            <w:left w:val="single" w:color="B8C7D9" w:sz="8" w:space="0"/>
            <w:bottom w:val="single" w:color="B8C7D9" w:sz="8" w:space="0"/>
            <w:right w:val="single" w:color="B8C7D9" w:sz="8" w:space="0"/>
            <w:insideH w:val="single" w:color="B8C7D9" w:sz="8" w:space="0"/>
            <w:insideV w:val="single" w:color="B8C7D9" w:sz="8" w:space="0"/>
          </w:tblBorders>
          <w:tblCellMar>
            <w:top w:w="0" w:type="dxa"/>
            <w:left w:w="108" w:type="dxa"/>
            <w:bottom w:w="0" w:type="dxa"/>
            <w:right w:w="108" w:type="dxa"/>
          </w:tblCellMar>
        </w:tblPrEx>
        <w:trPr>
          <w:jc w:val="center"/>
        </w:trPr>
        <w:tc>
          <w:tcPr>
            <w:tcW w:w="4592" w:type="dxa"/>
            <w:shd w:val="clear" w:color="auto" w:fill="EEF4FB"/>
            <w:tcMar>
              <w:top w:w="130" w:type="dxa"/>
              <w:left w:w="130" w:type="dxa"/>
              <w:bottom w:w="130" w:type="dxa"/>
              <w:right w:w="130" w:type="dxa"/>
            </w:tcMar>
            <w:vAlign w:val="center"/>
          </w:tcPr>
          <w:p w14:paraId="3D79551A">
            <w:pPr>
              <w:spacing w:before="0" w:after="0" w:line="300" w:lineRule="auto"/>
              <w:rPr>
                <w:rFonts w:hint="default" w:ascii="Times New Roman" w:hAnsi="Times New Roman" w:eastAsia="宋体" w:cs="Times New Roman"/>
              </w:rPr>
            </w:pPr>
            <w:r>
              <w:rPr>
                <w:rFonts w:hint="default" w:ascii="Times New Roman" w:hAnsi="Times New Roman" w:eastAsia="宋体" w:cs="Times New Roman"/>
                <w:b/>
                <w:i w:val="0"/>
                <w:color w:val="253858"/>
                <w:sz w:val="20"/>
              </w:rPr>
              <w:t>研究对象</w:t>
            </w:r>
          </w:p>
        </w:tc>
        <w:tc>
          <w:tcPr>
            <w:tcW w:w="4592" w:type="dxa"/>
            <w:shd w:val="clear" w:color="auto" w:fill="FFFFFF"/>
            <w:tcMar>
              <w:top w:w="130" w:type="dxa"/>
              <w:left w:w="130" w:type="dxa"/>
              <w:bottom w:w="130" w:type="dxa"/>
              <w:right w:w="130" w:type="dxa"/>
            </w:tcMar>
            <w:vAlign w:val="center"/>
          </w:tcPr>
          <w:p w14:paraId="383665A2">
            <w:pPr>
              <w:spacing w:before="0" w:after="0" w:line="300" w:lineRule="auto"/>
              <w:rPr>
                <w:rFonts w:hint="default" w:ascii="Times New Roman" w:hAnsi="Times New Roman" w:eastAsia="宋体" w:cs="Times New Roman"/>
              </w:rPr>
            </w:pPr>
            <w:r>
              <w:rPr>
                <w:rFonts w:hint="default" w:ascii="Times New Roman" w:hAnsi="Times New Roman" w:eastAsia="宋体" w:cs="Times New Roman"/>
                <w:b w:val="0"/>
                <w:i w:val="0"/>
                <w:color w:val="253858"/>
                <w:sz w:val="20"/>
              </w:rPr>
              <w:t>疑似活动性肺结核受试者及预设对照人群；按 PTB+、PTB-U、其他活动性感染性肺病、稳定期非感染性肺病、肺癌、健康对照和 LTBI 共 7 组纳入。</w:t>
            </w:r>
          </w:p>
        </w:tc>
      </w:tr>
      <w:tr w14:paraId="153D1B13">
        <w:tblPrEx>
          <w:tblBorders>
            <w:top w:val="single" w:color="B8C7D9" w:sz="8" w:space="0"/>
            <w:left w:val="single" w:color="B8C7D9" w:sz="8" w:space="0"/>
            <w:bottom w:val="single" w:color="B8C7D9" w:sz="8" w:space="0"/>
            <w:right w:val="single" w:color="B8C7D9" w:sz="8" w:space="0"/>
            <w:insideH w:val="single" w:color="B8C7D9" w:sz="8" w:space="0"/>
            <w:insideV w:val="single" w:color="B8C7D9" w:sz="8" w:space="0"/>
          </w:tblBorders>
          <w:tblCellMar>
            <w:top w:w="0" w:type="dxa"/>
            <w:left w:w="108" w:type="dxa"/>
            <w:bottom w:w="0" w:type="dxa"/>
            <w:right w:w="108" w:type="dxa"/>
          </w:tblCellMar>
        </w:tblPrEx>
        <w:trPr>
          <w:jc w:val="center"/>
        </w:trPr>
        <w:tc>
          <w:tcPr>
            <w:tcW w:w="4592" w:type="dxa"/>
            <w:shd w:val="clear" w:color="auto" w:fill="EEF4FB"/>
            <w:tcMar>
              <w:top w:w="130" w:type="dxa"/>
              <w:left w:w="130" w:type="dxa"/>
              <w:bottom w:w="130" w:type="dxa"/>
              <w:right w:w="130" w:type="dxa"/>
            </w:tcMar>
            <w:vAlign w:val="center"/>
          </w:tcPr>
          <w:p w14:paraId="5C26E6C1">
            <w:pPr>
              <w:spacing w:before="0" w:after="0" w:line="300" w:lineRule="auto"/>
              <w:rPr>
                <w:rFonts w:hint="default" w:ascii="Times New Roman" w:hAnsi="Times New Roman" w:eastAsia="宋体" w:cs="Times New Roman"/>
              </w:rPr>
            </w:pPr>
            <w:r>
              <w:rPr>
                <w:rFonts w:hint="default" w:ascii="Times New Roman" w:hAnsi="Times New Roman" w:eastAsia="宋体" w:cs="Times New Roman"/>
                <w:b/>
                <w:i w:val="0"/>
                <w:color w:val="253858"/>
                <w:sz w:val="20"/>
              </w:rPr>
              <w:t>指数试验</w:t>
            </w:r>
          </w:p>
        </w:tc>
        <w:tc>
          <w:tcPr>
            <w:tcW w:w="4592" w:type="dxa"/>
            <w:shd w:val="clear" w:color="auto" w:fill="FAFCFE"/>
            <w:tcMar>
              <w:top w:w="130" w:type="dxa"/>
              <w:left w:w="130" w:type="dxa"/>
              <w:bottom w:w="130" w:type="dxa"/>
              <w:right w:w="130" w:type="dxa"/>
            </w:tcMar>
            <w:vAlign w:val="center"/>
          </w:tcPr>
          <w:p w14:paraId="6A066500">
            <w:pPr>
              <w:spacing w:before="0" w:after="0" w:line="300" w:lineRule="auto"/>
              <w:rPr>
                <w:rFonts w:hint="default" w:ascii="Times New Roman" w:hAnsi="Times New Roman" w:eastAsia="宋体" w:cs="Times New Roman"/>
              </w:rPr>
            </w:pPr>
            <w:r>
              <w:rPr>
                <w:rFonts w:hint="default" w:ascii="Times New Roman" w:hAnsi="Times New Roman" w:eastAsia="宋体" w:cs="Times New Roman"/>
                <w:b w:val="0"/>
                <w:i w:val="0"/>
                <w:color w:val="253858"/>
                <w:sz w:val="20"/>
              </w:rPr>
              <w:t>锁定的呼气组学模型；研究期间不重训练、不重校准、不调整阈值。</w:t>
            </w:r>
          </w:p>
        </w:tc>
      </w:tr>
      <w:tr w14:paraId="364EF35E">
        <w:tblPrEx>
          <w:tblBorders>
            <w:top w:val="single" w:color="B8C7D9" w:sz="8" w:space="0"/>
            <w:left w:val="single" w:color="B8C7D9" w:sz="8" w:space="0"/>
            <w:bottom w:val="single" w:color="B8C7D9" w:sz="8" w:space="0"/>
            <w:right w:val="single" w:color="B8C7D9" w:sz="8" w:space="0"/>
            <w:insideH w:val="single" w:color="B8C7D9" w:sz="8" w:space="0"/>
            <w:insideV w:val="single" w:color="B8C7D9" w:sz="8" w:space="0"/>
          </w:tblBorders>
          <w:tblCellMar>
            <w:top w:w="0" w:type="dxa"/>
            <w:left w:w="108" w:type="dxa"/>
            <w:bottom w:w="0" w:type="dxa"/>
            <w:right w:w="108" w:type="dxa"/>
          </w:tblCellMar>
        </w:tblPrEx>
        <w:trPr>
          <w:jc w:val="center"/>
        </w:trPr>
        <w:tc>
          <w:tcPr>
            <w:tcW w:w="4592" w:type="dxa"/>
            <w:shd w:val="clear" w:color="auto" w:fill="EEF4FB"/>
            <w:tcMar>
              <w:top w:w="130" w:type="dxa"/>
              <w:left w:w="130" w:type="dxa"/>
              <w:bottom w:w="130" w:type="dxa"/>
              <w:right w:w="130" w:type="dxa"/>
            </w:tcMar>
            <w:vAlign w:val="center"/>
          </w:tcPr>
          <w:p w14:paraId="5FB70431">
            <w:pPr>
              <w:spacing w:before="0" w:after="0" w:line="300" w:lineRule="auto"/>
              <w:rPr>
                <w:rFonts w:hint="default" w:ascii="Times New Roman" w:hAnsi="Times New Roman" w:eastAsia="宋体" w:cs="Times New Roman"/>
              </w:rPr>
            </w:pPr>
            <w:r>
              <w:rPr>
                <w:rFonts w:hint="default" w:ascii="Times New Roman" w:hAnsi="Times New Roman" w:eastAsia="宋体" w:cs="Times New Roman"/>
                <w:b/>
                <w:i w:val="0"/>
                <w:color w:val="253858"/>
                <w:sz w:val="20"/>
              </w:rPr>
              <w:t>参考标准</w:t>
            </w:r>
          </w:p>
        </w:tc>
        <w:tc>
          <w:tcPr>
            <w:tcW w:w="4592" w:type="dxa"/>
            <w:shd w:val="clear" w:color="auto" w:fill="FFFFFF"/>
            <w:tcMar>
              <w:top w:w="130" w:type="dxa"/>
              <w:left w:w="130" w:type="dxa"/>
              <w:bottom w:w="130" w:type="dxa"/>
              <w:right w:w="130" w:type="dxa"/>
            </w:tcMar>
            <w:vAlign w:val="center"/>
          </w:tcPr>
          <w:p w14:paraId="56284C0E">
            <w:pPr>
              <w:spacing w:before="0" w:after="0" w:line="300" w:lineRule="auto"/>
              <w:rPr>
                <w:rFonts w:hint="default" w:ascii="Times New Roman" w:hAnsi="Times New Roman" w:eastAsia="宋体" w:cs="Times New Roman"/>
              </w:rPr>
            </w:pPr>
            <w:r>
              <w:rPr>
                <w:rFonts w:hint="default" w:ascii="Times New Roman" w:hAnsi="Times New Roman" w:eastAsia="宋体" w:cs="Times New Roman"/>
                <w:b w:val="0"/>
                <w:i w:val="0"/>
                <w:color w:val="253858"/>
                <w:sz w:val="20"/>
              </w:rPr>
              <w:t>PTB+ 采用病原学确证；PTB-U 采用临床、影像、病原学、治疗决策与治疗后反应构成的复合参考标准。</w:t>
            </w:r>
          </w:p>
        </w:tc>
      </w:tr>
      <w:tr w14:paraId="64F0E737">
        <w:tblPrEx>
          <w:tblBorders>
            <w:top w:val="single" w:color="B8C7D9" w:sz="8" w:space="0"/>
            <w:left w:val="single" w:color="B8C7D9" w:sz="8" w:space="0"/>
            <w:bottom w:val="single" w:color="B8C7D9" w:sz="8" w:space="0"/>
            <w:right w:val="single" w:color="B8C7D9" w:sz="8" w:space="0"/>
            <w:insideH w:val="single" w:color="B8C7D9" w:sz="8" w:space="0"/>
            <w:insideV w:val="single" w:color="B8C7D9" w:sz="8" w:space="0"/>
          </w:tblBorders>
          <w:tblCellMar>
            <w:top w:w="0" w:type="dxa"/>
            <w:left w:w="108" w:type="dxa"/>
            <w:bottom w:w="0" w:type="dxa"/>
            <w:right w:w="108" w:type="dxa"/>
          </w:tblCellMar>
        </w:tblPrEx>
        <w:trPr>
          <w:jc w:val="center"/>
        </w:trPr>
        <w:tc>
          <w:tcPr>
            <w:tcW w:w="4592" w:type="dxa"/>
            <w:shd w:val="clear" w:color="auto" w:fill="EEF4FB"/>
            <w:tcMar>
              <w:top w:w="130" w:type="dxa"/>
              <w:left w:w="130" w:type="dxa"/>
              <w:bottom w:w="130" w:type="dxa"/>
              <w:right w:w="130" w:type="dxa"/>
            </w:tcMar>
            <w:vAlign w:val="center"/>
          </w:tcPr>
          <w:p w14:paraId="37C64164">
            <w:pPr>
              <w:spacing w:before="0" w:after="0" w:line="300" w:lineRule="auto"/>
              <w:rPr>
                <w:rFonts w:hint="default" w:ascii="Times New Roman" w:hAnsi="Times New Roman" w:eastAsia="宋体" w:cs="Times New Roman"/>
              </w:rPr>
            </w:pPr>
            <w:r>
              <w:rPr>
                <w:rFonts w:hint="default" w:ascii="Times New Roman" w:hAnsi="Times New Roman" w:eastAsia="宋体" w:cs="Times New Roman"/>
                <w:b/>
                <w:i w:val="0"/>
                <w:color w:val="253858"/>
                <w:sz w:val="20"/>
              </w:rPr>
              <w:t>主要目标</w:t>
            </w:r>
          </w:p>
        </w:tc>
        <w:tc>
          <w:tcPr>
            <w:tcW w:w="4592" w:type="dxa"/>
            <w:shd w:val="clear" w:color="auto" w:fill="FAFCFE"/>
            <w:tcMar>
              <w:top w:w="130" w:type="dxa"/>
              <w:left w:w="130" w:type="dxa"/>
              <w:bottom w:w="130" w:type="dxa"/>
              <w:right w:w="130" w:type="dxa"/>
            </w:tcMar>
            <w:vAlign w:val="center"/>
          </w:tcPr>
          <w:p w14:paraId="00C84692">
            <w:pPr>
              <w:spacing w:before="0" w:after="0" w:line="300" w:lineRule="auto"/>
              <w:rPr>
                <w:rFonts w:hint="default" w:ascii="Times New Roman" w:hAnsi="Times New Roman" w:eastAsia="宋体" w:cs="Times New Roman"/>
              </w:rPr>
            </w:pPr>
            <w:r>
              <w:rPr>
                <w:rFonts w:hint="default" w:ascii="Times New Roman" w:hAnsi="Times New Roman" w:eastAsia="宋体" w:cs="Times New Roman"/>
                <w:b w:val="0"/>
                <w:i w:val="0"/>
                <w:color w:val="253858"/>
                <w:sz w:val="20"/>
              </w:rPr>
              <w:t>验证模型对活动性肺结核整体（PTB+ + PTB-U）相对于 non-TB 的前端筛查/分诊能力。</w:t>
            </w:r>
          </w:p>
        </w:tc>
      </w:tr>
      <w:tr w14:paraId="2A7E98E5">
        <w:tblPrEx>
          <w:tblBorders>
            <w:top w:val="single" w:color="B8C7D9" w:sz="8" w:space="0"/>
            <w:left w:val="single" w:color="B8C7D9" w:sz="8" w:space="0"/>
            <w:bottom w:val="single" w:color="B8C7D9" w:sz="8" w:space="0"/>
            <w:right w:val="single" w:color="B8C7D9" w:sz="8" w:space="0"/>
            <w:insideH w:val="single" w:color="B8C7D9" w:sz="8" w:space="0"/>
            <w:insideV w:val="single" w:color="B8C7D9" w:sz="8" w:space="0"/>
          </w:tblBorders>
          <w:tblCellMar>
            <w:top w:w="0" w:type="dxa"/>
            <w:left w:w="108" w:type="dxa"/>
            <w:bottom w:w="0" w:type="dxa"/>
            <w:right w:w="108" w:type="dxa"/>
          </w:tblCellMar>
        </w:tblPrEx>
        <w:trPr>
          <w:jc w:val="center"/>
        </w:trPr>
        <w:tc>
          <w:tcPr>
            <w:tcW w:w="4592" w:type="dxa"/>
            <w:shd w:val="clear" w:color="auto" w:fill="EEF4FB"/>
            <w:tcMar>
              <w:top w:w="130" w:type="dxa"/>
              <w:left w:w="130" w:type="dxa"/>
              <w:bottom w:w="130" w:type="dxa"/>
              <w:right w:w="130" w:type="dxa"/>
            </w:tcMar>
            <w:vAlign w:val="center"/>
          </w:tcPr>
          <w:p w14:paraId="5A8331FE">
            <w:pPr>
              <w:spacing w:before="0" w:after="0" w:line="300" w:lineRule="auto"/>
              <w:rPr>
                <w:rFonts w:hint="default" w:ascii="Times New Roman" w:hAnsi="Times New Roman" w:eastAsia="宋体" w:cs="Times New Roman"/>
              </w:rPr>
            </w:pPr>
            <w:r>
              <w:rPr>
                <w:rFonts w:hint="default" w:ascii="Times New Roman" w:hAnsi="Times New Roman" w:eastAsia="宋体" w:cs="Times New Roman"/>
                <w:b/>
                <w:i w:val="0"/>
                <w:color w:val="253858"/>
                <w:sz w:val="20"/>
              </w:rPr>
              <w:t>关键次要目标</w:t>
            </w:r>
          </w:p>
        </w:tc>
        <w:tc>
          <w:tcPr>
            <w:tcW w:w="4592" w:type="dxa"/>
            <w:shd w:val="clear" w:color="auto" w:fill="FFFFFF"/>
            <w:tcMar>
              <w:top w:w="130" w:type="dxa"/>
              <w:left w:w="130" w:type="dxa"/>
              <w:bottom w:w="130" w:type="dxa"/>
              <w:right w:w="130" w:type="dxa"/>
            </w:tcMar>
            <w:vAlign w:val="center"/>
          </w:tcPr>
          <w:p w14:paraId="31BDE0DE">
            <w:pPr>
              <w:spacing w:before="0" w:after="0" w:line="300" w:lineRule="auto"/>
              <w:rPr>
                <w:rFonts w:hint="default" w:ascii="Times New Roman" w:hAnsi="Times New Roman" w:eastAsia="宋体" w:cs="Times New Roman"/>
              </w:rPr>
            </w:pPr>
            <w:r>
              <w:rPr>
                <w:rFonts w:hint="default" w:ascii="Times New Roman" w:hAnsi="Times New Roman" w:eastAsia="宋体" w:cs="Times New Roman"/>
                <w:b w:val="0"/>
                <w:i w:val="0"/>
                <w:color w:val="253858"/>
                <w:sz w:val="20"/>
              </w:rPr>
              <w:t>重点评估 PTB-U 人群性能，比较 PTB+ 与 PTB-U 的表现差异，评价跨中心可迁移性。</w:t>
            </w:r>
          </w:p>
        </w:tc>
      </w:tr>
      <w:tr w14:paraId="5925F095">
        <w:tblPrEx>
          <w:tblBorders>
            <w:top w:val="single" w:color="B8C7D9" w:sz="8" w:space="0"/>
            <w:left w:val="single" w:color="B8C7D9" w:sz="8" w:space="0"/>
            <w:bottom w:val="single" w:color="B8C7D9" w:sz="8" w:space="0"/>
            <w:right w:val="single" w:color="B8C7D9" w:sz="8" w:space="0"/>
            <w:insideH w:val="single" w:color="B8C7D9" w:sz="8" w:space="0"/>
            <w:insideV w:val="single" w:color="B8C7D9" w:sz="8" w:space="0"/>
          </w:tblBorders>
          <w:tblCellMar>
            <w:top w:w="0" w:type="dxa"/>
            <w:left w:w="108" w:type="dxa"/>
            <w:bottom w:w="0" w:type="dxa"/>
            <w:right w:w="108" w:type="dxa"/>
          </w:tblCellMar>
        </w:tblPrEx>
        <w:trPr>
          <w:jc w:val="center"/>
        </w:trPr>
        <w:tc>
          <w:tcPr>
            <w:tcW w:w="4592" w:type="dxa"/>
            <w:shd w:val="clear" w:color="auto" w:fill="EEF4FB"/>
            <w:tcMar>
              <w:top w:w="130" w:type="dxa"/>
              <w:left w:w="130" w:type="dxa"/>
              <w:bottom w:w="130" w:type="dxa"/>
              <w:right w:w="130" w:type="dxa"/>
            </w:tcMar>
            <w:vAlign w:val="center"/>
          </w:tcPr>
          <w:p w14:paraId="4FDE5A2E">
            <w:pPr>
              <w:spacing w:before="0" w:after="0" w:line="300" w:lineRule="auto"/>
              <w:rPr>
                <w:rFonts w:hint="default" w:ascii="Times New Roman" w:hAnsi="Times New Roman" w:eastAsia="宋体" w:cs="Times New Roman"/>
              </w:rPr>
            </w:pPr>
            <w:r>
              <w:rPr>
                <w:rFonts w:hint="default" w:ascii="Times New Roman" w:hAnsi="Times New Roman" w:eastAsia="宋体" w:cs="Times New Roman"/>
                <w:b/>
                <w:i w:val="0"/>
                <w:color w:val="253858"/>
                <w:sz w:val="20"/>
              </w:rPr>
              <w:t>样本量</w:t>
            </w:r>
          </w:p>
        </w:tc>
        <w:tc>
          <w:tcPr>
            <w:tcW w:w="4592" w:type="dxa"/>
            <w:shd w:val="clear" w:color="auto" w:fill="FAFCFE"/>
            <w:tcMar>
              <w:top w:w="130" w:type="dxa"/>
              <w:left w:w="130" w:type="dxa"/>
              <w:bottom w:w="130" w:type="dxa"/>
              <w:right w:w="130" w:type="dxa"/>
            </w:tcMar>
            <w:vAlign w:val="center"/>
          </w:tcPr>
          <w:p w14:paraId="6327987B">
            <w:pPr>
              <w:spacing w:before="0" w:after="0" w:line="300" w:lineRule="auto"/>
              <w:rPr>
                <w:rFonts w:hint="default" w:ascii="Times New Roman" w:hAnsi="Times New Roman" w:eastAsia="宋体" w:cs="Times New Roman"/>
              </w:rPr>
            </w:pPr>
            <w:r>
              <w:rPr>
                <w:rFonts w:hint="default" w:ascii="Times New Roman" w:hAnsi="Times New Roman" w:eastAsia="宋体" w:cs="Times New Roman"/>
                <w:b w:val="0"/>
                <w:i w:val="0"/>
                <w:color w:val="253858"/>
                <w:sz w:val="20"/>
              </w:rPr>
              <w:t>计划总样本量 1200 例，其中 PTB+ 380 例、PTB-U 250 例、non-TB 570 例。</w:t>
            </w:r>
          </w:p>
        </w:tc>
      </w:tr>
      <w:tr w14:paraId="0FAFE9EA">
        <w:tblPrEx>
          <w:tblBorders>
            <w:top w:val="single" w:color="B8C7D9" w:sz="8" w:space="0"/>
            <w:left w:val="single" w:color="B8C7D9" w:sz="8" w:space="0"/>
            <w:bottom w:val="single" w:color="B8C7D9" w:sz="8" w:space="0"/>
            <w:right w:val="single" w:color="B8C7D9" w:sz="8" w:space="0"/>
            <w:insideH w:val="single" w:color="B8C7D9" w:sz="8" w:space="0"/>
            <w:insideV w:val="single" w:color="B8C7D9" w:sz="8" w:space="0"/>
          </w:tblBorders>
          <w:tblCellMar>
            <w:top w:w="0" w:type="dxa"/>
            <w:left w:w="108" w:type="dxa"/>
            <w:bottom w:w="0" w:type="dxa"/>
            <w:right w:w="108" w:type="dxa"/>
          </w:tblCellMar>
        </w:tblPrEx>
        <w:trPr>
          <w:jc w:val="center"/>
        </w:trPr>
        <w:tc>
          <w:tcPr>
            <w:tcW w:w="4592" w:type="dxa"/>
            <w:shd w:val="clear" w:color="auto" w:fill="EEF4FB"/>
            <w:tcMar>
              <w:top w:w="130" w:type="dxa"/>
              <w:left w:w="130" w:type="dxa"/>
              <w:bottom w:w="130" w:type="dxa"/>
              <w:right w:w="130" w:type="dxa"/>
            </w:tcMar>
            <w:vAlign w:val="center"/>
          </w:tcPr>
          <w:p w14:paraId="0FA8913A">
            <w:pPr>
              <w:spacing w:before="0" w:after="0" w:line="300" w:lineRule="auto"/>
              <w:rPr>
                <w:rFonts w:hint="default" w:ascii="Times New Roman" w:hAnsi="Times New Roman" w:eastAsia="宋体" w:cs="Times New Roman"/>
              </w:rPr>
            </w:pPr>
            <w:r>
              <w:rPr>
                <w:rFonts w:hint="default" w:ascii="Times New Roman" w:hAnsi="Times New Roman" w:eastAsia="宋体" w:cs="Times New Roman"/>
                <w:b/>
                <w:i w:val="0"/>
                <w:color w:val="253858"/>
                <w:sz w:val="20"/>
              </w:rPr>
              <w:t>研究周期</w:t>
            </w:r>
          </w:p>
        </w:tc>
        <w:tc>
          <w:tcPr>
            <w:tcW w:w="4592" w:type="dxa"/>
            <w:shd w:val="clear" w:color="auto" w:fill="FFFFFF"/>
            <w:tcMar>
              <w:top w:w="130" w:type="dxa"/>
              <w:left w:w="130" w:type="dxa"/>
              <w:bottom w:w="130" w:type="dxa"/>
              <w:right w:w="130" w:type="dxa"/>
            </w:tcMar>
            <w:vAlign w:val="center"/>
          </w:tcPr>
          <w:p w14:paraId="447858C7">
            <w:pPr>
              <w:spacing w:before="0" w:after="0" w:line="300" w:lineRule="auto"/>
              <w:rPr>
                <w:rFonts w:hint="default" w:ascii="Times New Roman" w:hAnsi="Times New Roman" w:eastAsia="宋体" w:cs="Times New Roman"/>
              </w:rPr>
            </w:pPr>
            <w:r>
              <w:rPr>
                <w:rFonts w:hint="default" w:ascii="Times New Roman" w:hAnsi="Times New Roman" w:eastAsia="宋体" w:cs="Times New Roman"/>
                <w:b w:val="0"/>
                <w:i w:val="0"/>
                <w:color w:val="253858"/>
                <w:sz w:val="20"/>
              </w:rPr>
              <w:t>3 年；V1 基线采样后按常规临床路径随访，PTB-U 以约 8 周复查作为关键结局判定节点。</w:t>
            </w:r>
          </w:p>
        </w:tc>
      </w:tr>
      <w:tr w14:paraId="45EB1308">
        <w:tblPrEx>
          <w:tblBorders>
            <w:top w:val="single" w:color="B8C7D9" w:sz="8" w:space="0"/>
            <w:left w:val="single" w:color="B8C7D9" w:sz="8" w:space="0"/>
            <w:bottom w:val="single" w:color="B8C7D9" w:sz="8" w:space="0"/>
            <w:right w:val="single" w:color="B8C7D9" w:sz="8" w:space="0"/>
            <w:insideH w:val="single" w:color="B8C7D9" w:sz="8" w:space="0"/>
            <w:insideV w:val="single" w:color="B8C7D9" w:sz="8" w:space="0"/>
          </w:tblBorders>
          <w:tblCellMar>
            <w:top w:w="0" w:type="dxa"/>
            <w:left w:w="108" w:type="dxa"/>
            <w:bottom w:w="0" w:type="dxa"/>
            <w:right w:w="108" w:type="dxa"/>
          </w:tblCellMar>
        </w:tblPrEx>
        <w:trPr>
          <w:jc w:val="center"/>
        </w:trPr>
        <w:tc>
          <w:tcPr>
            <w:tcW w:w="4592" w:type="dxa"/>
            <w:shd w:val="clear" w:color="auto" w:fill="EEF4FB"/>
            <w:tcMar>
              <w:top w:w="130" w:type="dxa"/>
              <w:left w:w="130" w:type="dxa"/>
              <w:bottom w:w="130" w:type="dxa"/>
              <w:right w:w="130" w:type="dxa"/>
            </w:tcMar>
            <w:vAlign w:val="center"/>
          </w:tcPr>
          <w:p w14:paraId="1913680F">
            <w:pPr>
              <w:spacing w:before="0" w:after="0" w:line="300" w:lineRule="auto"/>
              <w:rPr>
                <w:rFonts w:hint="default" w:ascii="Times New Roman" w:hAnsi="Times New Roman" w:eastAsia="宋体" w:cs="Times New Roman"/>
              </w:rPr>
            </w:pPr>
            <w:r>
              <w:rPr>
                <w:rFonts w:hint="default" w:ascii="Times New Roman" w:hAnsi="Times New Roman" w:eastAsia="宋体" w:cs="Times New Roman"/>
                <w:b/>
                <w:i w:val="0"/>
                <w:color w:val="253858"/>
                <w:sz w:val="20"/>
              </w:rPr>
              <w:t>核心价值</w:t>
            </w:r>
          </w:p>
        </w:tc>
        <w:tc>
          <w:tcPr>
            <w:tcW w:w="4592" w:type="dxa"/>
            <w:shd w:val="clear" w:color="auto" w:fill="FAFCFE"/>
            <w:tcMar>
              <w:top w:w="130" w:type="dxa"/>
              <w:left w:w="130" w:type="dxa"/>
              <w:bottom w:w="130" w:type="dxa"/>
              <w:right w:w="130" w:type="dxa"/>
            </w:tcMar>
            <w:vAlign w:val="center"/>
          </w:tcPr>
          <w:p w14:paraId="3FBD7A07">
            <w:pPr>
              <w:spacing w:before="0" w:after="0" w:line="300" w:lineRule="auto"/>
              <w:rPr>
                <w:rFonts w:hint="default" w:ascii="Times New Roman" w:hAnsi="Times New Roman" w:eastAsia="宋体" w:cs="Times New Roman"/>
              </w:rPr>
            </w:pPr>
            <w:r>
              <w:rPr>
                <w:rFonts w:hint="default" w:ascii="Times New Roman" w:hAnsi="Times New Roman" w:eastAsia="宋体" w:cs="Times New Roman"/>
                <w:b w:val="0"/>
                <w:i w:val="0"/>
                <w:color w:val="253858"/>
                <w:sz w:val="20"/>
              </w:rPr>
              <w:t>回答呼气信号是否能够覆盖活动性肺结核整体，尤其是能否在 PTB-U 人群中提供临床有意义的非痰前端信息。</w:t>
            </w:r>
          </w:p>
        </w:tc>
      </w:tr>
    </w:tbl>
    <w:p w14:paraId="50D406FD">
      <w:pPr>
        <w:pStyle w:val="3"/>
        <w:rPr>
          <w:rFonts w:hint="default" w:ascii="Times New Roman" w:hAnsi="Times New Roman" w:eastAsia="宋体" w:cs="Times New Roman"/>
        </w:rPr>
      </w:pPr>
      <w:r>
        <w:rPr>
          <w:rFonts w:hint="default" w:ascii="Times New Roman" w:hAnsi="Times New Roman" w:eastAsia="宋体" w:cs="Times New Roman"/>
        </w:rPr>
        <w:t>二、研究背景与立项依据</w:t>
      </w:r>
    </w:p>
    <w:p w14:paraId="20C086A9">
      <w:pPr>
        <w:pStyle w:val="4"/>
        <w:rPr>
          <w:rFonts w:hint="default" w:ascii="Times New Roman" w:hAnsi="Times New Roman" w:eastAsia="宋体" w:cs="Times New Roman"/>
        </w:rPr>
      </w:pPr>
      <w:r>
        <w:rPr>
          <w:rFonts w:hint="default" w:ascii="Times New Roman" w:hAnsi="Times New Roman" w:eastAsia="宋体" w:cs="Times New Roman"/>
        </w:rPr>
        <w:t>1. 结核病诊断仍存在显著缺口，非痰、外周可及的新型工具已成为重要研发方向</w:t>
      </w:r>
    </w:p>
    <w:p w14:paraId="23AD5DB1">
      <w:pPr>
        <w:spacing w:before="0" w:after="120" w:line="360" w:lineRule="auto"/>
        <w:ind w:firstLine="420"/>
        <w:rPr>
          <w:rFonts w:hint="default" w:ascii="Times New Roman" w:hAnsi="Times New Roman" w:eastAsia="宋体" w:cs="Times New Roman"/>
        </w:rPr>
      </w:pPr>
      <w:r>
        <w:rPr>
          <w:rFonts w:hint="default" w:ascii="Times New Roman" w:hAnsi="Times New Roman" w:eastAsia="宋体" w:cs="Times New Roman"/>
          <w:b w:val="0"/>
          <w:i w:val="0"/>
          <w:sz w:val="22"/>
        </w:rPr>
        <w:t>结核病仍是全球重要传染病之一。尽管 WHO 推荐的快速分子检测显著推动了诊断能力提升，但全球诊断缺口仍然突出。现有工具若过度依赖痰样本和中心化实验室条件，仍难以满足“更早发现、更多覆盖、更前端进入临床路径”的现实需求。因而，适用于基层或外周场景、能够嵌入真实诊疗路径并可结合替代样本类型的新型工具，已成为结核诊断研发的重要方向。</w:t>
      </w:r>
    </w:p>
    <w:p w14:paraId="05D65D37">
      <w:pPr>
        <w:pStyle w:val="4"/>
        <w:rPr>
          <w:rFonts w:hint="default" w:ascii="Times New Roman" w:hAnsi="Times New Roman" w:eastAsia="宋体" w:cs="Times New Roman"/>
        </w:rPr>
      </w:pPr>
      <w:r>
        <w:rPr>
          <w:rFonts w:hint="default" w:ascii="Times New Roman" w:hAnsi="Times New Roman" w:eastAsia="宋体" w:cs="Times New Roman"/>
        </w:rPr>
        <w:t>2. 以痰为核心的传统路径难以覆盖真实世界全部活动性肺结核患者</w:t>
      </w:r>
    </w:p>
    <w:p w14:paraId="1F4ED0C8">
      <w:pPr>
        <w:spacing w:before="0" w:after="120" w:line="360" w:lineRule="auto"/>
        <w:ind w:firstLine="420"/>
        <w:rPr>
          <w:rFonts w:hint="default" w:ascii="Times New Roman" w:hAnsi="Times New Roman" w:eastAsia="宋体" w:cs="Times New Roman"/>
        </w:rPr>
      </w:pPr>
      <w:r>
        <w:rPr>
          <w:rFonts w:hint="default" w:ascii="Times New Roman" w:hAnsi="Times New Roman" w:eastAsia="宋体" w:cs="Times New Roman"/>
          <w:b w:val="0"/>
          <w:i w:val="0"/>
          <w:sz w:val="22"/>
        </w:rPr>
        <w:t>当前活动性肺结核的诊断高度依赖痰标本。然而在真实世界中，痰标本常常难以获取、质量不稳定，且运输与处理要求较高。对儿童、HIV 感染者、痰少或不能留痰者、以及大量细菌学未确诊病例而言，单纯依赖痰检往往难以及时完成诊断闭环。开发快速、非痰、操作简便、可在前端使用的筛查/分诊工具，已成为临床与公共卫生的共同需求。</w:t>
      </w:r>
    </w:p>
    <w:p w14:paraId="3AA30ABB">
      <w:pPr>
        <w:pStyle w:val="4"/>
        <w:rPr>
          <w:rFonts w:hint="default" w:ascii="Times New Roman" w:hAnsi="Times New Roman" w:eastAsia="宋体" w:cs="Times New Roman"/>
        </w:rPr>
      </w:pPr>
      <w:r>
        <w:rPr>
          <w:rFonts w:hint="default" w:ascii="Times New Roman" w:hAnsi="Times New Roman" w:eastAsia="宋体" w:cs="Times New Roman"/>
        </w:rPr>
        <w:t>3. 呼气检测与当前结核筛查工具的产品逻辑高度契合</w:t>
      </w:r>
    </w:p>
    <w:p w14:paraId="582A3BCB">
      <w:pPr>
        <w:spacing w:before="0" w:after="120" w:line="360" w:lineRule="auto"/>
        <w:ind w:firstLine="420"/>
        <w:rPr>
          <w:rFonts w:hint="default" w:ascii="Times New Roman" w:hAnsi="Times New Roman" w:eastAsia="宋体" w:cs="Times New Roman"/>
        </w:rPr>
      </w:pPr>
      <w:r>
        <w:rPr>
          <w:rFonts w:hint="default" w:ascii="Times New Roman" w:hAnsi="Times New Roman" w:eastAsia="宋体" w:cs="Times New Roman"/>
          <w:b w:val="0"/>
          <w:i w:val="0"/>
          <w:sz w:val="22"/>
        </w:rPr>
        <w:t>呼气样本获取便捷、非侵入、患者接受度高，天然符合“易获取样本、少前处理、快速出结果、可前移至前端场景”的技术特征。与以确诊为核心的实验室工具不同，呼气组学更适合被理解为筛查/分诊算法的一部分：其价值不在于替代微生物学确证，而在于帮助患者更早进入后续病原学检查与临床评估路径。</w:t>
      </w:r>
    </w:p>
    <w:p w14:paraId="13CE2BFA">
      <w:pPr>
        <w:pStyle w:val="4"/>
        <w:rPr>
          <w:rFonts w:hint="default" w:ascii="Times New Roman" w:hAnsi="Times New Roman" w:eastAsia="宋体" w:cs="Times New Roman"/>
        </w:rPr>
      </w:pPr>
      <w:r>
        <w:rPr>
          <w:rFonts w:hint="default" w:ascii="Times New Roman" w:hAnsi="Times New Roman" w:eastAsia="宋体" w:cs="Times New Roman"/>
        </w:rPr>
        <w:t>4. 团队已有研究为呼气组学在肺结核识别中的应用奠定了基础，但现有证据仍主要来自单中心</w:t>
      </w:r>
    </w:p>
    <w:p w14:paraId="25186129">
      <w:pPr>
        <w:spacing w:before="0" w:after="120" w:line="360" w:lineRule="auto"/>
        <w:ind w:firstLine="420"/>
        <w:rPr>
          <w:rFonts w:hint="default" w:ascii="Times New Roman" w:hAnsi="Times New Roman" w:eastAsia="宋体" w:cs="Times New Roman"/>
        </w:rPr>
      </w:pPr>
      <w:r>
        <w:rPr>
          <w:rFonts w:hint="default" w:ascii="Times New Roman" w:hAnsi="Times New Roman" w:eastAsia="宋体" w:cs="Times New Roman"/>
          <w:b w:val="0"/>
          <w:i w:val="0"/>
          <w:sz w:val="22"/>
        </w:rPr>
        <w:t>团队前期研究已在较大样本中构建并验证了呼气组学模型，提示其在肺结核与非结核对象之间具有良好判别能力。近期前瞻性工作进一步表明：在 PTB+ 上开发并锁定的模型，在 PTB-U 人群中仍可保持一定判别能力，并具备医院型 non-sputum triage 的潜在应用价值。</w:t>
      </w:r>
    </w:p>
    <w:p w14:paraId="63CADA81">
      <w:pPr>
        <w:pStyle w:val="4"/>
        <w:rPr>
          <w:rFonts w:hint="default" w:ascii="Times New Roman" w:hAnsi="Times New Roman" w:eastAsia="宋体" w:cs="Times New Roman"/>
        </w:rPr>
      </w:pPr>
      <w:r>
        <w:rPr>
          <w:rFonts w:hint="default" w:ascii="Times New Roman" w:hAnsi="Times New Roman" w:eastAsia="宋体" w:cs="Times New Roman"/>
        </w:rPr>
        <w:t>5. 现阶段关键问题不是“能否识别菌阳肺结核”，而是“能否覆盖活动性肺结核整体，尤其是 PTB-U”</w:t>
      </w:r>
    </w:p>
    <w:p w14:paraId="6E1F2FFE">
      <w:pPr>
        <w:spacing w:before="0" w:after="120" w:line="360" w:lineRule="auto"/>
        <w:ind w:firstLine="420"/>
        <w:rPr>
          <w:rFonts w:hint="default" w:ascii="Times New Roman" w:hAnsi="Times New Roman" w:eastAsia="宋体" w:cs="Times New Roman"/>
        </w:rPr>
      </w:pPr>
      <w:r>
        <w:rPr>
          <w:rFonts w:hint="default" w:ascii="Times New Roman" w:hAnsi="Times New Roman" w:eastAsia="宋体" w:cs="Times New Roman"/>
          <w:b w:val="0"/>
          <w:i w:val="0"/>
          <w:sz w:val="22"/>
        </w:rPr>
        <w:t>真实世界中的活动性肺结核并不只包括细菌学确诊病例，还包括大量细菌学未确诊或菌阴肺结核。若一项非痰检测工具仅能识别高菌负荷的 PTB+，却在 PTB-U 场景中失效，其临床价值将明显受限。相反，若该工具在 PTB+ 与 PTB-U 中均可工作，则其意义将从“对痰检的局部补充”提升为“面向活动性肺结核整体的前端工具”。</w:t>
      </w:r>
    </w:p>
    <w:p w14:paraId="2C6D0468">
      <w:pPr>
        <w:pStyle w:val="4"/>
        <w:rPr>
          <w:rFonts w:hint="default" w:ascii="Times New Roman" w:hAnsi="Times New Roman" w:eastAsia="宋体" w:cs="Times New Roman"/>
        </w:rPr>
      </w:pPr>
      <w:r>
        <w:rPr>
          <w:rFonts w:hint="default" w:ascii="Times New Roman" w:hAnsi="Times New Roman" w:eastAsia="宋体" w:cs="Times New Roman"/>
        </w:rPr>
        <w:t>6. 本研究拟回答的核心科学问题</w:t>
      </w:r>
    </w:p>
    <w:p w14:paraId="07B80ECA">
      <w:pPr>
        <w:spacing w:before="0" w:after="120" w:line="360" w:lineRule="auto"/>
        <w:ind w:firstLine="420"/>
        <w:rPr>
          <w:rFonts w:hint="default" w:ascii="Times New Roman" w:hAnsi="Times New Roman" w:eastAsia="宋体" w:cs="Times New Roman"/>
        </w:rPr>
      </w:pPr>
      <w:r>
        <w:rPr>
          <w:rFonts w:hint="default" w:ascii="Times New Roman" w:hAnsi="Times New Roman" w:eastAsia="宋体" w:cs="Times New Roman"/>
          <w:b w:val="0"/>
          <w:i w:val="0"/>
          <w:sz w:val="22"/>
        </w:rPr>
        <w:t>本研究关注的核心科学问题是：呼气信号究竟主要反映菌载量，还是反映活动性肺结核的共同疾病状态。若呼气组学主要反映菌负荷，其应用范围可能更多局限于 PTB+；若其反映的是宿主-病原相互作用、炎症反应和代谢改变等更综合的疾病状态，则其更可能覆盖 PTB+ 与 PTB-U 的共同临床谱。</w:t>
      </w:r>
    </w:p>
    <w:p w14:paraId="1311BCE2">
      <w:pPr>
        <w:pStyle w:val="4"/>
        <w:rPr>
          <w:rFonts w:hint="default" w:ascii="Times New Roman" w:hAnsi="Times New Roman" w:eastAsia="宋体" w:cs="Times New Roman"/>
        </w:rPr>
      </w:pPr>
      <w:r>
        <w:rPr>
          <w:rFonts w:hint="default" w:ascii="Times New Roman" w:hAnsi="Times New Roman" w:eastAsia="宋体" w:cs="Times New Roman"/>
        </w:rPr>
        <w:t>7. 多中心真实世界验证是呼气检测迈向临床转化的关键步骤</w:t>
      </w:r>
    </w:p>
    <w:p w14:paraId="199837C3">
      <w:pPr>
        <w:spacing w:before="0" w:after="120" w:line="360" w:lineRule="auto"/>
        <w:ind w:firstLine="420"/>
        <w:rPr>
          <w:rFonts w:hint="default" w:ascii="Times New Roman" w:hAnsi="Times New Roman" w:eastAsia="宋体" w:cs="Times New Roman"/>
        </w:rPr>
      </w:pPr>
      <w:r>
        <w:rPr>
          <w:rFonts w:hint="default" w:ascii="Times New Roman" w:hAnsi="Times New Roman" w:eastAsia="宋体" w:cs="Times New Roman"/>
          <w:b w:val="0"/>
          <w:i w:val="0"/>
          <w:sz w:val="22"/>
        </w:rPr>
        <w:t>现有证据的主要边界在于单中心来源、病例谱相对有限以及真实路径层面证据不足。下一阶段研究的重点，已不再只是证明模型在单中心具有良好 AUC，而是要系统评估其在不同中心、不同病例谱和不同工作流中的可迁移性、阈值可运输性与临床路径价值。</w:t>
      </w:r>
    </w:p>
    <w:p w14:paraId="0E29F53B">
      <w:pPr>
        <w:pStyle w:val="4"/>
        <w:rPr>
          <w:rFonts w:hint="default" w:ascii="Times New Roman" w:hAnsi="Times New Roman" w:eastAsia="宋体" w:cs="Times New Roman"/>
        </w:rPr>
      </w:pPr>
      <w:r>
        <w:rPr>
          <w:rFonts w:hint="default" w:ascii="Times New Roman" w:hAnsi="Times New Roman" w:eastAsia="宋体" w:cs="Times New Roman"/>
        </w:rPr>
        <w:t>8. 本研究的必要性与定位</w:t>
      </w:r>
    </w:p>
    <w:p w14:paraId="38F5093C">
      <w:pPr>
        <w:spacing w:before="0" w:after="120" w:line="360" w:lineRule="auto"/>
        <w:ind w:firstLine="420"/>
        <w:rPr>
          <w:rFonts w:hint="default" w:ascii="Times New Roman" w:hAnsi="Times New Roman" w:eastAsia="宋体" w:cs="Times New Roman"/>
        </w:rPr>
      </w:pPr>
      <w:r>
        <w:rPr>
          <w:rFonts w:hint="default" w:ascii="Times New Roman" w:hAnsi="Times New Roman" w:eastAsia="宋体" w:cs="Times New Roman"/>
          <w:b w:val="0"/>
          <w:i w:val="0"/>
          <w:sz w:val="22"/>
        </w:rPr>
        <w:t>综合结核病诊疗痛点、非痰工具的发展方向以及团队既有证据链，本研究最合理的定位，是在多中心、前瞻性、真实世界框架下，以活动性肺结核整体为主命题、以 PTB-U 为关键亮点，验证锁定呼气组学模型作为非痰前端筛查/分诊工具的临床可迁移性和方法学稳健性。</w:t>
      </w:r>
    </w:p>
    <w:p w14:paraId="593EF1AE">
      <w:pPr>
        <w:pStyle w:val="3"/>
        <w:rPr>
          <w:rFonts w:hint="default" w:ascii="Times New Roman" w:hAnsi="Times New Roman" w:eastAsia="宋体" w:cs="Times New Roman"/>
        </w:rPr>
      </w:pPr>
      <w:r>
        <w:rPr>
          <w:rFonts w:hint="default" w:ascii="Times New Roman" w:hAnsi="Times New Roman" w:eastAsia="宋体" w:cs="Times New Roman"/>
        </w:rPr>
        <w:t>三、研究目的与研究假设</w:t>
      </w:r>
    </w:p>
    <w:p w14:paraId="2B936BFA">
      <w:pPr>
        <w:pStyle w:val="4"/>
        <w:rPr>
          <w:rFonts w:hint="default" w:ascii="Times New Roman" w:hAnsi="Times New Roman" w:eastAsia="宋体" w:cs="Times New Roman"/>
        </w:rPr>
      </w:pPr>
      <w:r>
        <w:rPr>
          <w:rFonts w:hint="default" w:ascii="Times New Roman" w:hAnsi="Times New Roman" w:eastAsia="宋体" w:cs="Times New Roman"/>
        </w:rPr>
        <w:t>1. 总体研究目的</w:t>
      </w:r>
    </w:p>
    <w:p w14:paraId="343AED22">
      <w:pPr>
        <w:spacing w:before="0" w:after="120" w:line="360" w:lineRule="auto"/>
        <w:ind w:firstLine="420"/>
        <w:rPr>
          <w:rFonts w:hint="default" w:ascii="Times New Roman" w:hAnsi="Times New Roman" w:eastAsia="宋体" w:cs="Times New Roman"/>
        </w:rPr>
      </w:pPr>
      <w:r>
        <w:rPr>
          <w:rFonts w:hint="default" w:ascii="Times New Roman" w:hAnsi="Times New Roman" w:eastAsia="宋体" w:cs="Times New Roman"/>
          <w:b w:val="0"/>
          <w:i w:val="0"/>
          <w:sz w:val="22"/>
        </w:rPr>
        <w:t>本研究拟在多中心、前瞻性、真实世界连续入组框架下，验证既往单中心建立并锁定的呼气组学模型，能否作为活动性肺结核整体的非痰前端筛查/分诊工具稳定工作；其中，活动性肺结核包括 PTB+ 和 PTB-U。</w:t>
      </w:r>
    </w:p>
    <w:p w14:paraId="208ADD2E">
      <w:pPr>
        <w:pStyle w:val="4"/>
        <w:rPr>
          <w:rFonts w:hint="default" w:ascii="Times New Roman" w:hAnsi="Times New Roman" w:eastAsia="宋体" w:cs="Times New Roman"/>
        </w:rPr>
      </w:pPr>
      <w:r>
        <w:rPr>
          <w:rFonts w:hint="default" w:ascii="Times New Roman" w:hAnsi="Times New Roman" w:eastAsia="宋体" w:cs="Times New Roman"/>
        </w:rPr>
        <w:t>2. 主要研究目的</w:t>
      </w:r>
    </w:p>
    <w:p w14:paraId="4DF1D59B">
      <w:pPr>
        <w:spacing w:before="0" w:after="120" w:line="360" w:lineRule="auto"/>
        <w:ind w:firstLine="420"/>
        <w:rPr>
          <w:rFonts w:hint="default" w:ascii="Times New Roman" w:hAnsi="Times New Roman" w:eastAsia="宋体" w:cs="Times New Roman"/>
        </w:rPr>
      </w:pPr>
      <w:r>
        <w:rPr>
          <w:rFonts w:hint="default" w:ascii="Times New Roman" w:hAnsi="Times New Roman" w:eastAsia="宋体" w:cs="Times New Roman"/>
          <w:b w:val="0"/>
          <w:i w:val="0"/>
          <w:sz w:val="22"/>
        </w:rPr>
        <w:t>验证锁定的呼气组学模型在连续入组的疑似活动性肺结核人群中，对活动性肺结核整体（PTB+ + PTB-U）相对于 non-TB 的识别能力，重点报告敏感度、特异度、AUC 及其 95% 置信区间。</w:t>
      </w:r>
    </w:p>
    <w:p w14:paraId="05D8B703">
      <w:pPr>
        <w:pStyle w:val="4"/>
        <w:rPr>
          <w:rFonts w:hint="default" w:ascii="Times New Roman" w:hAnsi="Times New Roman" w:eastAsia="宋体" w:cs="Times New Roman"/>
        </w:rPr>
      </w:pPr>
      <w:r>
        <w:rPr>
          <w:rFonts w:hint="default" w:ascii="Times New Roman" w:hAnsi="Times New Roman" w:eastAsia="宋体" w:cs="Times New Roman"/>
        </w:rPr>
        <w:t>3. 关键次要研究目的</w:t>
      </w:r>
    </w:p>
    <w:p w14:paraId="1611248B">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重点评估模型在 PTB-U 人群中的性能与临床价值，明确其在痰难获取、反复微生物学阴性但临床高度怀疑肺结核者中的适用性。</w:t>
      </w:r>
    </w:p>
    <w:p w14:paraId="2D64B9FF">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比较模型在 PTB+ 与 PTB-U 两类病例中的表现差异，判断 PTB-U 是否构成失效边界，或相反成为其关键 intended-use 场景。</w:t>
      </w:r>
    </w:p>
    <w:p w14:paraId="3551BD10">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系统评估模型在不同研究中心、不同病例谱及不同样本受限亚组中的可迁移性与可运输性。</w:t>
      </w:r>
    </w:p>
    <w:p w14:paraId="413B6C08">
      <w:pPr>
        <w:pStyle w:val="4"/>
        <w:rPr>
          <w:rFonts w:hint="default" w:ascii="Times New Roman" w:hAnsi="Times New Roman" w:eastAsia="宋体" w:cs="Times New Roman"/>
        </w:rPr>
      </w:pPr>
      <w:r>
        <w:rPr>
          <w:rFonts w:hint="default" w:ascii="Times New Roman" w:hAnsi="Times New Roman" w:eastAsia="宋体" w:cs="Times New Roman"/>
        </w:rPr>
        <w:t>4. 机制性研究目的</w:t>
      </w:r>
    </w:p>
    <w:p w14:paraId="54AF71DA">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探索呼气信号与菌载量相关指标（如涂片分级、Xpert/Xpert Ultra 半定量、培养结果等）之间的关系。</w:t>
      </w:r>
    </w:p>
    <w:p w14:paraId="324536E6">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比较 PTB+、PTB-U 和 non-TB 的呼气组学模式，验证 PTB+ 与 PTB-U 是否存在共享的疾病相关信号。</w:t>
      </w:r>
    </w:p>
    <w:p w14:paraId="3F9E25D1">
      <w:pPr>
        <w:pStyle w:val="4"/>
        <w:rPr>
          <w:rFonts w:hint="default" w:ascii="Times New Roman" w:hAnsi="Times New Roman" w:eastAsia="宋体" w:cs="Times New Roman"/>
        </w:rPr>
      </w:pPr>
      <w:r>
        <w:rPr>
          <w:rFonts w:hint="default" w:ascii="Times New Roman" w:hAnsi="Times New Roman" w:eastAsia="宋体" w:cs="Times New Roman"/>
        </w:rPr>
        <w:t>5. 研究假设</w:t>
      </w:r>
    </w:p>
    <w:p w14:paraId="150D56C2">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锁定的呼气组学模型在多中心真实世界环境中能够识别活动性肺结核整体，而不仅限于 PTB+。</w:t>
      </w:r>
    </w:p>
    <w:p w14:paraId="57C768A2">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模型在 PTB-U 人群中仍具有稳定的前端分诊价值。</w:t>
      </w:r>
    </w:p>
    <w:p w14:paraId="774E671F">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呼气信号并非仅由菌载量决定，而至少部分反映活动性肺结核的共同疾病状态。</w:t>
      </w:r>
    </w:p>
    <w:p w14:paraId="024625A8">
      <w:pPr>
        <w:pStyle w:val="3"/>
        <w:rPr>
          <w:rFonts w:hint="default" w:ascii="Times New Roman" w:hAnsi="Times New Roman" w:eastAsia="宋体" w:cs="Times New Roman"/>
        </w:rPr>
      </w:pPr>
      <w:r>
        <w:rPr>
          <w:rFonts w:hint="default" w:ascii="Times New Roman" w:hAnsi="Times New Roman" w:eastAsia="宋体" w:cs="Times New Roman"/>
        </w:rPr>
        <w:t>四、研究设计</w:t>
      </w:r>
    </w:p>
    <w:p w14:paraId="01FC215D">
      <w:pPr>
        <w:spacing w:before="0" w:after="120" w:line="360" w:lineRule="auto"/>
        <w:ind w:firstLine="420"/>
        <w:rPr>
          <w:rFonts w:hint="default" w:ascii="Times New Roman" w:hAnsi="Times New Roman" w:eastAsia="宋体" w:cs="Times New Roman"/>
        </w:rPr>
      </w:pPr>
      <w:r>
        <w:rPr>
          <w:rFonts w:hint="default" w:ascii="Times New Roman" w:hAnsi="Times New Roman" w:eastAsia="宋体" w:cs="Times New Roman"/>
          <w:b w:val="0"/>
          <w:i w:val="0"/>
          <w:sz w:val="22"/>
        </w:rPr>
        <w:t>本研究为多中心、前瞻性、连续入组的诊断准确性研究。研究对象为在各研究中心接受活动性肺结核相关评估的受试者，以及按预设标准纳入的各类对照人群。研究期间，呼气组学结果不反馈临床，不用于指导病原学检查策略、治疗决策或最终参考标准判定。</w:t>
      </w:r>
    </w:p>
    <w:p w14:paraId="21D271C0">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研究场景：医院型前端筛查/分诊（hospital-based non-sputum triage）。</w:t>
      </w:r>
    </w:p>
    <w:p w14:paraId="2A02AD21">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指数试验：锁定的呼气组学模型；研究过程中不重训练、不重校准、不调整 cut-off。</w:t>
      </w:r>
    </w:p>
    <w:p w14:paraId="1C069406">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研究路径：先采样、后判定；最终疾病分类在未知呼气结果的前提下完成。</w:t>
      </w:r>
    </w:p>
    <w:p w14:paraId="186A6E3B">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研究周期：36 个月。</w:t>
      </w:r>
    </w:p>
    <w:p w14:paraId="1559D66F">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分中心构成：结核专科/胸科三级中心、大型综合医院呼吸/感染科及地市级结核定点/传染病医院。</w:t>
      </w:r>
    </w:p>
    <w:p w14:paraId="7A420F97">
      <w:pPr>
        <w:pStyle w:val="3"/>
        <w:rPr>
          <w:rFonts w:hint="default" w:ascii="Times New Roman" w:hAnsi="Times New Roman" w:eastAsia="宋体" w:cs="Times New Roman"/>
        </w:rPr>
      </w:pPr>
      <w:r>
        <w:rPr>
          <w:rFonts w:hint="default" w:ascii="Times New Roman" w:hAnsi="Times New Roman" w:eastAsia="宋体" w:cs="Times New Roman"/>
        </w:rPr>
        <w:t>五、研究对象与分组标准</w:t>
      </w:r>
    </w:p>
    <w:p w14:paraId="7E01EF38">
      <w:pPr>
        <w:pStyle w:val="4"/>
        <w:rPr>
          <w:rFonts w:hint="default" w:ascii="Times New Roman" w:hAnsi="Times New Roman" w:eastAsia="宋体" w:cs="Times New Roman"/>
        </w:rPr>
      </w:pPr>
      <w:r>
        <w:rPr>
          <w:rFonts w:hint="default" w:ascii="Times New Roman" w:hAnsi="Times New Roman" w:eastAsia="宋体" w:cs="Times New Roman"/>
        </w:rPr>
        <w:t>1. 研究对象与总体分组</w:t>
      </w:r>
    </w:p>
    <w:p w14:paraId="078A11FE">
      <w:pPr>
        <w:spacing w:before="0" w:after="120" w:line="360" w:lineRule="auto"/>
        <w:ind w:firstLine="420"/>
        <w:rPr>
          <w:rFonts w:hint="default" w:ascii="Times New Roman" w:hAnsi="Times New Roman" w:eastAsia="宋体" w:cs="Times New Roman"/>
        </w:rPr>
      </w:pPr>
      <w:r>
        <w:rPr>
          <w:rFonts w:hint="default" w:ascii="Times New Roman" w:hAnsi="Times New Roman" w:eastAsia="宋体" w:cs="Times New Roman"/>
          <w:b w:val="0"/>
          <w:i w:val="0"/>
          <w:sz w:val="22"/>
        </w:rPr>
        <w:t>本研究拟采用多中心、前瞻性、连续入组设计。根据临床诊断和对照设置需求，受试者分为 7 组：A 组为 PTB+，B 组为 PTB-U，C 组为其他活动性感染性肺病，D 组为稳定期非感染性肺病（不含肺癌），E 组为肺癌，F 组为健康对照，G 组为 LTBI。</w:t>
      </w:r>
    </w:p>
    <w:p w14:paraId="67D02DE3">
      <w:pPr>
        <w:spacing w:before="0" w:after="120" w:line="360" w:lineRule="auto"/>
        <w:ind w:firstLine="420"/>
        <w:rPr>
          <w:rFonts w:hint="default" w:ascii="Times New Roman" w:hAnsi="Times New Roman" w:eastAsia="宋体" w:cs="Times New Roman"/>
        </w:rPr>
      </w:pPr>
      <w:r>
        <w:rPr>
          <w:rFonts w:hint="default" w:ascii="Times New Roman" w:hAnsi="Times New Roman" w:eastAsia="宋体" w:cs="Times New Roman"/>
          <w:b w:val="0"/>
          <w:i w:val="0"/>
          <w:sz w:val="22"/>
        </w:rPr>
        <w:t>其中，A 组和 B 组共同构成活动性肺结核病例组；C、D、E、F 组构成主要 non-TB 对照组；G 组作为扩展性/探索性人群，用于分析结核感染连续谱问题。</w:t>
      </w:r>
    </w:p>
    <w:p w14:paraId="5AF05691">
      <w:pPr>
        <w:pStyle w:val="4"/>
        <w:rPr>
          <w:rFonts w:hint="default" w:ascii="Times New Roman" w:hAnsi="Times New Roman" w:eastAsia="宋体" w:cs="Times New Roman"/>
        </w:rPr>
      </w:pPr>
      <w:r>
        <w:rPr>
          <w:rFonts w:hint="default" w:ascii="Times New Roman" w:hAnsi="Times New Roman" w:eastAsia="宋体" w:cs="Times New Roman"/>
        </w:rPr>
        <w:t>2. 总体纳入标准</w:t>
      </w:r>
    </w:p>
    <w:p w14:paraId="4BF986AF">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年龄 6–80 周岁；</w:t>
      </w:r>
    </w:p>
    <w:p w14:paraId="5F9DA4EE">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自愿参加本研究并签署知情同意书；未成年人由监护人签署；</w:t>
      </w:r>
    </w:p>
    <w:p w14:paraId="1B302FBF">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不限性别。</w:t>
      </w:r>
    </w:p>
    <w:p w14:paraId="3BBF83EE">
      <w:pPr>
        <w:pStyle w:val="4"/>
        <w:rPr>
          <w:rFonts w:hint="default" w:ascii="Times New Roman" w:hAnsi="Times New Roman" w:eastAsia="宋体" w:cs="Times New Roman"/>
        </w:rPr>
      </w:pPr>
      <w:r>
        <w:rPr>
          <w:rFonts w:hint="default" w:ascii="Times New Roman" w:hAnsi="Times New Roman" w:eastAsia="宋体" w:cs="Times New Roman"/>
        </w:rPr>
        <w:t>3. 总体排除标准</w:t>
      </w:r>
    </w:p>
    <w:p w14:paraId="31C47C62">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无法按要求完成呼气采样；</w:t>
      </w:r>
    </w:p>
    <w:p w14:paraId="2841A0CD">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采样后样本泄漏或不满足预设质控要求。</w:t>
      </w:r>
    </w:p>
    <w:p w14:paraId="2F6F7D9B">
      <w:pPr>
        <w:pStyle w:val="4"/>
        <w:rPr>
          <w:rFonts w:hint="default" w:ascii="Times New Roman" w:hAnsi="Times New Roman" w:eastAsia="宋体" w:cs="Times New Roman"/>
        </w:rPr>
      </w:pPr>
      <w:r>
        <w:rPr>
          <w:rFonts w:hint="default" w:ascii="Times New Roman" w:hAnsi="Times New Roman" w:eastAsia="宋体" w:cs="Times New Roman"/>
        </w:rPr>
        <w:t>4.1 A 组：病原学阳性肺结核（PTB+）</w:t>
      </w:r>
    </w:p>
    <w:p w14:paraId="65BBBE4D">
      <w:pPr>
        <w:pStyle w:val="5"/>
        <w:rPr>
          <w:rFonts w:hint="default" w:ascii="Times New Roman" w:hAnsi="Times New Roman" w:eastAsia="宋体" w:cs="Times New Roman"/>
        </w:rPr>
      </w:pPr>
      <w:r>
        <w:rPr>
          <w:rFonts w:hint="default" w:ascii="Times New Roman" w:hAnsi="Times New Roman" w:eastAsia="宋体" w:cs="Times New Roman"/>
        </w:rPr>
        <w:t>纳入标准</w:t>
      </w:r>
    </w:p>
    <w:p w14:paraId="2990F6D3">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胸部影像学符合活动性肺结核；</w:t>
      </w:r>
    </w:p>
    <w:p w14:paraId="1F50E290">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至少一项病原学检测证实结核分枝杆菌感染；</w:t>
      </w:r>
    </w:p>
    <w:p w14:paraId="630A15BF">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临床医生综合判断为活动性肺结核并决定启动抗结核治疗；</w:t>
      </w:r>
    </w:p>
    <w:p w14:paraId="1C5525E5">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尚未开始抗结核治疗，或开始治疗不超过 14 天。</w:t>
      </w:r>
    </w:p>
    <w:p w14:paraId="2B62919A">
      <w:pPr>
        <w:pStyle w:val="5"/>
        <w:rPr>
          <w:rFonts w:hint="default" w:ascii="Times New Roman" w:hAnsi="Times New Roman" w:eastAsia="宋体" w:cs="Times New Roman"/>
        </w:rPr>
      </w:pPr>
      <w:r>
        <w:rPr>
          <w:rFonts w:hint="default" w:ascii="Times New Roman" w:hAnsi="Times New Roman" w:eastAsia="宋体" w:cs="Times New Roman"/>
        </w:rPr>
        <w:t>排除标准</w:t>
      </w:r>
    </w:p>
    <w:p w14:paraId="182FCF7E">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存在活动性非结核分枝杆菌肺病或其他活动性肺部感染；</w:t>
      </w:r>
    </w:p>
    <w:p w14:paraId="114FDEAC">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合并明显影响呼气信号判读的慢性非感染性肺病且处于活动/急性加重状态；</w:t>
      </w:r>
    </w:p>
    <w:p w14:paraId="50851A75">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因严重慢性系统性疾病急性加重于采样前 30 天内住院；</w:t>
      </w:r>
    </w:p>
    <w:p w14:paraId="059083EF">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活动性恶性肿瘤。</w:t>
      </w:r>
    </w:p>
    <w:p w14:paraId="1E48AED6">
      <w:pPr>
        <w:pStyle w:val="4"/>
        <w:rPr>
          <w:rFonts w:hint="default" w:ascii="Times New Roman" w:hAnsi="Times New Roman" w:eastAsia="宋体" w:cs="Times New Roman"/>
        </w:rPr>
      </w:pPr>
      <w:r>
        <w:rPr>
          <w:rFonts w:hint="default" w:ascii="Times New Roman" w:hAnsi="Times New Roman" w:eastAsia="宋体" w:cs="Times New Roman"/>
        </w:rPr>
        <w:t>4.2 B 组：病原学阴性/细菌学未确诊肺结核（PTB-U）</w:t>
      </w:r>
    </w:p>
    <w:p w14:paraId="79171FE2">
      <w:pPr>
        <w:pStyle w:val="5"/>
        <w:rPr>
          <w:rFonts w:hint="default" w:ascii="Times New Roman" w:hAnsi="Times New Roman" w:eastAsia="宋体" w:cs="Times New Roman"/>
        </w:rPr>
      </w:pPr>
      <w:r>
        <w:rPr>
          <w:rFonts w:hint="default" w:ascii="Times New Roman" w:hAnsi="Times New Roman" w:eastAsia="宋体" w:cs="Times New Roman"/>
        </w:rPr>
        <w:t>纳入标准</w:t>
      </w:r>
    </w:p>
    <w:p w14:paraId="3009165D">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胸部影像学符合活动性肺结核；</w:t>
      </w:r>
    </w:p>
    <w:p w14:paraId="60EF3941">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初始病原学检测阴性或未获得确证依据；</w:t>
      </w:r>
    </w:p>
    <w:p w14:paraId="39CA0981">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临床医生综合判断为高度疑似活动性肺结核并决定启动规范抗结核治疗；</w:t>
      </w:r>
    </w:p>
    <w:p w14:paraId="7B976479">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在治疗前或治疗后 14 天内完成呼气采样；</w:t>
      </w:r>
    </w:p>
    <w:p w14:paraId="2B90EA85">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约 8 周复查胸部影像学并重复病原学评估，若病灶显著缩小且无明确替代诊断，则支持 PTB-U 判定。</w:t>
      </w:r>
    </w:p>
    <w:p w14:paraId="24F66E2C">
      <w:pPr>
        <w:pStyle w:val="5"/>
        <w:rPr>
          <w:rFonts w:hint="default" w:ascii="Times New Roman" w:hAnsi="Times New Roman" w:eastAsia="宋体" w:cs="Times New Roman"/>
        </w:rPr>
      </w:pPr>
      <w:r>
        <w:rPr>
          <w:rFonts w:hint="default" w:ascii="Times New Roman" w:hAnsi="Times New Roman" w:eastAsia="宋体" w:cs="Times New Roman"/>
        </w:rPr>
        <w:t>排除标准</w:t>
      </w:r>
    </w:p>
    <w:p w14:paraId="00269DF7">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与 A 组相同。</w:t>
      </w:r>
    </w:p>
    <w:p w14:paraId="4228E938">
      <w:pPr>
        <w:pStyle w:val="4"/>
        <w:rPr>
          <w:rFonts w:hint="default" w:ascii="Times New Roman" w:hAnsi="Times New Roman" w:eastAsia="宋体" w:cs="Times New Roman"/>
        </w:rPr>
      </w:pPr>
      <w:r>
        <w:rPr>
          <w:rFonts w:hint="default" w:ascii="Times New Roman" w:hAnsi="Times New Roman" w:eastAsia="宋体" w:cs="Times New Roman"/>
        </w:rPr>
        <w:t>4.3 C 组：其他活动性感染性肺病</w:t>
      </w:r>
    </w:p>
    <w:p w14:paraId="525BFC57">
      <w:pPr>
        <w:pStyle w:val="5"/>
        <w:rPr>
          <w:rFonts w:hint="default" w:ascii="Times New Roman" w:hAnsi="Times New Roman" w:eastAsia="宋体" w:cs="Times New Roman"/>
        </w:rPr>
      </w:pPr>
      <w:r>
        <w:rPr>
          <w:rFonts w:hint="default" w:ascii="Times New Roman" w:hAnsi="Times New Roman" w:eastAsia="宋体" w:cs="Times New Roman"/>
        </w:rPr>
        <w:t>纳入标准</w:t>
      </w:r>
    </w:p>
    <w:p w14:paraId="2A81B43D">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存在急性呼吸道感染表现，且影像学不符合典型活动性肺结核；</w:t>
      </w:r>
    </w:p>
    <w:p w14:paraId="7D510614">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具有其他病原体证据，或经非抗结核抗感染治疗后症状/影像学明显改善；</w:t>
      </w:r>
    </w:p>
    <w:p w14:paraId="40196904">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采样尽量安排在针对本次感染的特异性治疗前或治疗后 3 天内。</w:t>
      </w:r>
    </w:p>
    <w:p w14:paraId="2BC6317B">
      <w:pPr>
        <w:pStyle w:val="5"/>
        <w:rPr>
          <w:rFonts w:hint="default" w:ascii="Times New Roman" w:hAnsi="Times New Roman" w:eastAsia="宋体" w:cs="Times New Roman"/>
        </w:rPr>
      </w:pPr>
      <w:r>
        <w:rPr>
          <w:rFonts w:hint="default" w:ascii="Times New Roman" w:hAnsi="Times New Roman" w:eastAsia="宋体" w:cs="Times New Roman"/>
        </w:rPr>
        <w:t>排除标准</w:t>
      </w:r>
    </w:p>
    <w:p w14:paraId="31D5A58B">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高度怀疑活动性肺结核且无法排除；</w:t>
      </w:r>
    </w:p>
    <w:p w14:paraId="74984028">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严重慢性系统性疾病急性加重；</w:t>
      </w:r>
    </w:p>
    <w:p w14:paraId="2A6F2021">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活动性恶性肿瘤。</w:t>
      </w:r>
    </w:p>
    <w:p w14:paraId="51BF4AF1">
      <w:pPr>
        <w:pStyle w:val="4"/>
        <w:rPr>
          <w:rFonts w:hint="default" w:ascii="Times New Roman" w:hAnsi="Times New Roman" w:eastAsia="宋体" w:cs="Times New Roman"/>
        </w:rPr>
      </w:pPr>
      <w:r>
        <w:rPr>
          <w:rFonts w:hint="default" w:ascii="Times New Roman" w:hAnsi="Times New Roman" w:eastAsia="宋体" w:cs="Times New Roman"/>
        </w:rPr>
        <w:t>4.4 D 组：稳定期非感染性肺病（不含肺癌）</w:t>
      </w:r>
    </w:p>
    <w:p w14:paraId="766F8BB6">
      <w:pPr>
        <w:pStyle w:val="5"/>
        <w:rPr>
          <w:rFonts w:hint="default" w:ascii="Times New Roman" w:hAnsi="Times New Roman" w:eastAsia="宋体" w:cs="Times New Roman"/>
        </w:rPr>
      </w:pPr>
      <w:r>
        <w:rPr>
          <w:rFonts w:hint="default" w:ascii="Times New Roman" w:hAnsi="Times New Roman" w:eastAsia="宋体" w:cs="Times New Roman"/>
        </w:rPr>
        <w:t>纳入标准</w:t>
      </w:r>
    </w:p>
    <w:p w14:paraId="0841308B">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明确诊断的稳定期慢性非感染性肺部疾病，如 COPD、哮喘、支气管扩张、尘肺、间质性肺病等。</w:t>
      </w:r>
    </w:p>
    <w:p w14:paraId="2E588695">
      <w:pPr>
        <w:pStyle w:val="5"/>
        <w:rPr>
          <w:rFonts w:hint="default" w:ascii="Times New Roman" w:hAnsi="Times New Roman" w:eastAsia="宋体" w:cs="Times New Roman"/>
        </w:rPr>
      </w:pPr>
      <w:r>
        <w:rPr>
          <w:rFonts w:hint="default" w:ascii="Times New Roman" w:hAnsi="Times New Roman" w:eastAsia="宋体" w:cs="Times New Roman"/>
        </w:rPr>
        <w:t>排除标准</w:t>
      </w:r>
    </w:p>
    <w:p w14:paraId="4D32CD48">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活动性肺结核、非结核分枝杆菌肺病或其他活动性肺部感染；</w:t>
      </w:r>
    </w:p>
    <w:p w14:paraId="4C9E3119">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采样前 30 天内出现急性加重；</w:t>
      </w:r>
    </w:p>
    <w:p w14:paraId="5B101F46">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活动性恶性肿瘤。</w:t>
      </w:r>
    </w:p>
    <w:p w14:paraId="09A83A60">
      <w:pPr>
        <w:pStyle w:val="4"/>
        <w:rPr>
          <w:rFonts w:hint="default" w:ascii="Times New Roman" w:hAnsi="Times New Roman" w:eastAsia="宋体" w:cs="Times New Roman"/>
        </w:rPr>
      </w:pPr>
      <w:r>
        <w:rPr>
          <w:rFonts w:hint="default" w:ascii="Times New Roman" w:hAnsi="Times New Roman" w:eastAsia="宋体" w:cs="Times New Roman"/>
        </w:rPr>
        <w:t>4.5 E 组：肺癌</w:t>
      </w:r>
    </w:p>
    <w:p w14:paraId="48C36D01">
      <w:pPr>
        <w:pStyle w:val="5"/>
        <w:rPr>
          <w:rFonts w:hint="default" w:ascii="Times New Roman" w:hAnsi="Times New Roman" w:eastAsia="宋体" w:cs="Times New Roman"/>
        </w:rPr>
      </w:pPr>
      <w:r>
        <w:rPr>
          <w:rFonts w:hint="default" w:ascii="Times New Roman" w:hAnsi="Times New Roman" w:eastAsia="宋体" w:cs="Times New Roman"/>
        </w:rPr>
        <w:t>纳入标准</w:t>
      </w:r>
    </w:p>
    <w:p w14:paraId="3949CBCF">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经组织活检或术后病理证实的原发性或转移性肺癌；</w:t>
      </w:r>
    </w:p>
    <w:p w14:paraId="7B58E206">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采样应尽量安排在系统治疗前、术前或未明显干预阶段；</w:t>
      </w:r>
    </w:p>
    <w:p w14:paraId="4C890741">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主要临床及影像学特征支持肺癌而非活动性肺结核。</w:t>
      </w:r>
    </w:p>
    <w:p w14:paraId="4A53F608">
      <w:pPr>
        <w:pStyle w:val="5"/>
        <w:rPr>
          <w:rFonts w:hint="default" w:ascii="Times New Roman" w:hAnsi="Times New Roman" w:eastAsia="宋体" w:cs="Times New Roman"/>
        </w:rPr>
      </w:pPr>
      <w:r>
        <w:rPr>
          <w:rFonts w:hint="default" w:ascii="Times New Roman" w:hAnsi="Times New Roman" w:eastAsia="宋体" w:cs="Times New Roman"/>
        </w:rPr>
        <w:t>排除标准</w:t>
      </w:r>
    </w:p>
    <w:p w14:paraId="74243362">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存在活动性肺结核或其他活动性肺部感染；</w:t>
      </w:r>
    </w:p>
    <w:p w14:paraId="624B34CC">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合并未控制的重度慢性肺病急性加重。</w:t>
      </w:r>
    </w:p>
    <w:p w14:paraId="5E4900C4">
      <w:pPr>
        <w:pStyle w:val="4"/>
        <w:rPr>
          <w:rFonts w:hint="default" w:ascii="Times New Roman" w:hAnsi="Times New Roman" w:eastAsia="宋体" w:cs="Times New Roman"/>
        </w:rPr>
      </w:pPr>
      <w:r>
        <w:rPr>
          <w:rFonts w:hint="default" w:ascii="Times New Roman" w:hAnsi="Times New Roman" w:eastAsia="宋体" w:cs="Times New Roman"/>
        </w:rPr>
        <w:t>4.6 F 组：健康对照</w:t>
      </w:r>
    </w:p>
    <w:p w14:paraId="50D90990">
      <w:pPr>
        <w:pStyle w:val="5"/>
        <w:rPr>
          <w:rFonts w:hint="default" w:ascii="Times New Roman" w:hAnsi="Times New Roman" w:eastAsia="宋体" w:cs="Times New Roman"/>
        </w:rPr>
      </w:pPr>
      <w:r>
        <w:rPr>
          <w:rFonts w:hint="default" w:ascii="Times New Roman" w:hAnsi="Times New Roman" w:eastAsia="宋体" w:cs="Times New Roman"/>
        </w:rPr>
        <w:t>纳入标准</w:t>
      </w:r>
    </w:p>
    <w:p w14:paraId="7B7F1C7B">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无明显呼吸道症状或全身不适；</w:t>
      </w:r>
    </w:p>
    <w:p w14:paraId="4FFB085C">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近期胸部影像学未见活动性病变；</w:t>
      </w:r>
    </w:p>
    <w:p w14:paraId="72EE565B">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IGRA 阴性。</w:t>
      </w:r>
    </w:p>
    <w:p w14:paraId="34565B91">
      <w:pPr>
        <w:pStyle w:val="5"/>
        <w:rPr>
          <w:rFonts w:hint="default" w:ascii="Times New Roman" w:hAnsi="Times New Roman" w:eastAsia="宋体" w:cs="Times New Roman"/>
        </w:rPr>
      </w:pPr>
      <w:r>
        <w:rPr>
          <w:rFonts w:hint="default" w:ascii="Times New Roman" w:hAnsi="Times New Roman" w:eastAsia="宋体" w:cs="Times New Roman"/>
        </w:rPr>
        <w:t>排除标准</w:t>
      </w:r>
    </w:p>
    <w:p w14:paraId="53EDB744">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存在活动性肺部感染、慢性非感染性肺病或活动性恶性肿瘤。</w:t>
      </w:r>
    </w:p>
    <w:p w14:paraId="15DEECD9">
      <w:pPr>
        <w:pStyle w:val="4"/>
        <w:rPr>
          <w:rFonts w:hint="default" w:ascii="Times New Roman" w:hAnsi="Times New Roman" w:eastAsia="宋体" w:cs="Times New Roman"/>
        </w:rPr>
      </w:pPr>
      <w:r>
        <w:rPr>
          <w:rFonts w:hint="default" w:ascii="Times New Roman" w:hAnsi="Times New Roman" w:eastAsia="宋体" w:cs="Times New Roman"/>
        </w:rPr>
        <w:t>4.7 G 组：潜伏结核感染（LTBI）</w:t>
      </w:r>
    </w:p>
    <w:p w14:paraId="42174899">
      <w:pPr>
        <w:pStyle w:val="5"/>
        <w:rPr>
          <w:rFonts w:hint="default" w:ascii="Times New Roman" w:hAnsi="Times New Roman" w:eastAsia="宋体" w:cs="Times New Roman"/>
        </w:rPr>
      </w:pPr>
      <w:r>
        <w:rPr>
          <w:rFonts w:hint="default" w:ascii="Times New Roman" w:hAnsi="Times New Roman" w:eastAsia="宋体" w:cs="Times New Roman"/>
        </w:rPr>
        <w:t>纳入标准</w:t>
      </w:r>
    </w:p>
    <w:p w14:paraId="39770E77">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无明显呼吸道症状；</w:t>
      </w:r>
    </w:p>
    <w:p w14:paraId="3098E315">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近期胸部影像学未见活动性病变；</w:t>
      </w:r>
    </w:p>
    <w:p w14:paraId="32AB22E1">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IGRA 阳性。</w:t>
      </w:r>
    </w:p>
    <w:p w14:paraId="286D228C">
      <w:pPr>
        <w:pStyle w:val="5"/>
        <w:rPr>
          <w:rFonts w:hint="default" w:ascii="Times New Roman" w:hAnsi="Times New Roman" w:eastAsia="宋体" w:cs="Times New Roman"/>
        </w:rPr>
      </w:pPr>
      <w:r>
        <w:rPr>
          <w:rFonts w:hint="default" w:ascii="Times New Roman" w:hAnsi="Times New Roman" w:eastAsia="宋体" w:cs="Times New Roman"/>
        </w:rPr>
        <w:t>排除标准</w:t>
      </w:r>
    </w:p>
    <w:p w14:paraId="60A340A8">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与健康对照组相同。</w:t>
      </w:r>
    </w:p>
    <w:p w14:paraId="0E3221D5">
      <w:pPr>
        <w:pStyle w:val="4"/>
        <w:rPr>
          <w:rFonts w:hint="default" w:ascii="Times New Roman" w:hAnsi="Times New Roman" w:eastAsia="宋体" w:cs="Times New Roman"/>
        </w:rPr>
      </w:pPr>
      <w:r>
        <w:rPr>
          <w:rFonts w:hint="default" w:ascii="Times New Roman" w:hAnsi="Times New Roman" w:eastAsia="宋体" w:cs="Times New Roman"/>
        </w:rPr>
        <w:t>5. 分析集的分组原则</w:t>
      </w:r>
    </w:p>
    <w:p w14:paraId="592090B2">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主分析集：A 组 + B 组 vs C 组 + D 组 + E 组 + F 组；</w:t>
      </w:r>
    </w:p>
    <w:p w14:paraId="5699748D">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关键亚组分析：PTB+ vs non-TB、PTB-U vs non-TB；</w:t>
      </w:r>
    </w:p>
    <w:p w14:paraId="0660613C">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扩展探索分析：在主分析基础上加入 G 组，用于感染连续谱相关问题。</w:t>
      </w:r>
    </w:p>
    <w:p w14:paraId="37DFC2CF">
      <w:pPr>
        <w:pStyle w:val="3"/>
        <w:rPr>
          <w:rFonts w:hint="default" w:ascii="Times New Roman" w:hAnsi="Times New Roman" w:eastAsia="宋体" w:cs="Times New Roman"/>
        </w:rPr>
      </w:pPr>
      <w:r>
        <w:rPr>
          <w:rFonts w:hint="default" w:ascii="Times New Roman" w:hAnsi="Times New Roman" w:eastAsia="宋体" w:cs="Times New Roman"/>
        </w:rPr>
        <w:t>六、病例组、对照组与结局判定标准</w:t>
      </w:r>
    </w:p>
    <w:p w14:paraId="3C68667F">
      <w:pPr>
        <w:pStyle w:val="4"/>
        <w:rPr>
          <w:rFonts w:hint="default" w:ascii="Times New Roman" w:hAnsi="Times New Roman" w:eastAsia="宋体" w:cs="Times New Roman"/>
        </w:rPr>
      </w:pPr>
      <w:r>
        <w:rPr>
          <w:rFonts w:hint="default" w:ascii="Times New Roman" w:hAnsi="Times New Roman" w:eastAsia="宋体" w:cs="Times New Roman"/>
        </w:rPr>
        <w:t>1. 总体原则</w:t>
      </w:r>
    </w:p>
    <w:p w14:paraId="05A4DA68">
      <w:pPr>
        <w:spacing w:before="0" w:after="120" w:line="360" w:lineRule="auto"/>
        <w:ind w:firstLine="420"/>
        <w:rPr>
          <w:rFonts w:hint="default" w:ascii="Times New Roman" w:hAnsi="Times New Roman" w:eastAsia="宋体" w:cs="Times New Roman"/>
        </w:rPr>
      </w:pPr>
      <w:r>
        <w:rPr>
          <w:rFonts w:hint="default" w:ascii="Times New Roman" w:hAnsi="Times New Roman" w:eastAsia="宋体" w:cs="Times New Roman"/>
          <w:b w:val="0"/>
          <w:i w:val="0"/>
          <w:sz w:val="22"/>
        </w:rPr>
        <w:t>本研究的目标疾病定义为活动性肺结核整体，包括 PTB+ 和 PTB-U。病例组界定不依赖单一病原学标准，而是结合病原学、影像学、临床判断、治疗决策及随访反应构建与真实世界 intended-use 场景一致的判定框架。对于 PTB-U，采用预设复合参考标准。</w:t>
      </w:r>
    </w:p>
    <w:p w14:paraId="3B6C7996">
      <w:pPr>
        <w:pStyle w:val="4"/>
        <w:rPr>
          <w:rFonts w:hint="default" w:ascii="Times New Roman" w:hAnsi="Times New Roman" w:eastAsia="宋体" w:cs="Times New Roman"/>
        </w:rPr>
      </w:pPr>
      <w:r>
        <w:rPr>
          <w:rFonts w:hint="default" w:ascii="Times New Roman" w:hAnsi="Times New Roman" w:eastAsia="宋体" w:cs="Times New Roman"/>
        </w:rPr>
        <w:t>2. 病例组定义</w:t>
      </w:r>
    </w:p>
    <w:p w14:paraId="63169B00">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PTB+：胸部影像学符合活动性肺结核，且至少一项病原学检测证实结核分枝杆菌感染，并由临床医生判断需要抗结核治疗。</w:t>
      </w:r>
    </w:p>
    <w:p w14:paraId="7766AEA2">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PTB-U：初始病原学阴性或未获得确证依据，但影像学和临床评估高度提示活动性肺结核，临床已启动规范抗结核治疗，且后续约 8 周复查提示病灶缩小并无更合理替代诊断。</w:t>
      </w:r>
    </w:p>
    <w:p w14:paraId="03EF47DC">
      <w:pPr>
        <w:pStyle w:val="4"/>
        <w:rPr>
          <w:rFonts w:hint="default" w:ascii="Times New Roman" w:hAnsi="Times New Roman" w:eastAsia="宋体" w:cs="Times New Roman"/>
        </w:rPr>
      </w:pPr>
      <w:r>
        <w:rPr>
          <w:rFonts w:hint="default" w:ascii="Times New Roman" w:hAnsi="Times New Roman" w:eastAsia="宋体" w:cs="Times New Roman"/>
        </w:rPr>
        <w:t>3. 对照组定义</w:t>
      </w:r>
    </w:p>
    <w:p w14:paraId="16163237">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主要 non-TB 对照包括其他活动性感染性肺病、稳定期非感染性肺病、肺癌及健康对照。</w:t>
      </w:r>
    </w:p>
    <w:p w14:paraId="7D3897C0">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LTBI 组不纳入主分析中的 non-TB 对照集合，而作为扩展探索性人群单独处理。</w:t>
      </w:r>
    </w:p>
    <w:p w14:paraId="623A0318">
      <w:pPr>
        <w:pStyle w:val="4"/>
        <w:rPr>
          <w:rFonts w:hint="default" w:ascii="Times New Roman" w:hAnsi="Times New Roman" w:eastAsia="宋体" w:cs="Times New Roman"/>
        </w:rPr>
      </w:pPr>
      <w:r>
        <w:rPr>
          <w:rFonts w:hint="default" w:ascii="Times New Roman" w:hAnsi="Times New Roman" w:eastAsia="宋体" w:cs="Times New Roman"/>
        </w:rPr>
        <w:t>4. 主要和次要终点</w:t>
      </w:r>
    </w:p>
    <w:p w14:paraId="0C6994AF">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主要终点：锁定呼气组学模型对活动性肺结核整体（PTB+ + PTB-U）相对于 non-TB 的敏感度、特异度及 AUC。</w:t>
      </w:r>
    </w:p>
    <w:p w14:paraId="1EE84121">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关键次要终点：模型对 PTB-U 相对于 non-TB 的敏感度、特异度和 AUC；模型在 PTB+ 与 PTB-U 中表现差异；分中心表现及跨中心可迁移性。</w:t>
      </w:r>
    </w:p>
    <w:p w14:paraId="4A75B257">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探索性终点：呼气信号与菌载量指标的相关性；PTB+ 与 PTB-U 是否具有共享的疾病相关呼气信号；呼气检测对后续检查路径的潜在促进作用。</w:t>
      </w:r>
    </w:p>
    <w:p w14:paraId="30CEDC2A">
      <w:pPr>
        <w:pStyle w:val="4"/>
        <w:rPr>
          <w:rFonts w:hint="default" w:ascii="Times New Roman" w:hAnsi="Times New Roman" w:eastAsia="宋体" w:cs="Times New Roman"/>
        </w:rPr>
      </w:pPr>
      <w:r>
        <w:rPr>
          <w:rFonts w:hint="default" w:ascii="Times New Roman" w:hAnsi="Times New Roman" w:eastAsia="宋体" w:cs="Times New Roman"/>
        </w:rPr>
        <w:t>5. 结局判定流程与裁定机制</w:t>
      </w:r>
    </w:p>
    <w:p w14:paraId="10E42847">
      <w:pPr>
        <w:spacing w:before="0" w:after="120" w:line="360" w:lineRule="auto"/>
        <w:ind w:firstLine="420"/>
        <w:rPr>
          <w:rFonts w:hint="default" w:ascii="Times New Roman" w:hAnsi="Times New Roman" w:eastAsia="宋体" w:cs="Times New Roman"/>
        </w:rPr>
      </w:pPr>
      <w:r>
        <w:rPr>
          <w:rFonts w:hint="default" w:ascii="Times New Roman" w:hAnsi="Times New Roman" w:eastAsia="宋体" w:cs="Times New Roman"/>
          <w:b w:val="0"/>
          <w:i w:val="0"/>
          <w:sz w:val="22"/>
        </w:rPr>
        <w:t>各中心依据预设标准完成初步分组；对 PTB-U、复杂感染性肺病及存在竞争性替代诊断的病例，提交中心化结局判定流程复核。最终分类应在未知呼气结果的前提下完成，以避免指数试验反向影响参考标准判定。</w:t>
      </w:r>
    </w:p>
    <w:p w14:paraId="26C551A4">
      <w:pPr>
        <w:pStyle w:val="3"/>
        <w:rPr>
          <w:rFonts w:hint="default" w:ascii="Times New Roman" w:hAnsi="Times New Roman" w:eastAsia="宋体" w:cs="Times New Roman"/>
        </w:rPr>
      </w:pPr>
      <w:r>
        <w:rPr>
          <w:rFonts w:hint="default" w:ascii="Times New Roman" w:hAnsi="Times New Roman" w:eastAsia="宋体" w:cs="Times New Roman"/>
        </w:rPr>
        <w:t>七、研究流程与访视安排</w:t>
      </w:r>
    </w:p>
    <w:p w14:paraId="0315C78B">
      <w:pPr>
        <w:pStyle w:val="4"/>
        <w:rPr>
          <w:rFonts w:hint="default" w:ascii="Times New Roman" w:hAnsi="Times New Roman" w:eastAsia="宋体" w:cs="Times New Roman"/>
        </w:rPr>
      </w:pPr>
      <w:r>
        <w:rPr>
          <w:rFonts w:hint="default" w:ascii="Times New Roman" w:hAnsi="Times New Roman" w:eastAsia="宋体" w:cs="Times New Roman"/>
        </w:rPr>
        <w:t>1. 总体流程</w:t>
      </w:r>
    </w:p>
    <w:p w14:paraId="378CE328">
      <w:pPr>
        <w:spacing w:before="0" w:after="120" w:line="360" w:lineRule="auto"/>
        <w:ind w:firstLine="420"/>
        <w:rPr>
          <w:rFonts w:hint="default" w:ascii="Times New Roman" w:hAnsi="Times New Roman" w:eastAsia="宋体" w:cs="Times New Roman"/>
        </w:rPr>
      </w:pPr>
      <w:r>
        <w:rPr>
          <w:rFonts w:hint="default" w:ascii="Times New Roman" w:hAnsi="Times New Roman" w:eastAsia="宋体" w:cs="Times New Roman"/>
          <w:b w:val="0"/>
          <w:i w:val="0"/>
          <w:sz w:val="22"/>
        </w:rPr>
        <w:t>研究总体流程包括筛选与连续入组、知情同意、基线临床评估、呼气样本采集、常规诊疗及随访、终末结局判定、数据锁定与统计分析。呼气采样应尽可能位于首次完整诊断评估之前，以体现其前端筛查/分诊的 intended use。</w:t>
      </w:r>
    </w:p>
    <w:p w14:paraId="6ECD3E7D">
      <w:pPr>
        <w:pStyle w:val="4"/>
        <w:rPr>
          <w:rFonts w:hint="default" w:ascii="Times New Roman" w:hAnsi="Times New Roman" w:eastAsia="宋体" w:cs="Times New Roman"/>
        </w:rPr>
      </w:pPr>
      <w:r>
        <w:rPr>
          <w:rFonts w:hint="default" w:ascii="Times New Roman" w:hAnsi="Times New Roman" w:eastAsia="宋体" w:cs="Times New Roman"/>
        </w:rPr>
        <w:t>2. 分阶段实施</w:t>
      </w:r>
    </w:p>
    <w:p w14:paraId="5FC8EA4D">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筛选阶段：记录基本人口学资料、症状、影像学初步结果、病原学完成情况、是否已开始抗结核治疗以及能否在规定时间窗内采样。</w:t>
      </w:r>
    </w:p>
    <w:p w14:paraId="2DA97F6C">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基线访视（V1）：完成知情同意、登记基线临床信息、记录初始病原学和影像学资料、完成呼气采样及样本质控。</w:t>
      </w:r>
    </w:p>
    <w:p w14:paraId="734920D9">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常规诊疗与随访：按各中心常规路径继续病原学、影像学和治疗评估。PTB-U 以约 8 周复查为关键结局判定节点。</w:t>
      </w:r>
    </w:p>
    <w:p w14:paraId="0A64CBA4">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结局判定：依据病原学、影像学、治疗经过及复查结果完成最终疾病分类。</w:t>
      </w:r>
    </w:p>
    <w:p w14:paraId="2D7B740F">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数据库锁定：完成数据清理、质控和结局复核后锁库，并按预设统计分析计划开展主分析。</w:t>
      </w:r>
    </w:p>
    <w:p w14:paraId="5C1822F8">
      <w:pPr>
        <w:pStyle w:val="4"/>
        <w:rPr>
          <w:rFonts w:hint="default" w:ascii="Times New Roman" w:hAnsi="Times New Roman" w:eastAsia="宋体" w:cs="Times New Roman"/>
        </w:rPr>
      </w:pPr>
      <w:r>
        <w:rPr>
          <w:rFonts w:hint="default" w:ascii="Times New Roman" w:hAnsi="Times New Roman" w:eastAsia="宋体" w:cs="Times New Roman"/>
        </w:rPr>
        <w:t>3. 访视安排</w:t>
      </w:r>
    </w:p>
    <w:tbl>
      <w:tblPr>
        <w:tblStyle w:val="32"/>
        <w:tblW w:w="0" w:type="auto"/>
        <w:jc w:val="center"/>
        <w:tblBorders>
          <w:top w:val="single" w:color="B8C7D9" w:sz="8" w:space="0"/>
          <w:left w:val="single" w:color="B8C7D9" w:sz="8" w:space="0"/>
          <w:bottom w:val="single" w:color="B8C7D9" w:sz="8" w:space="0"/>
          <w:right w:val="single" w:color="B8C7D9" w:sz="8" w:space="0"/>
          <w:insideH w:val="single" w:color="B8C7D9" w:sz="8" w:space="0"/>
          <w:insideV w:val="single" w:color="B8C7D9" w:sz="8" w:space="0"/>
        </w:tblBorders>
        <w:tblLayout w:type="fixed"/>
        <w:tblCellMar>
          <w:top w:w="0" w:type="dxa"/>
          <w:left w:w="108" w:type="dxa"/>
          <w:bottom w:w="0" w:type="dxa"/>
          <w:right w:w="108" w:type="dxa"/>
        </w:tblCellMar>
      </w:tblPr>
      <w:tblGrid>
        <w:gridCol w:w="3061"/>
        <w:gridCol w:w="3061"/>
        <w:gridCol w:w="3061"/>
      </w:tblGrid>
      <w:tr w14:paraId="7CCC4475">
        <w:tblPrEx>
          <w:tblBorders>
            <w:top w:val="single" w:color="B8C7D9" w:sz="8" w:space="0"/>
            <w:left w:val="single" w:color="B8C7D9" w:sz="8" w:space="0"/>
            <w:bottom w:val="single" w:color="B8C7D9" w:sz="8" w:space="0"/>
            <w:right w:val="single" w:color="B8C7D9" w:sz="8" w:space="0"/>
            <w:insideH w:val="single" w:color="B8C7D9" w:sz="8" w:space="0"/>
            <w:insideV w:val="single" w:color="B8C7D9" w:sz="8" w:space="0"/>
          </w:tblBorders>
          <w:tblCellMar>
            <w:top w:w="0" w:type="dxa"/>
            <w:left w:w="108" w:type="dxa"/>
            <w:bottom w:w="0" w:type="dxa"/>
            <w:right w:w="108" w:type="dxa"/>
          </w:tblCellMar>
        </w:tblPrEx>
        <w:trPr>
          <w:tblHeader/>
          <w:jc w:val="center"/>
        </w:trPr>
        <w:tc>
          <w:tcPr>
            <w:tcW w:w="1701" w:type="dxa"/>
            <w:shd w:val="clear" w:color="auto" w:fill="DCEAF7"/>
            <w:tcMar>
              <w:top w:w="130" w:type="dxa"/>
              <w:left w:w="130" w:type="dxa"/>
              <w:bottom w:w="130" w:type="dxa"/>
              <w:right w:w="130" w:type="dxa"/>
            </w:tcMar>
            <w:vAlign w:val="center"/>
          </w:tcPr>
          <w:p w14:paraId="523261CB">
            <w:pPr>
              <w:spacing w:before="0" w:after="0" w:line="276" w:lineRule="auto"/>
              <w:jc w:val="center"/>
              <w:rPr>
                <w:rFonts w:hint="default" w:ascii="Times New Roman" w:hAnsi="Times New Roman" w:eastAsia="宋体" w:cs="Times New Roman"/>
              </w:rPr>
            </w:pPr>
            <w:r>
              <w:rPr>
                <w:rFonts w:hint="default" w:ascii="Times New Roman" w:hAnsi="Times New Roman" w:eastAsia="宋体" w:cs="Times New Roman"/>
                <w:b/>
                <w:i w:val="0"/>
                <w:color w:val="1F2937"/>
                <w:sz w:val="21"/>
              </w:rPr>
              <w:t>访视</w:t>
            </w:r>
          </w:p>
        </w:tc>
        <w:tc>
          <w:tcPr>
            <w:tcW w:w="2041" w:type="dxa"/>
            <w:shd w:val="clear" w:color="auto" w:fill="DCEAF7"/>
            <w:tcMar>
              <w:top w:w="130" w:type="dxa"/>
              <w:left w:w="130" w:type="dxa"/>
              <w:bottom w:w="130" w:type="dxa"/>
              <w:right w:w="130" w:type="dxa"/>
            </w:tcMar>
            <w:vAlign w:val="center"/>
          </w:tcPr>
          <w:p w14:paraId="455ED39B">
            <w:pPr>
              <w:spacing w:before="0" w:after="0" w:line="276" w:lineRule="auto"/>
              <w:jc w:val="center"/>
              <w:rPr>
                <w:rFonts w:hint="default" w:ascii="Times New Roman" w:hAnsi="Times New Roman" w:eastAsia="宋体" w:cs="Times New Roman"/>
              </w:rPr>
            </w:pPr>
            <w:r>
              <w:rPr>
                <w:rFonts w:hint="default" w:ascii="Times New Roman" w:hAnsi="Times New Roman" w:eastAsia="宋体" w:cs="Times New Roman"/>
                <w:b/>
                <w:i w:val="0"/>
                <w:color w:val="1F2937"/>
                <w:sz w:val="21"/>
              </w:rPr>
              <w:t>时间点</w:t>
            </w:r>
          </w:p>
        </w:tc>
        <w:tc>
          <w:tcPr>
            <w:tcW w:w="5443" w:type="dxa"/>
            <w:shd w:val="clear" w:color="auto" w:fill="DCEAF7"/>
            <w:tcMar>
              <w:top w:w="130" w:type="dxa"/>
              <w:left w:w="130" w:type="dxa"/>
              <w:bottom w:w="130" w:type="dxa"/>
              <w:right w:w="130" w:type="dxa"/>
            </w:tcMar>
            <w:vAlign w:val="center"/>
          </w:tcPr>
          <w:p w14:paraId="79EB1A5D">
            <w:pPr>
              <w:spacing w:before="0" w:after="0" w:line="276" w:lineRule="auto"/>
              <w:jc w:val="center"/>
              <w:rPr>
                <w:rFonts w:hint="default" w:ascii="Times New Roman" w:hAnsi="Times New Roman" w:eastAsia="宋体" w:cs="Times New Roman"/>
              </w:rPr>
            </w:pPr>
            <w:r>
              <w:rPr>
                <w:rFonts w:hint="default" w:ascii="Times New Roman" w:hAnsi="Times New Roman" w:eastAsia="宋体" w:cs="Times New Roman"/>
                <w:b/>
                <w:i w:val="0"/>
                <w:color w:val="1F2937"/>
                <w:sz w:val="21"/>
              </w:rPr>
              <w:t>主要内容</w:t>
            </w:r>
          </w:p>
        </w:tc>
      </w:tr>
      <w:tr w14:paraId="1C01B12F">
        <w:tblPrEx>
          <w:tblBorders>
            <w:top w:val="single" w:color="B8C7D9" w:sz="8" w:space="0"/>
            <w:left w:val="single" w:color="B8C7D9" w:sz="8" w:space="0"/>
            <w:bottom w:val="single" w:color="B8C7D9" w:sz="8" w:space="0"/>
            <w:right w:val="single" w:color="B8C7D9" w:sz="8" w:space="0"/>
            <w:insideH w:val="single" w:color="B8C7D9" w:sz="8" w:space="0"/>
            <w:insideV w:val="single" w:color="B8C7D9" w:sz="8" w:space="0"/>
          </w:tblBorders>
          <w:tblCellMar>
            <w:top w:w="0" w:type="dxa"/>
            <w:left w:w="108" w:type="dxa"/>
            <w:bottom w:w="0" w:type="dxa"/>
            <w:right w:w="108" w:type="dxa"/>
          </w:tblCellMar>
        </w:tblPrEx>
        <w:trPr>
          <w:jc w:val="center"/>
        </w:trPr>
        <w:tc>
          <w:tcPr>
            <w:tcW w:w="3061" w:type="dxa"/>
            <w:shd w:val="clear" w:color="auto" w:fill="FFFFFF"/>
            <w:tcMar>
              <w:top w:w="120" w:type="dxa"/>
              <w:left w:w="120" w:type="dxa"/>
              <w:bottom w:w="120" w:type="dxa"/>
              <w:right w:w="120" w:type="dxa"/>
            </w:tcMar>
            <w:vAlign w:val="center"/>
          </w:tcPr>
          <w:p w14:paraId="0789322D">
            <w:pPr>
              <w:spacing w:before="0" w:after="0" w:line="288" w:lineRule="auto"/>
              <w:jc w:val="center"/>
              <w:rPr>
                <w:rFonts w:hint="default" w:ascii="Times New Roman" w:hAnsi="Times New Roman" w:eastAsia="宋体" w:cs="Times New Roman"/>
              </w:rPr>
            </w:pPr>
            <w:r>
              <w:rPr>
                <w:rFonts w:hint="default" w:ascii="Times New Roman" w:hAnsi="Times New Roman" w:eastAsia="宋体" w:cs="Times New Roman"/>
                <w:b w:val="0"/>
                <w:i w:val="0"/>
                <w:sz w:val="20"/>
              </w:rPr>
              <w:t>V0 筛选访视</w:t>
            </w:r>
          </w:p>
        </w:tc>
        <w:tc>
          <w:tcPr>
            <w:tcW w:w="3061" w:type="dxa"/>
            <w:shd w:val="clear" w:color="auto" w:fill="FFFFFF"/>
            <w:tcMar>
              <w:top w:w="120" w:type="dxa"/>
              <w:left w:w="120" w:type="dxa"/>
              <w:bottom w:w="120" w:type="dxa"/>
              <w:right w:w="120" w:type="dxa"/>
            </w:tcMar>
            <w:vAlign w:val="center"/>
          </w:tcPr>
          <w:p w14:paraId="56545AA1">
            <w:pPr>
              <w:spacing w:before="0" w:after="0" w:line="288" w:lineRule="auto"/>
              <w:jc w:val="center"/>
              <w:rPr>
                <w:rFonts w:hint="default" w:ascii="Times New Roman" w:hAnsi="Times New Roman" w:eastAsia="宋体" w:cs="Times New Roman"/>
              </w:rPr>
            </w:pPr>
            <w:r>
              <w:rPr>
                <w:rFonts w:hint="default" w:ascii="Times New Roman" w:hAnsi="Times New Roman" w:eastAsia="宋体" w:cs="Times New Roman"/>
                <w:b w:val="0"/>
                <w:i w:val="0"/>
                <w:sz w:val="20"/>
              </w:rPr>
              <w:t>入组前</w:t>
            </w:r>
          </w:p>
        </w:tc>
        <w:tc>
          <w:tcPr>
            <w:tcW w:w="3061" w:type="dxa"/>
            <w:shd w:val="clear" w:color="auto" w:fill="FFFFFF"/>
            <w:tcMar>
              <w:top w:w="120" w:type="dxa"/>
              <w:left w:w="120" w:type="dxa"/>
              <w:bottom w:w="120" w:type="dxa"/>
              <w:right w:w="120" w:type="dxa"/>
            </w:tcMar>
            <w:vAlign w:val="center"/>
          </w:tcPr>
          <w:p w14:paraId="6AD9638E">
            <w:pPr>
              <w:spacing w:before="0" w:after="0" w:line="288" w:lineRule="auto"/>
              <w:jc w:val="left"/>
              <w:rPr>
                <w:rFonts w:hint="default" w:ascii="Times New Roman" w:hAnsi="Times New Roman" w:eastAsia="宋体" w:cs="Times New Roman"/>
              </w:rPr>
            </w:pPr>
            <w:r>
              <w:rPr>
                <w:rFonts w:hint="default" w:ascii="Times New Roman" w:hAnsi="Times New Roman" w:eastAsia="宋体" w:cs="Times New Roman"/>
                <w:b w:val="0"/>
                <w:i w:val="0"/>
                <w:sz w:val="20"/>
              </w:rPr>
              <w:t>连续筛选、初步资格判断、知情同意准备、记录未入组原因</w:t>
            </w:r>
          </w:p>
        </w:tc>
      </w:tr>
      <w:tr w14:paraId="07E2D5D5">
        <w:tblPrEx>
          <w:tblBorders>
            <w:top w:val="single" w:color="B8C7D9" w:sz="8" w:space="0"/>
            <w:left w:val="single" w:color="B8C7D9" w:sz="8" w:space="0"/>
            <w:bottom w:val="single" w:color="B8C7D9" w:sz="8" w:space="0"/>
            <w:right w:val="single" w:color="B8C7D9" w:sz="8" w:space="0"/>
            <w:insideH w:val="single" w:color="B8C7D9" w:sz="8" w:space="0"/>
            <w:insideV w:val="single" w:color="B8C7D9" w:sz="8" w:space="0"/>
          </w:tblBorders>
          <w:tblCellMar>
            <w:top w:w="0" w:type="dxa"/>
            <w:left w:w="108" w:type="dxa"/>
            <w:bottom w:w="0" w:type="dxa"/>
            <w:right w:w="108" w:type="dxa"/>
          </w:tblCellMar>
        </w:tblPrEx>
        <w:trPr>
          <w:jc w:val="center"/>
        </w:trPr>
        <w:tc>
          <w:tcPr>
            <w:tcW w:w="3061" w:type="dxa"/>
            <w:shd w:val="clear" w:color="auto" w:fill="FAFCFE"/>
            <w:tcMar>
              <w:top w:w="120" w:type="dxa"/>
              <w:left w:w="120" w:type="dxa"/>
              <w:bottom w:w="120" w:type="dxa"/>
              <w:right w:w="120" w:type="dxa"/>
            </w:tcMar>
            <w:vAlign w:val="center"/>
          </w:tcPr>
          <w:p w14:paraId="262551FA">
            <w:pPr>
              <w:spacing w:before="0" w:after="0" w:line="288" w:lineRule="auto"/>
              <w:jc w:val="center"/>
              <w:rPr>
                <w:rFonts w:hint="default" w:ascii="Times New Roman" w:hAnsi="Times New Roman" w:eastAsia="宋体" w:cs="Times New Roman"/>
              </w:rPr>
            </w:pPr>
            <w:r>
              <w:rPr>
                <w:rFonts w:hint="default" w:ascii="Times New Roman" w:hAnsi="Times New Roman" w:eastAsia="宋体" w:cs="Times New Roman"/>
                <w:b w:val="0"/>
                <w:i w:val="0"/>
                <w:sz w:val="20"/>
              </w:rPr>
              <w:t>V1 基线/入组访视</w:t>
            </w:r>
          </w:p>
        </w:tc>
        <w:tc>
          <w:tcPr>
            <w:tcW w:w="3061" w:type="dxa"/>
            <w:shd w:val="clear" w:color="auto" w:fill="FAFCFE"/>
            <w:tcMar>
              <w:top w:w="120" w:type="dxa"/>
              <w:left w:w="120" w:type="dxa"/>
              <w:bottom w:w="120" w:type="dxa"/>
              <w:right w:w="120" w:type="dxa"/>
            </w:tcMar>
            <w:vAlign w:val="center"/>
          </w:tcPr>
          <w:p w14:paraId="681AC215">
            <w:pPr>
              <w:spacing w:before="0" w:after="0" w:line="288" w:lineRule="auto"/>
              <w:jc w:val="center"/>
              <w:rPr>
                <w:rFonts w:hint="default" w:ascii="Times New Roman" w:hAnsi="Times New Roman" w:eastAsia="宋体" w:cs="Times New Roman"/>
              </w:rPr>
            </w:pPr>
            <w:r>
              <w:rPr>
                <w:rFonts w:hint="default" w:ascii="Times New Roman" w:hAnsi="Times New Roman" w:eastAsia="宋体" w:cs="Times New Roman"/>
                <w:b w:val="0"/>
                <w:i w:val="0"/>
                <w:sz w:val="20"/>
              </w:rPr>
              <w:t>入组当日</w:t>
            </w:r>
          </w:p>
        </w:tc>
        <w:tc>
          <w:tcPr>
            <w:tcW w:w="3061" w:type="dxa"/>
            <w:shd w:val="clear" w:color="auto" w:fill="FAFCFE"/>
            <w:tcMar>
              <w:top w:w="120" w:type="dxa"/>
              <w:left w:w="120" w:type="dxa"/>
              <w:bottom w:w="120" w:type="dxa"/>
              <w:right w:w="120" w:type="dxa"/>
            </w:tcMar>
            <w:vAlign w:val="center"/>
          </w:tcPr>
          <w:p w14:paraId="745D8166">
            <w:pPr>
              <w:spacing w:before="0" w:after="0" w:line="288" w:lineRule="auto"/>
              <w:jc w:val="left"/>
              <w:rPr>
                <w:rFonts w:hint="default" w:ascii="Times New Roman" w:hAnsi="Times New Roman" w:eastAsia="宋体" w:cs="Times New Roman"/>
              </w:rPr>
            </w:pPr>
            <w:r>
              <w:rPr>
                <w:rFonts w:hint="default" w:ascii="Times New Roman" w:hAnsi="Times New Roman" w:eastAsia="宋体" w:cs="Times New Roman"/>
                <w:b w:val="0"/>
                <w:i w:val="0"/>
                <w:sz w:val="20"/>
              </w:rPr>
              <w:t>签署知情同意、收集基线资料、记录影像和病原学检查、完成呼气采样与质控</w:t>
            </w:r>
          </w:p>
        </w:tc>
      </w:tr>
      <w:tr w14:paraId="7C243E55">
        <w:tblPrEx>
          <w:tblBorders>
            <w:top w:val="single" w:color="B8C7D9" w:sz="8" w:space="0"/>
            <w:left w:val="single" w:color="B8C7D9" w:sz="8" w:space="0"/>
            <w:bottom w:val="single" w:color="B8C7D9" w:sz="8" w:space="0"/>
            <w:right w:val="single" w:color="B8C7D9" w:sz="8" w:space="0"/>
            <w:insideH w:val="single" w:color="B8C7D9" w:sz="8" w:space="0"/>
            <w:insideV w:val="single" w:color="B8C7D9" w:sz="8" w:space="0"/>
          </w:tblBorders>
          <w:tblCellMar>
            <w:top w:w="0" w:type="dxa"/>
            <w:left w:w="108" w:type="dxa"/>
            <w:bottom w:w="0" w:type="dxa"/>
            <w:right w:w="108" w:type="dxa"/>
          </w:tblCellMar>
        </w:tblPrEx>
        <w:trPr>
          <w:jc w:val="center"/>
        </w:trPr>
        <w:tc>
          <w:tcPr>
            <w:tcW w:w="3061" w:type="dxa"/>
            <w:shd w:val="clear" w:color="auto" w:fill="FFFFFF"/>
            <w:tcMar>
              <w:top w:w="120" w:type="dxa"/>
              <w:left w:w="120" w:type="dxa"/>
              <w:bottom w:w="120" w:type="dxa"/>
              <w:right w:w="120" w:type="dxa"/>
            </w:tcMar>
            <w:vAlign w:val="center"/>
          </w:tcPr>
          <w:p w14:paraId="1E0A9A21">
            <w:pPr>
              <w:spacing w:before="0" w:after="0" w:line="288" w:lineRule="auto"/>
              <w:jc w:val="center"/>
              <w:rPr>
                <w:rFonts w:hint="default" w:ascii="Times New Roman" w:hAnsi="Times New Roman" w:eastAsia="宋体" w:cs="Times New Roman"/>
              </w:rPr>
            </w:pPr>
            <w:r>
              <w:rPr>
                <w:rFonts w:hint="default" w:ascii="Times New Roman" w:hAnsi="Times New Roman" w:eastAsia="宋体" w:cs="Times New Roman"/>
                <w:b w:val="0"/>
                <w:i w:val="0"/>
                <w:sz w:val="20"/>
              </w:rPr>
              <w:t>V1a 补采访视（可选）</w:t>
            </w:r>
          </w:p>
        </w:tc>
        <w:tc>
          <w:tcPr>
            <w:tcW w:w="3061" w:type="dxa"/>
            <w:shd w:val="clear" w:color="auto" w:fill="FFFFFF"/>
            <w:tcMar>
              <w:top w:w="120" w:type="dxa"/>
              <w:left w:w="120" w:type="dxa"/>
              <w:bottom w:w="120" w:type="dxa"/>
              <w:right w:w="120" w:type="dxa"/>
            </w:tcMar>
            <w:vAlign w:val="center"/>
          </w:tcPr>
          <w:p w14:paraId="24C9C4D2">
            <w:pPr>
              <w:spacing w:before="0" w:after="0" w:line="288" w:lineRule="auto"/>
              <w:jc w:val="center"/>
              <w:rPr>
                <w:rFonts w:hint="default" w:ascii="Times New Roman" w:hAnsi="Times New Roman" w:eastAsia="宋体" w:cs="Times New Roman"/>
              </w:rPr>
            </w:pPr>
            <w:r>
              <w:rPr>
                <w:rFonts w:hint="default" w:ascii="Times New Roman" w:hAnsi="Times New Roman" w:eastAsia="宋体" w:cs="Times New Roman"/>
                <w:b w:val="0"/>
                <w:i w:val="0"/>
                <w:sz w:val="20"/>
              </w:rPr>
              <w:t>V1 后允许时间窗内</w:t>
            </w:r>
          </w:p>
        </w:tc>
        <w:tc>
          <w:tcPr>
            <w:tcW w:w="3061" w:type="dxa"/>
            <w:shd w:val="clear" w:color="auto" w:fill="FFFFFF"/>
            <w:tcMar>
              <w:top w:w="120" w:type="dxa"/>
              <w:left w:w="120" w:type="dxa"/>
              <w:bottom w:w="120" w:type="dxa"/>
              <w:right w:w="120" w:type="dxa"/>
            </w:tcMar>
            <w:vAlign w:val="center"/>
          </w:tcPr>
          <w:p w14:paraId="7213B55A">
            <w:pPr>
              <w:spacing w:before="0" w:after="0" w:line="288" w:lineRule="auto"/>
              <w:jc w:val="left"/>
              <w:rPr>
                <w:rFonts w:hint="default" w:ascii="Times New Roman" w:hAnsi="Times New Roman" w:eastAsia="宋体" w:cs="Times New Roman"/>
              </w:rPr>
            </w:pPr>
            <w:r>
              <w:rPr>
                <w:rFonts w:hint="default" w:ascii="Times New Roman" w:hAnsi="Times New Roman" w:eastAsia="宋体" w:cs="Times New Roman"/>
                <w:b w:val="0"/>
                <w:i w:val="0"/>
                <w:sz w:val="20"/>
              </w:rPr>
              <w:t>样本质控失败者补采</w:t>
            </w:r>
          </w:p>
        </w:tc>
      </w:tr>
      <w:tr w14:paraId="2281780B">
        <w:tblPrEx>
          <w:tblBorders>
            <w:top w:val="single" w:color="B8C7D9" w:sz="8" w:space="0"/>
            <w:left w:val="single" w:color="B8C7D9" w:sz="8" w:space="0"/>
            <w:bottom w:val="single" w:color="B8C7D9" w:sz="8" w:space="0"/>
            <w:right w:val="single" w:color="B8C7D9" w:sz="8" w:space="0"/>
            <w:insideH w:val="single" w:color="B8C7D9" w:sz="8" w:space="0"/>
            <w:insideV w:val="single" w:color="B8C7D9" w:sz="8" w:space="0"/>
          </w:tblBorders>
          <w:tblCellMar>
            <w:top w:w="0" w:type="dxa"/>
            <w:left w:w="108" w:type="dxa"/>
            <w:bottom w:w="0" w:type="dxa"/>
            <w:right w:w="108" w:type="dxa"/>
          </w:tblCellMar>
        </w:tblPrEx>
        <w:trPr>
          <w:jc w:val="center"/>
        </w:trPr>
        <w:tc>
          <w:tcPr>
            <w:tcW w:w="3061" w:type="dxa"/>
            <w:shd w:val="clear" w:color="auto" w:fill="FAFCFE"/>
            <w:tcMar>
              <w:top w:w="120" w:type="dxa"/>
              <w:left w:w="120" w:type="dxa"/>
              <w:bottom w:w="120" w:type="dxa"/>
              <w:right w:w="120" w:type="dxa"/>
            </w:tcMar>
            <w:vAlign w:val="center"/>
          </w:tcPr>
          <w:p w14:paraId="3D8A79E0">
            <w:pPr>
              <w:spacing w:before="0" w:after="0" w:line="288" w:lineRule="auto"/>
              <w:jc w:val="center"/>
              <w:rPr>
                <w:rFonts w:hint="default" w:ascii="Times New Roman" w:hAnsi="Times New Roman" w:eastAsia="宋体" w:cs="Times New Roman"/>
              </w:rPr>
            </w:pPr>
            <w:r>
              <w:rPr>
                <w:rFonts w:hint="default" w:ascii="Times New Roman" w:hAnsi="Times New Roman" w:eastAsia="宋体" w:cs="Times New Roman"/>
                <w:b w:val="0"/>
                <w:i w:val="0"/>
                <w:sz w:val="20"/>
              </w:rPr>
              <w:t>V2 结局判定访视</w:t>
            </w:r>
          </w:p>
        </w:tc>
        <w:tc>
          <w:tcPr>
            <w:tcW w:w="3061" w:type="dxa"/>
            <w:shd w:val="clear" w:color="auto" w:fill="FAFCFE"/>
            <w:tcMar>
              <w:top w:w="120" w:type="dxa"/>
              <w:left w:w="120" w:type="dxa"/>
              <w:bottom w:w="120" w:type="dxa"/>
              <w:right w:w="120" w:type="dxa"/>
            </w:tcMar>
            <w:vAlign w:val="center"/>
          </w:tcPr>
          <w:p w14:paraId="248ADC4D">
            <w:pPr>
              <w:spacing w:before="0" w:after="0" w:line="288" w:lineRule="auto"/>
              <w:jc w:val="center"/>
              <w:rPr>
                <w:rFonts w:hint="default" w:ascii="Times New Roman" w:hAnsi="Times New Roman" w:eastAsia="宋体" w:cs="Times New Roman"/>
              </w:rPr>
            </w:pPr>
            <w:r>
              <w:rPr>
                <w:rFonts w:hint="default" w:ascii="Times New Roman" w:hAnsi="Times New Roman" w:eastAsia="宋体" w:cs="Times New Roman"/>
                <w:b w:val="0"/>
                <w:i w:val="0"/>
                <w:sz w:val="20"/>
              </w:rPr>
              <w:t>约 8 周或按方案时间窗</w:t>
            </w:r>
          </w:p>
        </w:tc>
        <w:tc>
          <w:tcPr>
            <w:tcW w:w="3061" w:type="dxa"/>
            <w:shd w:val="clear" w:color="auto" w:fill="FAFCFE"/>
            <w:tcMar>
              <w:top w:w="120" w:type="dxa"/>
              <w:left w:w="120" w:type="dxa"/>
              <w:bottom w:w="120" w:type="dxa"/>
              <w:right w:w="120" w:type="dxa"/>
            </w:tcMar>
            <w:vAlign w:val="center"/>
          </w:tcPr>
          <w:p w14:paraId="075BB100">
            <w:pPr>
              <w:spacing w:before="0" w:after="0" w:line="288" w:lineRule="auto"/>
              <w:jc w:val="left"/>
              <w:rPr>
                <w:rFonts w:hint="default" w:ascii="Times New Roman" w:hAnsi="Times New Roman" w:eastAsia="宋体" w:cs="Times New Roman"/>
              </w:rPr>
            </w:pPr>
            <w:r>
              <w:rPr>
                <w:rFonts w:hint="default" w:ascii="Times New Roman" w:hAnsi="Times New Roman" w:eastAsia="宋体" w:cs="Times New Roman"/>
                <w:b w:val="0"/>
                <w:i w:val="0"/>
                <w:sz w:val="20"/>
              </w:rPr>
              <w:t>收集复查影像、重复病原学、治疗反应和替代诊断信息，完成最终分组判定</w:t>
            </w:r>
          </w:p>
        </w:tc>
      </w:tr>
      <w:tr w14:paraId="04B321A0">
        <w:tblPrEx>
          <w:tblBorders>
            <w:top w:val="single" w:color="B8C7D9" w:sz="8" w:space="0"/>
            <w:left w:val="single" w:color="B8C7D9" w:sz="8" w:space="0"/>
            <w:bottom w:val="single" w:color="B8C7D9" w:sz="8" w:space="0"/>
            <w:right w:val="single" w:color="B8C7D9" w:sz="8" w:space="0"/>
            <w:insideH w:val="single" w:color="B8C7D9" w:sz="8" w:space="0"/>
            <w:insideV w:val="single" w:color="B8C7D9" w:sz="8" w:space="0"/>
          </w:tblBorders>
          <w:tblCellMar>
            <w:top w:w="0" w:type="dxa"/>
            <w:left w:w="108" w:type="dxa"/>
            <w:bottom w:w="0" w:type="dxa"/>
            <w:right w:w="108" w:type="dxa"/>
          </w:tblCellMar>
        </w:tblPrEx>
        <w:trPr>
          <w:jc w:val="center"/>
        </w:trPr>
        <w:tc>
          <w:tcPr>
            <w:tcW w:w="3061" w:type="dxa"/>
            <w:shd w:val="clear" w:color="auto" w:fill="FFFFFF"/>
            <w:tcMar>
              <w:top w:w="120" w:type="dxa"/>
              <w:left w:w="120" w:type="dxa"/>
              <w:bottom w:w="120" w:type="dxa"/>
              <w:right w:w="120" w:type="dxa"/>
            </w:tcMar>
            <w:vAlign w:val="center"/>
          </w:tcPr>
          <w:p w14:paraId="5301FF5B">
            <w:pPr>
              <w:spacing w:before="0" w:after="0" w:line="288" w:lineRule="auto"/>
              <w:jc w:val="center"/>
              <w:rPr>
                <w:rFonts w:hint="default" w:ascii="Times New Roman" w:hAnsi="Times New Roman" w:eastAsia="宋体" w:cs="Times New Roman"/>
              </w:rPr>
            </w:pPr>
            <w:r>
              <w:rPr>
                <w:rFonts w:hint="default" w:ascii="Times New Roman" w:hAnsi="Times New Roman" w:eastAsia="宋体" w:cs="Times New Roman"/>
                <w:b w:val="0"/>
                <w:i w:val="0"/>
                <w:sz w:val="20"/>
              </w:rPr>
              <w:t>V3 扩展随访访视（可选）</w:t>
            </w:r>
          </w:p>
        </w:tc>
        <w:tc>
          <w:tcPr>
            <w:tcW w:w="3061" w:type="dxa"/>
            <w:shd w:val="clear" w:color="auto" w:fill="FFFFFF"/>
            <w:tcMar>
              <w:top w:w="120" w:type="dxa"/>
              <w:left w:w="120" w:type="dxa"/>
              <w:bottom w:w="120" w:type="dxa"/>
              <w:right w:w="120" w:type="dxa"/>
            </w:tcMar>
            <w:vAlign w:val="center"/>
          </w:tcPr>
          <w:p w14:paraId="19F8DFA7">
            <w:pPr>
              <w:spacing w:before="0" w:after="0" w:line="288" w:lineRule="auto"/>
              <w:jc w:val="center"/>
              <w:rPr>
                <w:rFonts w:hint="default" w:ascii="Times New Roman" w:hAnsi="Times New Roman" w:eastAsia="宋体" w:cs="Times New Roman"/>
              </w:rPr>
            </w:pPr>
            <w:r>
              <w:rPr>
                <w:rFonts w:hint="default" w:ascii="Times New Roman" w:hAnsi="Times New Roman" w:eastAsia="宋体" w:cs="Times New Roman"/>
                <w:b w:val="0"/>
                <w:i w:val="0"/>
                <w:sz w:val="20"/>
              </w:rPr>
              <w:t>按研究需要</w:t>
            </w:r>
          </w:p>
        </w:tc>
        <w:tc>
          <w:tcPr>
            <w:tcW w:w="3061" w:type="dxa"/>
            <w:shd w:val="clear" w:color="auto" w:fill="FFFFFF"/>
            <w:tcMar>
              <w:top w:w="120" w:type="dxa"/>
              <w:left w:w="120" w:type="dxa"/>
              <w:bottom w:w="120" w:type="dxa"/>
              <w:right w:w="120" w:type="dxa"/>
            </w:tcMar>
            <w:vAlign w:val="center"/>
          </w:tcPr>
          <w:p w14:paraId="4920CCA3">
            <w:pPr>
              <w:spacing w:before="0" w:after="0" w:line="288" w:lineRule="auto"/>
              <w:jc w:val="left"/>
              <w:rPr>
                <w:rFonts w:hint="default" w:ascii="Times New Roman" w:hAnsi="Times New Roman" w:eastAsia="宋体" w:cs="Times New Roman"/>
              </w:rPr>
            </w:pPr>
            <w:r>
              <w:rPr>
                <w:rFonts w:hint="default" w:ascii="Times New Roman" w:hAnsi="Times New Roman" w:eastAsia="宋体" w:cs="Times New Roman"/>
                <w:b w:val="0"/>
                <w:i w:val="0"/>
                <w:sz w:val="20"/>
              </w:rPr>
              <w:t>收集路径层面指标，如诊断时间、微生物学完成率、经验性治疗等</w:t>
            </w:r>
          </w:p>
        </w:tc>
      </w:tr>
    </w:tbl>
    <w:p w14:paraId="2AFD0EEC">
      <w:pPr>
        <w:spacing w:before="0" w:after="120" w:line="360" w:lineRule="auto"/>
        <w:rPr>
          <w:rFonts w:hint="default" w:ascii="Times New Roman" w:hAnsi="Times New Roman" w:eastAsia="宋体" w:cs="Times New Roman"/>
        </w:rPr>
      </w:pPr>
      <w:r>
        <w:rPr>
          <w:rFonts w:hint="default" w:ascii="Times New Roman" w:hAnsi="Times New Roman" w:eastAsia="宋体" w:cs="Times New Roman"/>
          <w:b w:val="0"/>
          <w:i w:val="0"/>
          <w:sz w:val="22"/>
        </w:rPr>
        <w:t>其中，PTB-U 组约 8 周复查访视是保证复合参考标准判定质量的关键节点。</w:t>
      </w:r>
    </w:p>
    <w:p w14:paraId="16F6A135">
      <w:pPr>
        <w:pStyle w:val="3"/>
        <w:rPr>
          <w:rFonts w:hint="default" w:ascii="Times New Roman" w:hAnsi="Times New Roman" w:eastAsia="宋体" w:cs="Times New Roman"/>
        </w:rPr>
      </w:pPr>
      <w:r>
        <w:rPr>
          <w:rFonts w:hint="default" w:ascii="Times New Roman" w:hAnsi="Times New Roman" w:eastAsia="宋体" w:cs="Times New Roman"/>
        </w:rPr>
        <w:t>八、样本量估算与分中心分配</w:t>
      </w:r>
    </w:p>
    <w:p w14:paraId="3CB9ADDB">
      <w:pPr>
        <w:pStyle w:val="4"/>
        <w:rPr>
          <w:rFonts w:hint="default" w:ascii="Times New Roman" w:hAnsi="Times New Roman" w:eastAsia="宋体" w:cs="Times New Roman"/>
        </w:rPr>
      </w:pPr>
      <w:r>
        <w:rPr>
          <w:rFonts w:hint="default" w:ascii="Times New Roman" w:hAnsi="Times New Roman" w:eastAsia="宋体" w:cs="Times New Roman"/>
        </w:rPr>
        <w:t>1. 样本量估算原则</w:t>
      </w:r>
    </w:p>
    <w:p w14:paraId="4DF6F3DF">
      <w:pPr>
        <w:spacing w:before="0" w:after="120" w:line="360" w:lineRule="auto"/>
        <w:ind w:firstLine="420"/>
        <w:rPr>
          <w:rFonts w:hint="default" w:ascii="Times New Roman" w:hAnsi="Times New Roman" w:eastAsia="宋体" w:cs="Times New Roman"/>
        </w:rPr>
      </w:pPr>
      <w:r>
        <w:rPr>
          <w:rFonts w:hint="default" w:ascii="Times New Roman" w:hAnsi="Times New Roman" w:eastAsia="宋体" w:cs="Times New Roman"/>
          <w:b w:val="0"/>
          <w:i w:val="0"/>
          <w:sz w:val="22"/>
        </w:rPr>
        <w:t>本研究属于多中心前瞻性诊断准确性研究，主终点为锁定呼气组学模型对活动性肺结核整体相对于 non-TB 的敏感度和特异度。样本量估算不单纯依据总体 AUC，而分别基于敏感度和特异度的估计精度，并额外考虑 PTB-U 关键亚组的可评估例数需求。</w:t>
      </w:r>
    </w:p>
    <w:p w14:paraId="4BD5D721">
      <w:pPr>
        <w:spacing w:before="0" w:after="120" w:line="360" w:lineRule="auto"/>
        <w:ind w:firstLine="420"/>
        <w:rPr>
          <w:rFonts w:hint="default" w:ascii="Times New Roman" w:hAnsi="Times New Roman" w:eastAsia="宋体" w:cs="Times New Roman"/>
        </w:rPr>
      </w:pPr>
      <w:r>
        <w:rPr>
          <w:rFonts w:hint="default" w:ascii="Times New Roman" w:hAnsi="Times New Roman" w:eastAsia="宋体" w:cs="Times New Roman"/>
          <w:b w:val="0"/>
          <w:i w:val="0"/>
          <w:sz w:val="22"/>
        </w:rPr>
        <w:t>采用二项分布参数精度估计公式 n = Z² × p(1-p) / d²，其中 p 为预期敏感度或特异度，d 为 95% 置信区间半宽。参数设定如下：总体敏感度按 90%、总体特异度按 85%、PTB-U 亚组敏感度按 85%，分别对应 ±4%、±4% 和 ±5% 的允许误差。结合 1% 左右样本质控失败、约 10% PTB-U 结局判定不完整以及多中心异质性膨胀后，确定方案推荐样本量。</w:t>
      </w:r>
    </w:p>
    <w:p w14:paraId="23B13E62">
      <w:pPr>
        <w:pStyle w:val="4"/>
        <w:rPr>
          <w:rFonts w:hint="default" w:ascii="Times New Roman" w:hAnsi="Times New Roman" w:eastAsia="宋体" w:cs="Times New Roman"/>
        </w:rPr>
      </w:pPr>
      <w:r>
        <w:rPr>
          <w:rFonts w:hint="default" w:ascii="Times New Roman" w:hAnsi="Times New Roman" w:eastAsia="宋体" w:cs="Times New Roman"/>
        </w:rPr>
        <w:t>2. 方案推荐样本量</w:t>
      </w:r>
    </w:p>
    <w:tbl>
      <w:tblPr>
        <w:tblStyle w:val="32"/>
        <w:tblW w:w="0" w:type="auto"/>
        <w:jc w:val="center"/>
        <w:tblBorders>
          <w:top w:val="single" w:color="B8C7D9" w:sz="8" w:space="0"/>
          <w:left w:val="single" w:color="B8C7D9" w:sz="8" w:space="0"/>
          <w:bottom w:val="single" w:color="B8C7D9" w:sz="8" w:space="0"/>
          <w:right w:val="single" w:color="B8C7D9" w:sz="8" w:space="0"/>
          <w:insideH w:val="single" w:color="B8C7D9" w:sz="8" w:space="0"/>
          <w:insideV w:val="single" w:color="B8C7D9" w:sz="8" w:space="0"/>
        </w:tblBorders>
        <w:tblLayout w:type="fixed"/>
        <w:tblCellMar>
          <w:top w:w="0" w:type="dxa"/>
          <w:left w:w="108" w:type="dxa"/>
          <w:bottom w:w="0" w:type="dxa"/>
          <w:right w:w="108" w:type="dxa"/>
        </w:tblCellMar>
      </w:tblPr>
      <w:tblGrid>
        <w:gridCol w:w="4592"/>
        <w:gridCol w:w="4592"/>
      </w:tblGrid>
      <w:tr w14:paraId="0FAB7794">
        <w:tblPrEx>
          <w:tblBorders>
            <w:top w:val="single" w:color="B8C7D9" w:sz="8" w:space="0"/>
            <w:left w:val="single" w:color="B8C7D9" w:sz="8" w:space="0"/>
            <w:bottom w:val="single" w:color="B8C7D9" w:sz="8" w:space="0"/>
            <w:right w:val="single" w:color="B8C7D9" w:sz="8" w:space="0"/>
            <w:insideH w:val="single" w:color="B8C7D9" w:sz="8" w:space="0"/>
            <w:insideV w:val="single" w:color="B8C7D9" w:sz="8" w:space="0"/>
          </w:tblBorders>
          <w:tblCellMar>
            <w:top w:w="0" w:type="dxa"/>
            <w:left w:w="108" w:type="dxa"/>
            <w:bottom w:w="0" w:type="dxa"/>
            <w:right w:w="108" w:type="dxa"/>
          </w:tblCellMar>
        </w:tblPrEx>
        <w:trPr>
          <w:jc w:val="center"/>
        </w:trPr>
        <w:tc>
          <w:tcPr>
            <w:tcW w:w="4535" w:type="dxa"/>
            <w:shd w:val="clear" w:color="auto" w:fill="DCEAF7"/>
            <w:tcMar>
              <w:top w:w="120" w:type="dxa"/>
              <w:left w:w="120" w:type="dxa"/>
              <w:bottom w:w="120" w:type="dxa"/>
              <w:right w:w="120" w:type="dxa"/>
            </w:tcMar>
            <w:vAlign w:val="center"/>
          </w:tcPr>
          <w:p w14:paraId="525B5672">
            <w:pPr>
              <w:spacing w:before="0" w:after="0" w:line="276"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类别</w:t>
            </w:r>
          </w:p>
        </w:tc>
        <w:tc>
          <w:tcPr>
            <w:tcW w:w="2268" w:type="dxa"/>
            <w:shd w:val="clear" w:color="auto" w:fill="DCEAF7"/>
            <w:tcMar>
              <w:top w:w="120" w:type="dxa"/>
              <w:left w:w="120" w:type="dxa"/>
              <w:bottom w:w="120" w:type="dxa"/>
              <w:right w:w="120" w:type="dxa"/>
            </w:tcMar>
            <w:vAlign w:val="center"/>
          </w:tcPr>
          <w:p w14:paraId="6B5D39AB">
            <w:pPr>
              <w:spacing w:before="0" w:after="0" w:line="276"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例数</w:t>
            </w:r>
          </w:p>
        </w:tc>
      </w:tr>
      <w:tr w14:paraId="244F7CFA">
        <w:tblPrEx>
          <w:tblBorders>
            <w:top w:val="single" w:color="B8C7D9" w:sz="8" w:space="0"/>
            <w:left w:val="single" w:color="B8C7D9" w:sz="8" w:space="0"/>
            <w:bottom w:val="single" w:color="B8C7D9" w:sz="8" w:space="0"/>
            <w:right w:val="single" w:color="B8C7D9" w:sz="8" w:space="0"/>
            <w:insideH w:val="single" w:color="B8C7D9" w:sz="8" w:space="0"/>
            <w:insideV w:val="single" w:color="B8C7D9" w:sz="8" w:space="0"/>
          </w:tblBorders>
          <w:tblCellMar>
            <w:top w:w="0" w:type="dxa"/>
            <w:left w:w="108" w:type="dxa"/>
            <w:bottom w:w="0" w:type="dxa"/>
            <w:right w:w="108" w:type="dxa"/>
          </w:tblCellMar>
        </w:tblPrEx>
        <w:trPr>
          <w:jc w:val="center"/>
        </w:trPr>
        <w:tc>
          <w:tcPr>
            <w:tcW w:w="4592" w:type="dxa"/>
            <w:shd w:val="clear" w:color="auto" w:fill="FFFFFF"/>
            <w:tcMar>
              <w:top w:w="120" w:type="dxa"/>
              <w:left w:w="120" w:type="dxa"/>
              <w:bottom w:w="120" w:type="dxa"/>
              <w:right w:w="120" w:type="dxa"/>
            </w:tcMar>
            <w:vAlign w:val="center"/>
          </w:tcPr>
          <w:p w14:paraId="71917282">
            <w:pPr>
              <w:spacing w:before="0" w:after="0" w:line="276" w:lineRule="auto"/>
              <w:jc w:val="center"/>
              <w:rPr>
                <w:rFonts w:hint="default" w:ascii="Times New Roman" w:hAnsi="Times New Roman" w:eastAsia="宋体" w:cs="Times New Roman"/>
              </w:rPr>
            </w:pPr>
            <w:r>
              <w:rPr>
                <w:rFonts w:hint="default" w:ascii="Times New Roman" w:hAnsi="Times New Roman" w:eastAsia="宋体" w:cs="Times New Roman"/>
                <w:b w:val="0"/>
                <w:i w:val="0"/>
                <w:sz w:val="20"/>
              </w:rPr>
              <w:t>PTB+</w:t>
            </w:r>
          </w:p>
        </w:tc>
        <w:tc>
          <w:tcPr>
            <w:tcW w:w="4592" w:type="dxa"/>
            <w:shd w:val="clear" w:color="auto" w:fill="FFFFFF"/>
            <w:tcMar>
              <w:top w:w="120" w:type="dxa"/>
              <w:left w:w="120" w:type="dxa"/>
              <w:bottom w:w="120" w:type="dxa"/>
              <w:right w:w="120" w:type="dxa"/>
            </w:tcMar>
            <w:vAlign w:val="center"/>
          </w:tcPr>
          <w:p w14:paraId="28154081">
            <w:pPr>
              <w:spacing w:before="0" w:after="0" w:line="276" w:lineRule="auto"/>
              <w:jc w:val="center"/>
              <w:rPr>
                <w:rFonts w:hint="default" w:ascii="Times New Roman" w:hAnsi="Times New Roman" w:eastAsia="宋体" w:cs="Times New Roman"/>
              </w:rPr>
            </w:pPr>
            <w:r>
              <w:rPr>
                <w:rFonts w:hint="default" w:ascii="Times New Roman" w:hAnsi="Times New Roman" w:eastAsia="宋体" w:cs="Times New Roman"/>
                <w:b w:val="0"/>
                <w:i w:val="0"/>
                <w:sz w:val="20"/>
              </w:rPr>
              <w:t>380</w:t>
            </w:r>
          </w:p>
        </w:tc>
      </w:tr>
      <w:tr w14:paraId="0A12C632">
        <w:tblPrEx>
          <w:tblBorders>
            <w:top w:val="single" w:color="B8C7D9" w:sz="8" w:space="0"/>
            <w:left w:val="single" w:color="B8C7D9" w:sz="8" w:space="0"/>
            <w:bottom w:val="single" w:color="B8C7D9" w:sz="8" w:space="0"/>
            <w:right w:val="single" w:color="B8C7D9" w:sz="8" w:space="0"/>
            <w:insideH w:val="single" w:color="B8C7D9" w:sz="8" w:space="0"/>
            <w:insideV w:val="single" w:color="B8C7D9" w:sz="8" w:space="0"/>
          </w:tblBorders>
          <w:tblCellMar>
            <w:top w:w="0" w:type="dxa"/>
            <w:left w:w="108" w:type="dxa"/>
            <w:bottom w:w="0" w:type="dxa"/>
            <w:right w:w="108" w:type="dxa"/>
          </w:tblCellMar>
        </w:tblPrEx>
        <w:trPr>
          <w:jc w:val="center"/>
        </w:trPr>
        <w:tc>
          <w:tcPr>
            <w:tcW w:w="4592" w:type="dxa"/>
            <w:shd w:val="clear" w:color="auto" w:fill="FAFCFE"/>
            <w:tcMar>
              <w:top w:w="120" w:type="dxa"/>
              <w:left w:w="120" w:type="dxa"/>
              <w:bottom w:w="120" w:type="dxa"/>
              <w:right w:w="120" w:type="dxa"/>
            </w:tcMar>
            <w:vAlign w:val="center"/>
          </w:tcPr>
          <w:p w14:paraId="42DAC4E0">
            <w:pPr>
              <w:spacing w:before="0" w:after="0" w:line="276" w:lineRule="auto"/>
              <w:jc w:val="center"/>
              <w:rPr>
                <w:rFonts w:hint="default" w:ascii="Times New Roman" w:hAnsi="Times New Roman" w:eastAsia="宋体" w:cs="Times New Roman"/>
              </w:rPr>
            </w:pPr>
            <w:r>
              <w:rPr>
                <w:rFonts w:hint="default" w:ascii="Times New Roman" w:hAnsi="Times New Roman" w:eastAsia="宋体" w:cs="Times New Roman"/>
                <w:b w:val="0"/>
                <w:i w:val="0"/>
                <w:sz w:val="20"/>
              </w:rPr>
              <w:t>PTB-U</w:t>
            </w:r>
          </w:p>
        </w:tc>
        <w:tc>
          <w:tcPr>
            <w:tcW w:w="4592" w:type="dxa"/>
            <w:shd w:val="clear" w:color="auto" w:fill="FAFCFE"/>
            <w:tcMar>
              <w:top w:w="120" w:type="dxa"/>
              <w:left w:w="120" w:type="dxa"/>
              <w:bottom w:w="120" w:type="dxa"/>
              <w:right w:w="120" w:type="dxa"/>
            </w:tcMar>
            <w:vAlign w:val="center"/>
          </w:tcPr>
          <w:p w14:paraId="50A1BAF2">
            <w:pPr>
              <w:spacing w:before="0" w:after="0" w:line="276" w:lineRule="auto"/>
              <w:jc w:val="center"/>
              <w:rPr>
                <w:rFonts w:hint="default" w:ascii="Times New Roman" w:hAnsi="Times New Roman" w:eastAsia="宋体" w:cs="Times New Roman"/>
              </w:rPr>
            </w:pPr>
            <w:r>
              <w:rPr>
                <w:rFonts w:hint="default" w:ascii="Times New Roman" w:hAnsi="Times New Roman" w:eastAsia="宋体" w:cs="Times New Roman"/>
                <w:b w:val="0"/>
                <w:i w:val="0"/>
                <w:sz w:val="20"/>
              </w:rPr>
              <w:t>250</w:t>
            </w:r>
          </w:p>
        </w:tc>
      </w:tr>
      <w:tr w14:paraId="094F7E8D">
        <w:tblPrEx>
          <w:tblBorders>
            <w:top w:val="single" w:color="B8C7D9" w:sz="8" w:space="0"/>
            <w:left w:val="single" w:color="B8C7D9" w:sz="8" w:space="0"/>
            <w:bottom w:val="single" w:color="B8C7D9" w:sz="8" w:space="0"/>
            <w:right w:val="single" w:color="B8C7D9" w:sz="8" w:space="0"/>
            <w:insideH w:val="single" w:color="B8C7D9" w:sz="8" w:space="0"/>
            <w:insideV w:val="single" w:color="B8C7D9" w:sz="8" w:space="0"/>
          </w:tblBorders>
          <w:tblCellMar>
            <w:top w:w="0" w:type="dxa"/>
            <w:left w:w="108" w:type="dxa"/>
            <w:bottom w:w="0" w:type="dxa"/>
            <w:right w:w="108" w:type="dxa"/>
          </w:tblCellMar>
        </w:tblPrEx>
        <w:trPr>
          <w:jc w:val="center"/>
        </w:trPr>
        <w:tc>
          <w:tcPr>
            <w:tcW w:w="4592" w:type="dxa"/>
            <w:shd w:val="clear" w:color="auto" w:fill="FFFFFF"/>
            <w:tcMar>
              <w:top w:w="120" w:type="dxa"/>
              <w:left w:w="120" w:type="dxa"/>
              <w:bottom w:w="120" w:type="dxa"/>
              <w:right w:w="120" w:type="dxa"/>
            </w:tcMar>
            <w:vAlign w:val="center"/>
          </w:tcPr>
          <w:p w14:paraId="07555916">
            <w:pPr>
              <w:spacing w:before="0" w:after="0" w:line="276" w:lineRule="auto"/>
              <w:jc w:val="center"/>
              <w:rPr>
                <w:rFonts w:hint="default" w:ascii="Times New Roman" w:hAnsi="Times New Roman" w:eastAsia="宋体" w:cs="Times New Roman"/>
              </w:rPr>
            </w:pPr>
            <w:r>
              <w:rPr>
                <w:rFonts w:hint="default" w:ascii="Times New Roman" w:hAnsi="Times New Roman" w:eastAsia="宋体" w:cs="Times New Roman"/>
                <w:b w:val="0"/>
                <w:i w:val="0"/>
                <w:sz w:val="20"/>
              </w:rPr>
              <w:t>non-TB</w:t>
            </w:r>
          </w:p>
        </w:tc>
        <w:tc>
          <w:tcPr>
            <w:tcW w:w="4592" w:type="dxa"/>
            <w:shd w:val="clear" w:color="auto" w:fill="FFFFFF"/>
            <w:tcMar>
              <w:top w:w="120" w:type="dxa"/>
              <w:left w:w="120" w:type="dxa"/>
              <w:bottom w:w="120" w:type="dxa"/>
              <w:right w:w="120" w:type="dxa"/>
            </w:tcMar>
            <w:vAlign w:val="center"/>
          </w:tcPr>
          <w:p w14:paraId="7CD1CBE9">
            <w:pPr>
              <w:spacing w:before="0" w:after="0" w:line="276" w:lineRule="auto"/>
              <w:jc w:val="center"/>
              <w:rPr>
                <w:rFonts w:hint="default" w:ascii="Times New Roman" w:hAnsi="Times New Roman" w:eastAsia="宋体" w:cs="Times New Roman"/>
              </w:rPr>
            </w:pPr>
            <w:r>
              <w:rPr>
                <w:rFonts w:hint="default" w:ascii="Times New Roman" w:hAnsi="Times New Roman" w:eastAsia="宋体" w:cs="Times New Roman"/>
                <w:b w:val="0"/>
                <w:i w:val="0"/>
                <w:sz w:val="20"/>
              </w:rPr>
              <w:t>570</w:t>
            </w:r>
          </w:p>
        </w:tc>
      </w:tr>
      <w:tr w14:paraId="10D836BF">
        <w:tblPrEx>
          <w:tblBorders>
            <w:top w:val="single" w:color="B8C7D9" w:sz="8" w:space="0"/>
            <w:left w:val="single" w:color="B8C7D9" w:sz="8" w:space="0"/>
            <w:bottom w:val="single" w:color="B8C7D9" w:sz="8" w:space="0"/>
            <w:right w:val="single" w:color="B8C7D9" w:sz="8" w:space="0"/>
            <w:insideH w:val="single" w:color="B8C7D9" w:sz="8" w:space="0"/>
            <w:insideV w:val="single" w:color="B8C7D9" w:sz="8" w:space="0"/>
          </w:tblBorders>
          <w:tblCellMar>
            <w:top w:w="0" w:type="dxa"/>
            <w:left w:w="108" w:type="dxa"/>
            <w:bottom w:w="0" w:type="dxa"/>
            <w:right w:w="108" w:type="dxa"/>
          </w:tblCellMar>
        </w:tblPrEx>
        <w:trPr>
          <w:jc w:val="center"/>
        </w:trPr>
        <w:tc>
          <w:tcPr>
            <w:tcW w:w="4592" w:type="dxa"/>
            <w:shd w:val="clear" w:color="auto" w:fill="FAFCFE"/>
            <w:tcMar>
              <w:top w:w="120" w:type="dxa"/>
              <w:left w:w="120" w:type="dxa"/>
              <w:bottom w:w="120" w:type="dxa"/>
              <w:right w:w="120" w:type="dxa"/>
            </w:tcMar>
            <w:vAlign w:val="center"/>
          </w:tcPr>
          <w:p w14:paraId="32134541">
            <w:pPr>
              <w:spacing w:before="0" w:after="0" w:line="276" w:lineRule="auto"/>
              <w:jc w:val="center"/>
              <w:rPr>
                <w:rFonts w:hint="default" w:ascii="Times New Roman" w:hAnsi="Times New Roman" w:eastAsia="宋体" w:cs="Times New Roman"/>
              </w:rPr>
            </w:pPr>
            <w:r>
              <w:rPr>
                <w:rFonts w:hint="default" w:ascii="Times New Roman" w:hAnsi="Times New Roman" w:eastAsia="宋体" w:cs="Times New Roman"/>
                <w:b w:val="0"/>
                <w:i w:val="0"/>
                <w:sz w:val="20"/>
              </w:rPr>
              <w:t>合计</w:t>
            </w:r>
          </w:p>
        </w:tc>
        <w:tc>
          <w:tcPr>
            <w:tcW w:w="4592" w:type="dxa"/>
            <w:shd w:val="clear" w:color="auto" w:fill="FAFCFE"/>
            <w:tcMar>
              <w:top w:w="120" w:type="dxa"/>
              <w:left w:w="120" w:type="dxa"/>
              <w:bottom w:w="120" w:type="dxa"/>
              <w:right w:w="120" w:type="dxa"/>
            </w:tcMar>
            <w:vAlign w:val="center"/>
          </w:tcPr>
          <w:p w14:paraId="78628EC8">
            <w:pPr>
              <w:spacing w:before="0" w:after="0" w:line="276" w:lineRule="auto"/>
              <w:jc w:val="center"/>
              <w:rPr>
                <w:rFonts w:hint="default" w:ascii="Times New Roman" w:hAnsi="Times New Roman" w:eastAsia="宋体" w:cs="Times New Roman"/>
              </w:rPr>
            </w:pPr>
            <w:r>
              <w:rPr>
                <w:rFonts w:hint="default" w:ascii="Times New Roman" w:hAnsi="Times New Roman" w:eastAsia="宋体" w:cs="Times New Roman"/>
                <w:b w:val="0"/>
                <w:i w:val="0"/>
                <w:sz w:val="20"/>
              </w:rPr>
              <w:t>1200</w:t>
            </w:r>
          </w:p>
        </w:tc>
      </w:tr>
    </w:tbl>
    <w:p w14:paraId="5EBD9A00">
      <w:pPr>
        <w:spacing w:before="0" w:after="120" w:line="360" w:lineRule="auto"/>
        <w:rPr>
          <w:rFonts w:hint="default" w:ascii="Times New Roman" w:hAnsi="Times New Roman" w:eastAsia="宋体" w:cs="Times New Roman"/>
        </w:rPr>
      </w:pPr>
      <w:r>
        <w:rPr>
          <w:rFonts w:hint="default" w:ascii="Times New Roman" w:hAnsi="Times New Roman" w:eastAsia="宋体" w:cs="Times New Roman"/>
          <w:b w:val="0"/>
          <w:i w:val="0"/>
          <w:sz w:val="22"/>
        </w:rPr>
        <w:t>上述配置能够在满足主终点估计精度的同时，为 PTB-U 关键亚组、分中心分析及模型可迁移性评价提供较为稳健的样本基础。</w:t>
      </w:r>
    </w:p>
    <w:p w14:paraId="2E88756A">
      <w:pPr>
        <w:rPr>
          <w:rFonts w:hint="default" w:ascii="Times New Roman" w:hAnsi="Times New Roman" w:eastAsia="宋体" w:cs="Times New Roman"/>
        </w:rPr>
      </w:pPr>
      <w:r>
        <w:rPr>
          <w:rFonts w:hint="default" w:ascii="Times New Roman" w:hAnsi="Times New Roman" w:eastAsia="宋体" w:cs="Times New Roman"/>
        </w:rPr>
        <w:br w:type="page"/>
      </w:r>
    </w:p>
    <w:p w14:paraId="272BFB4F">
      <w:pPr>
        <w:pStyle w:val="4"/>
        <w:rPr>
          <w:rFonts w:hint="default" w:ascii="Times New Roman" w:hAnsi="Times New Roman" w:eastAsia="宋体" w:cs="Times New Roman"/>
        </w:rPr>
      </w:pPr>
      <w:r>
        <w:rPr>
          <w:rFonts w:hint="default" w:ascii="Times New Roman" w:hAnsi="Times New Roman" w:eastAsia="宋体" w:cs="Times New Roman"/>
        </w:rPr>
        <w:t>3. non-TB 对照内部构成建议</w:t>
      </w:r>
    </w:p>
    <w:tbl>
      <w:tblPr>
        <w:tblStyle w:val="32"/>
        <w:tblW w:w="0" w:type="auto"/>
        <w:jc w:val="center"/>
        <w:tblBorders>
          <w:top w:val="single" w:color="B8C7D9" w:sz="8" w:space="0"/>
          <w:left w:val="single" w:color="B8C7D9" w:sz="8" w:space="0"/>
          <w:bottom w:val="single" w:color="B8C7D9" w:sz="8" w:space="0"/>
          <w:right w:val="single" w:color="B8C7D9" w:sz="8" w:space="0"/>
          <w:insideH w:val="single" w:color="B8C7D9" w:sz="8" w:space="0"/>
          <w:insideV w:val="single" w:color="B8C7D9" w:sz="8" w:space="0"/>
        </w:tblBorders>
        <w:tblLayout w:type="fixed"/>
        <w:tblCellMar>
          <w:top w:w="0" w:type="dxa"/>
          <w:left w:w="108" w:type="dxa"/>
          <w:bottom w:w="0" w:type="dxa"/>
          <w:right w:w="108" w:type="dxa"/>
        </w:tblCellMar>
      </w:tblPr>
      <w:tblGrid>
        <w:gridCol w:w="4592"/>
        <w:gridCol w:w="4592"/>
      </w:tblGrid>
      <w:tr w14:paraId="68590CAC">
        <w:tblPrEx>
          <w:tblBorders>
            <w:top w:val="single" w:color="B8C7D9" w:sz="8" w:space="0"/>
            <w:left w:val="single" w:color="B8C7D9" w:sz="8" w:space="0"/>
            <w:bottom w:val="single" w:color="B8C7D9" w:sz="8" w:space="0"/>
            <w:right w:val="single" w:color="B8C7D9" w:sz="8" w:space="0"/>
            <w:insideH w:val="single" w:color="B8C7D9" w:sz="8" w:space="0"/>
            <w:insideV w:val="single" w:color="B8C7D9" w:sz="8" w:space="0"/>
          </w:tblBorders>
          <w:tblCellMar>
            <w:top w:w="0" w:type="dxa"/>
            <w:left w:w="108" w:type="dxa"/>
            <w:bottom w:w="0" w:type="dxa"/>
            <w:right w:w="108" w:type="dxa"/>
          </w:tblCellMar>
        </w:tblPrEx>
        <w:trPr>
          <w:jc w:val="center"/>
        </w:trPr>
        <w:tc>
          <w:tcPr>
            <w:tcW w:w="5102" w:type="dxa"/>
            <w:shd w:val="clear" w:color="auto" w:fill="DCEAF7"/>
            <w:tcMar>
              <w:top w:w="120" w:type="dxa"/>
              <w:left w:w="120" w:type="dxa"/>
              <w:bottom w:w="120" w:type="dxa"/>
              <w:right w:w="120" w:type="dxa"/>
            </w:tcMar>
            <w:vAlign w:val="center"/>
          </w:tcPr>
          <w:p w14:paraId="39E8B6A5">
            <w:pPr>
              <w:spacing w:before="0" w:after="0" w:line="276"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对照类别</w:t>
            </w:r>
          </w:p>
        </w:tc>
        <w:tc>
          <w:tcPr>
            <w:tcW w:w="1701" w:type="dxa"/>
            <w:shd w:val="clear" w:color="auto" w:fill="DCEAF7"/>
            <w:tcMar>
              <w:top w:w="120" w:type="dxa"/>
              <w:left w:w="120" w:type="dxa"/>
              <w:bottom w:w="120" w:type="dxa"/>
              <w:right w:w="120" w:type="dxa"/>
            </w:tcMar>
            <w:vAlign w:val="center"/>
          </w:tcPr>
          <w:p w14:paraId="69D849C5">
            <w:pPr>
              <w:spacing w:before="0" w:after="0" w:line="276" w:lineRule="auto"/>
              <w:jc w:val="center"/>
              <w:rPr>
                <w:rFonts w:hint="default" w:ascii="Times New Roman" w:hAnsi="Times New Roman" w:eastAsia="宋体" w:cs="Times New Roman"/>
              </w:rPr>
            </w:pPr>
            <w:r>
              <w:rPr>
                <w:rFonts w:hint="default" w:ascii="Times New Roman" w:hAnsi="Times New Roman" w:eastAsia="宋体" w:cs="Times New Roman"/>
                <w:b/>
                <w:i w:val="0"/>
                <w:sz w:val="21"/>
              </w:rPr>
              <w:t>例数</w:t>
            </w:r>
          </w:p>
        </w:tc>
      </w:tr>
      <w:tr w14:paraId="3F50C704">
        <w:tblPrEx>
          <w:tblBorders>
            <w:top w:val="single" w:color="B8C7D9" w:sz="8" w:space="0"/>
            <w:left w:val="single" w:color="B8C7D9" w:sz="8" w:space="0"/>
            <w:bottom w:val="single" w:color="B8C7D9" w:sz="8" w:space="0"/>
            <w:right w:val="single" w:color="B8C7D9" w:sz="8" w:space="0"/>
            <w:insideH w:val="single" w:color="B8C7D9" w:sz="8" w:space="0"/>
            <w:insideV w:val="single" w:color="B8C7D9" w:sz="8" w:space="0"/>
          </w:tblBorders>
          <w:tblCellMar>
            <w:top w:w="0" w:type="dxa"/>
            <w:left w:w="108" w:type="dxa"/>
            <w:bottom w:w="0" w:type="dxa"/>
            <w:right w:w="108" w:type="dxa"/>
          </w:tblCellMar>
        </w:tblPrEx>
        <w:trPr>
          <w:jc w:val="center"/>
        </w:trPr>
        <w:tc>
          <w:tcPr>
            <w:tcW w:w="4592" w:type="dxa"/>
            <w:shd w:val="clear" w:color="auto" w:fill="FFFFFF"/>
            <w:tcMar>
              <w:top w:w="120" w:type="dxa"/>
              <w:left w:w="120" w:type="dxa"/>
              <w:bottom w:w="120" w:type="dxa"/>
              <w:right w:w="120" w:type="dxa"/>
            </w:tcMar>
            <w:vAlign w:val="center"/>
          </w:tcPr>
          <w:p w14:paraId="7BCD3061">
            <w:pPr>
              <w:spacing w:before="0" w:after="0" w:line="276" w:lineRule="auto"/>
              <w:jc w:val="left"/>
              <w:rPr>
                <w:rFonts w:hint="default" w:ascii="Times New Roman" w:hAnsi="Times New Roman" w:eastAsia="宋体" w:cs="Times New Roman"/>
              </w:rPr>
            </w:pPr>
            <w:r>
              <w:rPr>
                <w:rFonts w:hint="default" w:ascii="Times New Roman" w:hAnsi="Times New Roman" w:eastAsia="宋体" w:cs="Times New Roman"/>
                <w:b w:val="0"/>
                <w:i w:val="0"/>
                <w:sz w:val="20"/>
              </w:rPr>
              <w:t>其他活动性感染性肺病</w:t>
            </w:r>
          </w:p>
        </w:tc>
        <w:tc>
          <w:tcPr>
            <w:tcW w:w="4592" w:type="dxa"/>
            <w:shd w:val="clear" w:color="auto" w:fill="FFFFFF"/>
            <w:tcMar>
              <w:top w:w="120" w:type="dxa"/>
              <w:left w:w="120" w:type="dxa"/>
              <w:bottom w:w="120" w:type="dxa"/>
              <w:right w:w="120" w:type="dxa"/>
            </w:tcMar>
            <w:vAlign w:val="center"/>
          </w:tcPr>
          <w:p w14:paraId="72CA2844">
            <w:pPr>
              <w:spacing w:before="0" w:after="0" w:line="276" w:lineRule="auto"/>
              <w:jc w:val="center"/>
              <w:rPr>
                <w:rFonts w:hint="default" w:ascii="Times New Roman" w:hAnsi="Times New Roman" w:eastAsia="宋体" w:cs="Times New Roman"/>
              </w:rPr>
            </w:pPr>
            <w:r>
              <w:rPr>
                <w:rFonts w:hint="default" w:ascii="Times New Roman" w:hAnsi="Times New Roman" w:eastAsia="宋体" w:cs="Times New Roman"/>
                <w:b w:val="0"/>
                <w:i w:val="0"/>
                <w:sz w:val="20"/>
              </w:rPr>
              <w:t>220</w:t>
            </w:r>
          </w:p>
        </w:tc>
      </w:tr>
      <w:tr w14:paraId="433EAECA">
        <w:tblPrEx>
          <w:tblBorders>
            <w:top w:val="single" w:color="B8C7D9" w:sz="8" w:space="0"/>
            <w:left w:val="single" w:color="B8C7D9" w:sz="8" w:space="0"/>
            <w:bottom w:val="single" w:color="B8C7D9" w:sz="8" w:space="0"/>
            <w:right w:val="single" w:color="B8C7D9" w:sz="8" w:space="0"/>
            <w:insideH w:val="single" w:color="B8C7D9" w:sz="8" w:space="0"/>
            <w:insideV w:val="single" w:color="B8C7D9" w:sz="8" w:space="0"/>
          </w:tblBorders>
          <w:tblCellMar>
            <w:top w:w="0" w:type="dxa"/>
            <w:left w:w="108" w:type="dxa"/>
            <w:bottom w:w="0" w:type="dxa"/>
            <w:right w:w="108" w:type="dxa"/>
          </w:tblCellMar>
        </w:tblPrEx>
        <w:trPr>
          <w:jc w:val="center"/>
        </w:trPr>
        <w:tc>
          <w:tcPr>
            <w:tcW w:w="4592" w:type="dxa"/>
            <w:shd w:val="clear" w:color="auto" w:fill="FAFCFE"/>
            <w:tcMar>
              <w:top w:w="120" w:type="dxa"/>
              <w:left w:w="120" w:type="dxa"/>
              <w:bottom w:w="120" w:type="dxa"/>
              <w:right w:w="120" w:type="dxa"/>
            </w:tcMar>
            <w:vAlign w:val="center"/>
          </w:tcPr>
          <w:p w14:paraId="0FCEA2B9">
            <w:pPr>
              <w:spacing w:before="0" w:after="0" w:line="276" w:lineRule="auto"/>
              <w:jc w:val="left"/>
              <w:rPr>
                <w:rFonts w:hint="default" w:ascii="Times New Roman" w:hAnsi="Times New Roman" w:eastAsia="宋体" w:cs="Times New Roman"/>
              </w:rPr>
            </w:pPr>
            <w:r>
              <w:rPr>
                <w:rFonts w:hint="default" w:ascii="Times New Roman" w:hAnsi="Times New Roman" w:eastAsia="宋体" w:cs="Times New Roman"/>
                <w:b w:val="0"/>
                <w:i w:val="0"/>
                <w:sz w:val="20"/>
              </w:rPr>
              <w:t>稳定期非感染性肺病</w:t>
            </w:r>
          </w:p>
        </w:tc>
        <w:tc>
          <w:tcPr>
            <w:tcW w:w="4592" w:type="dxa"/>
            <w:shd w:val="clear" w:color="auto" w:fill="FAFCFE"/>
            <w:tcMar>
              <w:top w:w="120" w:type="dxa"/>
              <w:left w:w="120" w:type="dxa"/>
              <w:bottom w:w="120" w:type="dxa"/>
              <w:right w:w="120" w:type="dxa"/>
            </w:tcMar>
            <w:vAlign w:val="center"/>
          </w:tcPr>
          <w:p w14:paraId="5EEF179D">
            <w:pPr>
              <w:spacing w:before="0" w:after="0" w:line="276" w:lineRule="auto"/>
              <w:jc w:val="center"/>
              <w:rPr>
                <w:rFonts w:hint="default" w:ascii="Times New Roman" w:hAnsi="Times New Roman" w:eastAsia="宋体" w:cs="Times New Roman"/>
              </w:rPr>
            </w:pPr>
            <w:r>
              <w:rPr>
                <w:rFonts w:hint="default" w:ascii="Times New Roman" w:hAnsi="Times New Roman" w:eastAsia="宋体" w:cs="Times New Roman"/>
                <w:b w:val="0"/>
                <w:i w:val="0"/>
                <w:sz w:val="20"/>
              </w:rPr>
              <w:t>160</w:t>
            </w:r>
          </w:p>
        </w:tc>
      </w:tr>
      <w:tr w14:paraId="0F85CA0F">
        <w:tblPrEx>
          <w:tblBorders>
            <w:top w:val="single" w:color="B8C7D9" w:sz="8" w:space="0"/>
            <w:left w:val="single" w:color="B8C7D9" w:sz="8" w:space="0"/>
            <w:bottom w:val="single" w:color="B8C7D9" w:sz="8" w:space="0"/>
            <w:right w:val="single" w:color="B8C7D9" w:sz="8" w:space="0"/>
            <w:insideH w:val="single" w:color="B8C7D9" w:sz="8" w:space="0"/>
            <w:insideV w:val="single" w:color="B8C7D9" w:sz="8" w:space="0"/>
          </w:tblBorders>
          <w:tblCellMar>
            <w:top w:w="0" w:type="dxa"/>
            <w:left w:w="108" w:type="dxa"/>
            <w:bottom w:w="0" w:type="dxa"/>
            <w:right w:w="108" w:type="dxa"/>
          </w:tblCellMar>
        </w:tblPrEx>
        <w:trPr>
          <w:jc w:val="center"/>
        </w:trPr>
        <w:tc>
          <w:tcPr>
            <w:tcW w:w="4592" w:type="dxa"/>
            <w:shd w:val="clear" w:color="auto" w:fill="FFFFFF"/>
            <w:tcMar>
              <w:top w:w="120" w:type="dxa"/>
              <w:left w:w="120" w:type="dxa"/>
              <w:bottom w:w="120" w:type="dxa"/>
              <w:right w:w="120" w:type="dxa"/>
            </w:tcMar>
            <w:vAlign w:val="center"/>
          </w:tcPr>
          <w:p w14:paraId="332AD245">
            <w:pPr>
              <w:spacing w:before="0" w:after="0" w:line="276" w:lineRule="auto"/>
              <w:jc w:val="left"/>
              <w:rPr>
                <w:rFonts w:hint="default" w:ascii="Times New Roman" w:hAnsi="Times New Roman" w:eastAsia="宋体" w:cs="Times New Roman"/>
              </w:rPr>
            </w:pPr>
            <w:r>
              <w:rPr>
                <w:rFonts w:hint="default" w:ascii="Times New Roman" w:hAnsi="Times New Roman" w:eastAsia="宋体" w:cs="Times New Roman"/>
                <w:b w:val="0"/>
                <w:i w:val="0"/>
                <w:sz w:val="20"/>
              </w:rPr>
              <w:t>肺癌</w:t>
            </w:r>
          </w:p>
        </w:tc>
        <w:tc>
          <w:tcPr>
            <w:tcW w:w="4592" w:type="dxa"/>
            <w:shd w:val="clear" w:color="auto" w:fill="FFFFFF"/>
            <w:tcMar>
              <w:top w:w="120" w:type="dxa"/>
              <w:left w:w="120" w:type="dxa"/>
              <w:bottom w:w="120" w:type="dxa"/>
              <w:right w:w="120" w:type="dxa"/>
            </w:tcMar>
            <w:vAlign w:val="center"/>
          </w:tcPr>
          <w:p w14:paraId="5B5CE631">
            <w:pPr>
              <w:spacing w:before="0" w:after="0" w:line="276" w:lineRule="auto"/>
              <w:jc w:val="center"/>
              <w:rPr>
                <w:rFonts w:hint="default" w:ascii="Times New Roman" w:hAnsi="Times New Roman" w:eastAsia="宋体" w:cs="Times New Roman"/>
              </w:rPr>
            </w:pPr>
            <w:r>
              <w:rPr>
                <w:rFonts w:hint="default" w:ascii="Times New Roman" w:hAnsi="Times New Roman" w:eastAsia="宋体" w:cs="Times New Roman"/>
                <w:b w:val="0"/>
                <w:i w:val="0"/>
                <w:sz w:val="20"/>
              </w:rPr>
              <w:t>90</w:t>
            </w:r>
          </w:p>
        </w:tc>
      </w:tr>
      <w:tr w14:paraId="6C284298">
        <w:tblPrEx>
          <w:tblBorders>
            <w:top w:val="single" w:color="B8C7D9" w:sz="8" w:space="0"/>
            <w:left w:val="single" w:color="B8C7D9" w:sz="8" w:space="0"/>
            <w:bottom w:val="single" w:color="B8C7D9" w:sz="8" w:space="0"/>
            <w:right w:val="single" w:color="B8C7D9" w:sz="8" w:space="0"/>
            <w:insideH w:val="single" w:color="B8C7D9" w:sz="8" w:space="0"/>
            <w:insideV w:val="single" w:color="B8C7D9" w:sz="8" w:space="0"/>
          </w:tblBorders>
          <w:tblCellMar>
            <w:top w:w="0" w:type="dxa"/>
            <w:left w:w="108" w:type="dxa"/>
            <w:bottom w:w="0" w:type="dxa"/>
            <w:right w:w="108" w:type="dxa"/>
          </w:tblCellMar>
        </w:tblPrEx>
        <w:trPr>
          <w:jc w:val="center"/>
        </w:trPr>
        <w:tc>
          <w:tcPr>
            <w:tcW w:w="4592" w:type="dxa"/>
            <w:shd w:val="clear" w:color="auto" w:fill="FAFCFE"/>
            <w:tcMar>
              <w:top w:w="120" w:type="dxa"/>
              <w:left w:w="120" w:type="dxa"/>
              <w:bottom w:w="120" w:type="dxa"/>
              <w:right w:w="120" w:type="dxa"/>
            </w:tcMar>
            <w:vAlign w:val="center"/>
          </w:tcPr>
          <w:p w14:paraId="4AD53D42">
            <w:pPr>
              <w:spacing w:before="0" w:after="0" w:line="276" w:lineRule="auto"/>
              <w:jc w:val="left"/>
              <w:rPr>
                <w:rFonts w:hint="default" w:ascii="Times New Roman" w:hAnsi="Times New Roman" w:eastAsia="宋体" w:cs="Times New Roman"/>
              </w:rPr>
            </w:pPr>
            <w:r>
              <w:rPr>
                <w:rFonts w:hint="default" w:ascii="Times New Roman" w:hAnsi="Times New Roman" w:eastAsia="宋体" w:cs="Times New Roman"/>
                <w:b w:val="0"/>
                <w:i w:val="0"/>
                <w:sz w:val="20"/>
              </w:rPr>
              <w:t>健康对照</w:t>
            </w:r>
          </w:p>
        </w:tc>
        <w:tc>
          <w:tcPr>
            <w:tcW w:w="4592" w:type="dxa"/>
            <w:shd w:val="clear" w:color="auto" w:fill="FAFCFE"/>
            <w:tcMar>
              <w:top w:w="120" w:type="dxa"/>
              <w:left w:w="120" w:type="dxa"/>
              <w:bottom w:w="120" w:type="dxa"/>
              <w:right w:w="120" w:type="dxa"/>
            </w:tcMar>
            <w:vAlign w:val="center"/>
          </w:tcPr>
          <w:p w14:paraId="0E10015C">
            <w:pPr>
              <w:spacing w:before="0" w:after="0" w:line="276" w:lineRule="auto"/>
              <w:jc w:val="center"/>
              <w:rPr>
                <w:rFonts w:hint="default" w:ascii="Times New Roman" w:hAnsi="Times New Roman" w:eastAsia="宋体" w:cs="Times New Roman"/>
              </w:rPr>
            </w:pPr>
            <w:r>
              <w:rPr>
                <w:rFonts w:hint="default" w:ascii="Times New Roman" w:hAnsi="Times New Roman" w:eastAsia="宋体" w:cs="Times New Roman"/>
                <w:b w:val="0"/>
                <w:i w:val="0"/>
                <w:sz w:val="20"/>
              </w:rPr>
              <w:t>100</w:t>
            </w:r>
          </w:p>
        </w:tc>
      </w:tr>
      <w:tr w14:paraId="26592570">
        <w:tblPrEx>
          <w:tblBorders>
            <w:top w:val="single" w:color="B8C7D9" w:sz="8" w:space="0"/>
            <w:left w:val="single" w:color="B8C7D9" w:sz="8" w:space="0"/>
            <w:bottom w:val="single" w:color="B8C7D9" w:sz="8" w:space="0"/>
            <w:right w:val="single" w:color="B8C7D9" w:sz="8" w:space="0"/>
            <w:insideH w:val="single" w:color="B8C7D9" w:sz="8" w:space="0"/>
            <w:insideV w:val="single" w:color="B8C7D9" w:sz="8" w:space="0"/>
          </w:tblBorders>
          <w:tblCellMar>
            <w:top w:w="0" w:type="dxa"/>
            <w:left w:w="108" w:type="dxa"/>
            <w:bottom w:w="0" w:type="dxa"/>
            <w:right w:w="108" w:type="dxa"/>
          </w:tblCellMar>
        </w:tblPrEx>
        <w:trPr>
          <w:jc w:val="center"/>
        </w:trPr>
        <w:tc>
          <w:tcPr>
            <w:tcW w:w="4592" w:type="dxa"/>
            <w:shd w:val="clear" w:color="auto" w:fill="FFFFFF"/>
            <w:tcMar>
              <w:top w:w="120" w:type="dxa"/>
              <w:left w:w="120" w:type="dxa"/>
              <w:bottom w:w="120" w:type="dxa"/>
              <w:right w:w="120" w:type="dxa"/>
            </w:tcMar>
            <w:vAlign w:val="center"/>
          </w:tcPr>
          <w:p w14:paraId="399BB30D">
            <w:pPr>
              <w:spacing w:before="0" w:after="0" w:line="276" w:lineRule="auto"/>
              <w:jc w:val="left"/>
              <w:rPr>
                <w:rFonts w:hint="default" w:ascii="Times New Roman" w:hAnsi="Times New Roman" w:eastAsia="宋体" w:cs="Times New Roman"/>
              </w:rPr>
            </w:pPr>
            <w:r>
              <w:rPr>
                <w:rFonts w:hint="default" w:ascii="Times New Roman" w:hAnsi="Times New Roman" w:eastAsia="宋体" w:cs="Times New Roman"/>
                <w:b w:val="0"/>
                <w:i w:val="0"/>
                <w:sz w:val="20"/>
              </w:rPr>
              <w:t>合计</w:t>
            </w:r>
          </w:p>
        </w:tc>
        <w:tc>
          <w:tcPr>
            <w:tcW w:w="4592" w:type="dxa"/>
            <w:shd w:val="clear" w:color="auto" w:fill="FFFFFF"/>
            <w:tcMar>
              <w:top w:w="120" w:type="dxa"/>
              <w:left w:w="120" w:type="dxa"/>
              <w:bottom w:w="120" w:type="dxa"/>
              <w:right w:w="120" w:type="dxa"/>
            </w:tcMar>
            <w:vAlign w:val="center"/>
          </w:tcPr>
          <w:p w14:paraId="6CFD1437">
            <w:pPr>
              <w:spacing w:before="0" w:after="0" w:line="276" w:lineRule="auto"/>
              <w:jc w:val="center"/>
              <w:rPr>
                <w:rFonts w:hint="default" w:ascii="Times New Roman" w:hAnsi="Times New Roman" w:eastAsia="宋体" w:cs="Times New Roman"/>
              </w:rPr>
            </w:pPr>
            <w:r>
              <w:rPr>
                <w:rFonts w:hint="default" w:ascii="Times New Roman" w:hAnsi="Times New Roman" w:eastAsia="宋体" w:cs="Times New Roman"/>
                <w:b w:val="0"/>
                <w:i w:val="0"/>
                <w:sz w:val="20"/>
              </w:rPr>
              <w:t>570</w:t>
            </w:r>
          </w:p>
        </w:tc>
      </w:tr>
    </w:tbl>
    <w:p w14:paraId="1EE3188C">
      <w:pPr>
        <w:pStyle w:val="4"/>
        <w:rPr>
          <w:rFonts w:hint="default" w:ascii="Times New Roman" w:hAnsi="Times New Roman" w:eastAsia="宋体" w:cs="Times New Roman"/>
        </w:rPr>
      </w:pPr>
      <w:r>
        <w:rPr>
          <w:rFonts w:hint="default" w:ascii="Times New Roman" w:hAnsi="Times New Roman" w:eastAsia="宋体" w:cs="Times New Roman"/>
        </w:rPr>
        <w:t>4. 分中心设置与样本分配</w:t>
      </w:r>
    </w:p>
    <w:p w14:paraId="454E2BA9">
      <w:pPr>
        <w:spacing w:before="0" w:after="120" w:line="360" w:lineRule="auto"/>
        <w:ind w:firstLine="420"/>
        <w:rPr>
          <w:rFonts w:hint="default" w:ascii="Times New Roman" w:hAnsi="Times New Roman" w:eastAsia="宋体" w:cs="Times New Roman"/>
        </w:rPr>
      </w:pPr>
      <w:r>
        <w:rPr>
          <w:rFonts w:hint="default" w:ascii="Times New Roman" w:hAnsi="Times New Roman" w:eastAsia="宋体" w:cs="Times New Roman"/>
          <w:b w:val="0"/>
          <w:i w:val="0"/>
          <w:sz w:val="22"/>
        </w:rPr>
        <w:t>分中心选择遵循“结核专科/胸科三级中心 + 大型综合医院呼吸/感染科 + 地市级结核定点/传染病医院”的三级结构，以兼顾病例量、疾病谱和推广代表性。推荐设置 8 个研究中心，样本分配如下。</w:t>
      </w:r>
    </w:p>
    <w:tbl>
      <w:tblPr>
        <w:tblStyle w:val="32"/>
        <w:tblW w:w="0" w:type="auto"/>
        <w:jc w:val="center"/>
        <w:tblBorders>
          <w:top w:val="single" w:color="B8C7D9" w:sz="8" w:space="0"/>
          <w:left w:val="single" w:color="B8C7D9" w:sz="8" w:space="0"/>
          <w:bottom w:val="single" w:color="B8C7D9" w:sz="8" w:space="0"/>
          <w:right w:val="single" w:color="B8C7D9" w:sz="8" w:space="0"/>
          <w:insideH w:val="single" w:color="B8C7D9" w:sz="8" w:space="0"/>
          <w:insideV w:val="single" w:color="B8C7D9" w:sz="8" w:space="0"/>
        </w:tblBorders>
        <w:tblLayout w:type="fixed"/>
        <w:tblCellMar>
          <w:top w:w="0" w:type="dxa"/>
          <w:left w:w="108" w:type="dxa"/>
          <w:bottom w:w="0" w:type="dxa"/>
          <w:right w:w="108" w:type="dxa"/>
        </w:tblCellMar>
      </w:tblPr>
      <w:tblGrid>
        <w:gridCol w:w="1531"/>
        <w:gridCol w:w="1531"/>
        <w:gridCol w:w="1531"/>
        <w:gridCol w:w="1531"/>
        <w:gridCol w:w="1531"/>
        <w:gridCol w:w="1531"/>
      </w:tblGrid>
      <w:tr w14:paraId="51E19E42">
        <w:tblPrEx>
          <w:tblBorders>
            <w:top w:val="single" w:color="B8C7D9" w:sz="8" w:space="0"/>
            <w:left w:val="single" w:color="B8C7D9" w:sz="8" w:space="0"/>
            <w:bottom w:val="single" w:color="B8C7D9" w:sz="8" w:space="0"/>
            <w:right w:val="single" w:color="B8C7D9" w:sz="8" w:space="0"/>
            <w:insideH w:val="single" w:color="B8C7D9" w:sz="8" w:space="0"/>
            <w:insideV w:val="single" w:color="B8C7D9" w:sz="8" w:space="0"/>
          </w:tblBorders>
          <w:tblCellMar>
            <w:top w:w="0" w:type="dxa"/>
            <w:left w:w="108" w:type="dxa"/>
            <w:bottom w:w="0" w:type="dxa"/>
            <w:right w:w="108" w:type="dxa"/>
          </w:tblCellMar>
        </w:tblPrEx>
        <w:trPr>
          <w:tblHeader/>
          <w:jc w:val="center"/>
        </w:trPr>
        <w:tc>
          <w:tcPr>
            <w:tcW w:w="794" w:type="dxa"/>
            <w:shd w:val="clear" w:color="auto" w:fill="DCEAF7"/>
            <w:tcMar>
              <w:top w:w="100" w:type="dxa"/>
              <w:left w:w="100" w:type="dxa"/>
              <w:bottom w:w="100" w:type="dxa"/>
              <w:right w:w="100" w:type="dxa"/>
            </w:tcMar>
            <w:vAlign w:val="center"/>
          </w:tcPr>
          <w:p w14:paraId="7F512DF4">
            <w:pPr>
              <w:spacing w:before="0" w:after="0" w:line="252" w:lineRule="auto"/>
              <w:jc w:val="center"/>
              <w:rPr>
                <w:rFonts w:hint="default" w:ascii="Times New Roman" w:hAnsi="Times New Roman" w:eastAsia="宋体" w:cs="Times New Roman"/>
              </w:rPr>
            </w:pPr>
            <w:r>
              <w:rPr>
                <w:rFonts w:hint="default" w:ascii="Times New Roman" w:hAnsi="Times New Roman" w:eastAsia="宋体" w:cs="Times New Roman"/>
                <w:b/>
                <w:i w:val="0"/>
                <w:sz w:val="19"/>
              </w:rPr>
              <w:t>中心</w:t>
            </w:r>
          </w:p>
        </w:tc>
        <w:tc>
          <w:tcPr>
            <w:tcW w:w="3515" w:type="dxa"/>
            <w:shd w:val="clear" w:color="auto" w:fill="DCEAF7"/>
            <w:tcMar>
              <w:top w:w="100" w:type="dxa"/>
              <w:left w:w="100" w:type="dxa"/>
              <w:bottom w:w="100" w:type="dxa"/>
              <w:right w:w="100" w:type="dxa"/>
            </w:tcMar>
            <w:vAlign w:val="center"/>
          </w:tcPr>
          <w:p w14:paraId="3798DE2B">
            <w:pPr>
              <w:spacing w:before="0" w:after="0" w:line="252" w:lineRule="auto"/>
              <w:jc w:val="center"/>
              <w:rPr>
                <w:rFonts w:hint="default" w:ascii="Times New Roman" w:hAnsi="Times New Roman" w:eastAsia="宋体" w:cs="Times New Roman"/>
              </w:rPr>
            </w:pPr>
            <w:r>
              <w:rPr>
                <w:rFonts w:hint="default" w:ascii="Times New Roman" w:hAnsi="Times New Roman" w:eastAsia="宋体" w:cs="Times New Roman"/>
                <w:b/>
                <w:i w:val="0"/>
                <w:sz w:val="19"/>
              </w:rPr>
              <w:t>类型</w:t>
            </w:r>
          </w:p>
        </w:tc>
        <w:tc>
          <w:tcPr>
            <w:tcW w:w="794" w:type="dxa"/>
            <w:shd w:val="clear" w:color="auto" w:fill="DCEAF7"/>
            <w:tcMar>
              <w:top w:w="100" w:type="dxa"/>
              <w:left w:w="100" w:type="dxa"/>
              <w:bottom w:w="100" w:type="dxa"/>
              <w:right w:w="100" w:type="dxa"/>
            </w:tcMar>
            <w:vAlign w:val="center"/>
          </w:tcPr>
          <w:p w14:paraId="1417699B">
            <w:pPr>
              <w:spacing w:before="0" w:after="0" w:line="252" w:lineRule="auto"/>
              <w:jc w:val="center"/>
              <w:rPr>
                <w:rFonts w:hint="default" w:ascii="Times New Roman" w:hAnsi="Times New Roman" w:eastAsia="宋体" w:cs="Times New Roman"/>
              </w:rPr>
            </w:pPr>
            <w:r>
              <w:rPr>
                <w:rFonts w:hint="default" w:ascii="Times New Roman" w:hAnsi="Times New Roman" w:eastAsia="宋体" w:cs="Times New Roman"/>
                <w:b/>
                <w:i w:val="0"/>
                <w:sz w:val="19"/>
              </w:rPr>
              <w:t>PTB+</w:t>
            </w:r>
          </w:p>
        </w:tc>
        <w:tc>
          <w:tcPr>
            <w:tcW w:w="794" w:type="dxa"/>
            <w:shd w:val="clear" w:color="auto" w:fill="DCEAF7"/>
            <w:tcMar>
              <w:top w:w="100" w:type="dxa"/>
              <w:left w:w="100" w:type="dxa"/>
              <w:bottom w:w="100" w:type="dxa"/>
              <w:right w:w="100" w:type="dxa"/>
            </w:tcMar>
            <w:vAlign w:val="center"/>
          </w:tcPr>
          <w:p w14:paraId="493F0967">
            <w:pPr>
              <w:spacing w:before="0" w:after="0" w:line="252" w:lineRule="auto"/>
              <w:jc w:val="center"/>
              <w:rPr>
                <w:rFonts w:hint="default" w:ascii="Times New Roman" w:hAnsi="Times New Roman" w:eastAsia="宋体" w:cs="Times New Roman"/>
              </w:rPr>
            </w:pPr>
            <w:r>
              <w:rPr>
                <w:rFonts w:hint="default" w:ascii="Times New Roman" w:hAnsi="Times New Roman" w:eastAsia="宋体" w:cs="Times New Roman"/>
                <w:b/>
                <w:i w:val="0"/>
                <w:sz w:val="19"/>
              </w:rPr>
              <w:t>PTB-U</w:t>
            </w:r>
          </w:p>
        </w:tc>
        <w:tc>
          <w:tcPr>
            <w:tcW w:w="964" w:type="dxa"/>
            <w:shd w:val="clear" w:color="auto" w:fill="DCEAF7"/>
            <w:tcMar>
              <w:top w:w="100" w:type="dxa"/>
              <w:left w:w="100" w:type="dxa"/>
              <w:bottom w:w="100" w:type="dxa"/>
              <w:right w:w="100" w:type="dxa"/>
            </w:tcMar>
            <w:vAlign w:val="center"/>
          </w:tcPr>
          <w:p w14:paraId="7BC50CBF">
            <w:pPr>
              <w:spacing w:before="0" w:after="0" w:line="252" w:lineRule="auto"/>
              <w:jc w:val="center"/>
              <w:rPr>
                <w:rFonts w:hint="default" w:ascii="Times New Roman" w:hAnsi="Times New Roman" w:eastAsia="宋体" w:cs="Times New Roman"/>
              </w:rPr>
            </w:pPr>
            <w:r>
              <w:rPr>
                <w:rFonts w:hint="default" w:ascii="Times New Roman" w:hAnsi="Times New Roman" w:eastAsia="宋体" w:cs="Times New Roman"/>
                <w:b/>
                <w:i w:val="0"/>
                <w:sz w:val="19"/>
              </w:rPr>
              <w:t>non-TB</w:t>
            </w:r>
          </w:p>
        </w:tc>
        <w:tc>
          <w:tcPr>
            <w:tcW w:w="794" w:type="dxa"/>
            <w:shd w:val="clear" w:color="auto" w:fill="DCEAF7"/>
            <w:tcMar>
              <w:top w:w="100" w:type="dxa"/>
              <w:left w:w="100" w:type="dxa"/>
              <w:bottom w:w="100" w:type="dxa"/>
              <w:right w:w="100" w:type="dxa"/>
            </w:tcMar>
            <w:vAlign w:val="center"/>
          </w:tcPr>
          <w:p w14:paraId="5E946FDB">
            <w:pPr>
              <w:spacing w:before="0" w:after="0" w:line="252" w:lineRule="auto"/>
              <w:jc w:val="center"/>
              <w:rPr>
                <w:rFonts w:hint="default" w:ascii="Times New Roman" w:hAnsi="Times New Roman" w:eastAsia="宋体" w:cs="Times New Roman"/>
              </w:rPr>
            </w:pPr>
            <w:r>
              <w:rPr>
                <w:rFonts w:hint="default" w:ascii="Times New Roman" w:hAnsi="Times New Roman" w:eastAsia="宋体" w:cs="Times New Roman"/>
                <w:b/>
                <w:i w:val="0"/>
                <w:sz w:val="19"/>
              </w:rPr>
              <w:t>合计</w:t>
            </w:r>
          </w:p>
        </w:tc>
      </w:tr>
      <w:tr w14:paraId="5770B40F">
        <w:tblPrEx>
          <w:tblBorders>
            <w:top w:val="single" w:color="B8C7D9" w:sz="8" w:space="0"/>
            <w:left w:val="single" w:color="B8C7D9" w:sz="8" w:space="0"/>
            <w:bottom w:val="single" w:color="B8C7D9" w:sz="8" w:space="0"/>
            <w:right w:val="single" w:color="B8C7D9" w:sz="8" w:space="0"/>
            <w:insideH w:val="single" w:color="B8C7D9" w:sz="8" w:space="0"/>
            <w:insideV w:val="single" w:color="B8C7D9" w:sz="8" w:space="0"/>
          </w:tblBorders>
          <w:tblCellMar>
            <w:top w:w="0" w:type="dxa"/>
            <w:left w:w="108" w:type="dxa"/>
            <w:bottom w:w="0" w:type="dxa"/>
            <w:right w:w="108" w:type="dxa"/>
          </w:tblCellMar>
        </w:tblPrEx>
        <w:trPr>
          <w:jc w:val="center"/>
        </w:trPr>
        <w:tc>
          <w:tcPr>
            <w:tcW w:w="1531" w:type="dxa"/>
            <w:shd w:val="clear" w:color="auto" w:fill="FFFFFF"/>
            <w:tcMar>
              <w:top w:w="90" w:type="dxa"/>
              <w:left w:w="90" w:type="dxa"/>
              <w:bottom w:w="90" w:type="dxa"/>
              <w:right w:w="90" w:type="dxa"/>
            </w:tcMar>
            <w:vAlign w:val="center"/>
          </w:tcPr>
          <w:p w14:paraId="5A1FEF6E">
            <w:pPr>
              <w:spacing w:before="0" w:after="0" w:line="252" w:lineRule="auto"/>
              <w:jc w:val="center"/>
              <w:rPr>
                <w:rFonts w:hint="default" w:ascii="Times New Roman" w:hAnsi="Times New Roman" w:eastAsia="宋体" w:cs="Times New Roman"/>
              </w:rPr>
            </w:pPr>
            <w:r>
              <w:rPr>
                <w:rFonts w:hint="default" w:ascii="Times New Roman" w:hAnsi="Times New Roman" w:eastAsia="宋体" w:cs="Times New Roman"/>
                <w:b w:val="0"/>
                <w:i w:val="0"/>
                <w:sz w:val="18"/>
              </w:rPr>
              <w:t>中心1</w:t>
            </w:r>
          </w:p>
        </w:tc>
        <w:tc>
          <w:tcPr>
            <w:tcW w:w="1531" w:type="dxa"/>
            <w:shd w:val="clear" w:color="auto" w:fill="FFFFFF"/>
            <w:tcMar>
              <w:top w:w="90" w:type="dxa"/>
              <w:left w:w="90" w:type="dxa"/>
              <w:bottom w:w="90" w:type="dxa"/>
              <w:right w:w="90" w:type="dxa"/>
            </w:tcMar>
            <w:vAlign w:val="center"/>
          </w:tcPr>
          <w:p w14:paraId="0C26137B">
            <w:pPr>
              <w:spacing w:before="0" w:after="0" w:line="252" w:lineRule="auto"/>
              <w:jc w:val="left"/>
              <w:rPr>
                <w:rFonts w:hint="default" w:ascii="Times New Roman" w:hAnsi="Times New Roman" w:eastAsia="宋体" w:cs="Times New Roman"/>
              </w:rPr>
            </w:pPr>
            <w:r>
              <w:rPr>
                <w:rFonts w:hint="default" w:ascii="Times New Roman" w:hAnsi="Times New Roman" w:eastAsia="宋体" w:cs="Times New Roman"/>
                <w:b w:val="0"/>
                <w:i w:val="0"/>
                <w:sz w:val="18"/>
              </w:rPr>
              <w:t>国家/省级结核专科牵头中心</w:t>
            </w:r>
          </w:p>
        </w:tc>
        <w:tc>
          <w:tcPr>
            <w:tcW w:w="1531" w:type="dxa"/>
            <w:shd w:val="clear" w:color="auto" w:fill="FFFFFF"/>
            <w:tcMar>
              <w:top w:w="90" w:type="dxa"/>
              <w:left w:w="90" w:type="dxa"/>
              <w:bottom w:w="90" w:type="dxa"/>
              <w:right w:w="90" w:type="dxa"/>
            </w:tcMar>
            <w:vAlign w:val="center"/>
          </w:tcPr>
          <w:p w14:paraId="11E3251A">
            <w:pPr>
              <w:spacing w:before="0" w:after="0" w:line="252" w:lineRule="auto"/>
              <w:jc w:val="center"/>
              <w:rPr>
                <w:rFonts w:hint="default" w:ascii="Times New Roman" w:hAnsi="Times New Roman" w:eastAsia="宋体" w:cs="Times New Roman"/>
              </w:rPr>
            </w:pPr>
            <w:r>
              <w:rPr>
                <w:rFonts w:hint="default" w:ascii="Times New Roman" w:hAnsi="Times New Roman" w:eastAsia="宋体" w:cs="Times New Roman"/>
                <w:b w:val="0"/>
                <w:i w:val="0"/>
                <w:sz w:val="18"/>
              </w:rPr>
              <w:t>80</w:t>
            </w:r>
          </w:p>
        </w:tc>
        <w:tc>
          <w:tcPr>
            <w:tcW w:w="1531" w:type="dxa"/>
            <w:shd w:val="clear" w:color="auto" w:fill="FFFFFF"/>
            <w:tcMar>
              <w:top w:w="90" w:type="dxa"/>
              <w:left w:w="90" w:type="dxa"/>
              <w:bottom w:w="90" w:type="dxa"/>
              <w:right w:w="90" w:type="dxa"/>
            </w:tcMar>
            <w:vAlign w:val="center"/>
          </w:tcPr>
          <w:p w14:paraId="7358CFCA">
            <w:pPr>
              <w:spacing w:before="0" w:after="0" w:line="252" w:lineRule="auto"/>
              <w:jc w:val="center"/>
              <w:rPr>
                <w:rFonts w:hint="default" w:ascii="Times New Roman" w:hAnsi="Times New Roman" w:eastAsia="宋体" w:cs="Times New Roman"/>
              </w:rPr>
            </w:pPr>
            <w:r>
              <w:rPr>
                <w:rFonts w:hint="default" w:ascii="Times New Roman" w:hAnsi="Times New Roman" w:eastAsia="宋体" w:cs="Times New Roman"/>
                <w:b w:val="0"/>
                <w:i w:val="0"/>
                <w:sz w:val="18"/>
              </w:rPr>
              <w:t>50</w:t>
            </w:r>
          </w:p>
        </w:tc>
        <w:tc>
          <w:tcPr>
            <w:tcW w:w="1531" w:type="dxa"/>
            <w:shd w:val="clear" w:color="auto" w:fill="FFFFFF"/>
            <w:tcMar>
              <w:top w:w="90" w:type="dxa"/>
              <w:left w:w="90" w:type="dxa"/>
              <w:bottom w:w="90" w:type="dxa"/>
              <w:right w:w="90" w:type="dxa"/>
            </w:tcMar>
            <w:vAlign w:val="center"/>
          </w:tcPr>
          <w:p w14:paraId="570E418F">
            <w:pPr>
              <w:spacing w:before="0" w:after="0" w:line="252" w:lineRule="auto"/>
              <w:jc w:val="center"/>
              <w:rPr>
                <w:rFonts w:hint="default" w:ascii="Times New Roman" w:hAnsi="Times New Roman" w:eastAsia="宋体" w:cs="Times New Roman"/>
              </w:rPr>
            </w:pPr>
            <w:r>
              <w:rPr>
                <w:rFonts w:hint="default" w:ascii="Times New Roman" w:hAnsi="Times New Roman" w:eastAsia="宋体" w:cs="Times New Roman"/>
                <w:b w:val="0"/>
                <w:i w:val="0"/>
                <w:sz w:val="18"/>
              </w:rPr>
              <w:t>90</w:t>
            </w:r>
          </w:p>
        </w:tc>
        <w:tc>
          <w:tcPr>
            <w:tcW w:w="1531" w:type="dxa"/>
            <w:shd w:val="clear" w:color="auto" w:fill="FFFFFF"/>
            <w:tcMar>
              <w:top w:w="90" w:type="dxa"/>
              <w:left w:w="90" w:type="dxa"/>
              <w:bottom w:w="90" w:type="dxa"/>
              <w:right w:w="90" w:type="dxa"/>
            </w:tcMar>
            <w:vAlign w:val="center"/>
          </w:tcPr>
          <w:p w14:paraId="50370075">
            <w:pPr>
              <w:spacing w:before="0" w:after="0" w:line="252" w:lineRule="auto"/>
              <w:jc w:val="center"/>
              <w:rPr>
                <w:rFonts w:hint="default" w:ascii="Times New Roman" w:hAnsi="Times New Roman" w:eastAsia="宋体" w:cs="Times New Roman"/>
              </w:rPr>
            </w:pPr>
            <w:r>
              <w:rPr>
                <w:rFonts w:hint="default" w:ascii="Times New Roman" w:hAnsi="Times New Roman" w:eastAsia="宋体" w:cs="Times New Roman"/>
                <w:b w:val="0"/>
                <w:i w:val="0"/>
                <w:sz w:val="18"/>
              </w:rPr>
              <w:t>220</w:t>
            </w:r>
          </w:p>
        </w:tc>
      </w:tr>
      <w:tr w14:paraId="46265140">
        <w:tblPrEx>
          <w:tblBorders>
            <w:top w:val="single" w:color="B8C7D9" w:sz="8" w:space="0"/>
            <w:left w:val="single" w:color="B8C7D9" w:sz="8" w:space="0"/>
            <w:bottom w:val="single" w:color="B8C7D9" w:sz="8" w:space="0"/>
            <w:right w:val="single" w:color="B8C7D9" w:sz="8" w:space="0"/>
            <w:insideH w:val="single" w:color="B8C7D9" w:sz="8" w:space="0"/>
            <w:insideV w:val="single" w:color="B8C7D9" w:sz="8" w:space="0"/>
          </w:tblBorders>
          <w:tblCellMar>
            <w:top w:w="0" w:type="dxa"/>
            <w:left w:w="108" w:type="dxa"/>
            <w:bottom w:w="0" w:type="dxa"/>
            <w:right w:w="108" w:type="dxa"/>
          </w:tblCellMar>
        </w:tblPrEx>
        <w:trPr>
          <w:jc w:val="center"/>
        </w:trPr>
        <w:tc>
          <w:tcPr>
            <w:tcW w:w="1531" w:type="dxa"/>
            <w:shd w:val="clear" w:color="auto" w:fill="FAFCFE"/>
            <w:tcMar>
              <w:top w:w="90" w:type="dxa"/>
              <w:left w:w="90" w:type="dxa"/>
              <w:bottom w:w="90" w:type="dxa"/>
              <w:right w:w="90" w:type="dxa"/>
            </w:tcMar>
            <w:vAlign w:val="center"/>
          </w:tcPr>
          <w:p w14:paraId="534375DF">
            <w:pPr>
              <w:spacing w:before="0" w:after="0" w:line="252" w:lineRule="auto"/>
              <w:jc w:val="center"/>
              <w:rPr>
                <w:rFonts w:hint="default" w:ascii="Times New Roman" w:hAnsi="Times New Roman" w:eastAsia="宋体" w:cs="Times New Roman"/>
              </w:rPr>
            </w:pPr>
            <w:r>
              <w:rPr>
                <w:rFonts w:hint="default" w:ascii="Times New Roman" w:hAnsi="Times New Roman" w:eastAsia="宋体" w:cs="Times New Roman"/>
                <w:b w:val="0"/>
                <w:i w:val="0"/>
                <w:sz w:val="18"/>
              </w:rPr>
              <w:t>中心2</w:t>
            </w:r>
          </w:p>
        </w:tc>
        <w:tc>
          <w:tcPr>
            <w:tcW w:w="1531" w:type="dxa"/>
            <w:shd w:val="clear" w:color="auto" w:fill="FAFCFE"/>
            <w:tcMar>
              <w:top w:w="90" w:type="dxa"/>
              <w:left w:w="90" w:type="dxa"/>
              <w:bottom w:w="90" w:type="dxa"/>
              <w:right w:w="90" w:type="dxa"/>
            </w:tcMar>
            <w:vAlign w:val="center"/>
          </w:tcPr>
          <w:p w14:paraId="02BDE6C9">
            <w:pPr>
              <w:spacing w:before="0" w:after="0" w:line="252" w:lineRule="auto"/>
              <w:jc w:val="left"/>
              <w:rPr>
                <w:rFonts w:hint="default" w:ascii="Times New Roman" w:hAnsi="Times New Roman" w:eastAsia="宋体" w:cs="Times New Roman"/>
              </w:rPr>
            </w:pPr>
            <w:r>
              <w:rPr>
                <w:rFonts w:hint="default" w:ascii="Times New Roman" w:hAnsi="Times New Roman" w:eastAsia="宋体" w:cs="Times New Roman"/>
                <w:b w:val="0"/>
                <w:i w:val="0"/>
                <w:sz w:val="18"/>
              </w:rPr>
              <w:t>省级结核/胸科医院</w:t>
            </w:r>
          </w:p>
        </w:tc>
        <w:tc>
          <w:tcPr>
            <w:tcW w:w="1531" w:type="dxa"/>
            <w:shd w:val="clear" w:color="auto" w:fill="FAFCFE"/>
            <w:tcMar>
              <w:top w:w="90" w:type="dxa"/>
              <w:left w:w="90" w:type="dxa"/>
              <w:bottom w:w="90" w:type="dxa"/>
              <w:right w:w="90" w:type="dxa"/>
            </w:tcMar>
            <w:vAlign w:val="center"/>
          </w:tcPr>
          <w:p w14:paraId="53FCCBA2">
            <w:pPr>
              <w:spacing w:before="0" w:after="0" w:line="252" w:lineRule="auto"/>
              <w:jc w:val="center"/>
              <w:rPr>
                <w:rFonts w:hint="default" w:ascii="Times New Roman" w:hAnsi="Times New Roman" w:eastAsia="宋体" w:cs="Times New Roman"/>
              </w:rPr>
            </w:pPr>
            <w:r>
              <w:rPr>
                <w:rFonts w:hint="default" w:ascii="Times New Roman" w:hAnsi="Times New Roman" w:eastAsia="宋体" w:cs="Times New Roman"/>
                <w:b w:val="0"/>
                <w:i w:val="0"/>
                <w:sz w:val="18"/>
              </w:rPr>
              <w:t>60</w:t>
            </w:r>
          </w:p>
        </w:tc>
        <w:tc>
          <w:tcPr>
            <w:tcW w:w="1531" w:type="dxa"/>
            <w:shd w:val="clear" w:color="auto" w:fill="FAFCFE"/>
            <w:tcMar>
              <w:top w:w="90" w:type="dxa"/>
              <w:left w:w="90" w:type="dxa"/>
              <w:bottom w:w="90" w:type="dxa"/>
              <w:right w:w="90" w:type="dxa"/>
            </w:tcMar>
            <w:vAlign w:val="center"/>
          </w:tcPr>
          <w:p w14:paraId="22C04054">
            <w:pPr>
              <w:spacing w:before="0" w:after="0" w:line="252" w:lineRule="auto"/>
              <w:jc w:val="center"/>
              <w:rPr>
                <w:rFonts w:hint="default" w:ascii="Times New Roman" w:hAnsi="Times New Roman" w:eastAsia="宋体" w:cs="Times New Roman"/>
              </w:rPr>
            </w:pPr>
            <w:r>
              <w:rPr>
                <w:rFonts w:hint="default" w:ascii="Times New Roman" w:hAnsi="Times New Roman" w:eastAsia="宋体" w:cs="Times New Roman"/>
                <w:b w:val="0"/>
                <w:i w:val="0"/>
                <w:sz w:val="18"/>
              </w:rPr>
              <w:t>35</w:t>
            </w:r>
          </w:p>
        </w:tc>
        <w:tc>
          <w:tcPr>
            <w:tcW w:w="1531" w:type="dxa"/>
            <w:shd w:val="clear" w:color="auto" w:fill="FAFCFE"/>
            <w:tcMar>
              <w:top w:w="90" w:type="dxa"/>
              <w:left w:w="90" w:type="dxa"/>
              <w:bottom w:w="90" w:type="dxa"/>
              <w:right w:w="90" w:type="dxa"/>
            </w:tcMar>
            <w:vAlign w:val="center"/>
          </w:tcPr>
          <w:p w14:paraId="422F237C">
            <w:pPr>
              <w:spacing w:before="0" w:after="0" w:line="252" w:lineRule="auto"/>
              <w:jc w:val="center"/>
              <w:rPr>
                <w:rFonts w:hint="default" w:ascii="Times New Roman" w:hAnsi="Times New Roman" w:eastAsia="宋体" w:cs="Times New Roman"/>
              </w:rPr>
            </w:pPr>
            <w:r>
              <w:rPr>
                <w:rFonts w:hint="default" w:ascii="Times New Roman" w:hAnsi="Times New Roman" w:eastAsia="宋体" w:cs="Times New Roman"/>
                <w:b w:val="0"/>
                <w:i w:val="0"/>
                <w:sz w:val="18"/>
              </w:rPr>
              <w:t>75</w:t>
            </w:r>
          </w:p>
        </w:tc>
        <w:tc>
          <w:tcPr>
            <w:tcW w:w="1531" w:type="dxa"/>
            <w:shd w:val="clear" w:color="auto" w:fill="FAFCFE"/>
            <w:tcMar>
              <w:top w:w="90" w:type="dxa"/>
              <w:left w:w="90" w:type="dxa"/>
              <w:bottom w:w="90" w:type="dxa"/>
              <w:right w:w="90" w:type="dxa"/>
            </w:tcMar>
            <w:vAlign w:val="center"/>
          </w:tcPr>
          <w:p w14:paraId="0CC9C06B">
            <w:pPr>
              <w:spacing w:before="0" w:after="0" w:line="252" w:lineRule="auto"/>
              <w:jc w:val="center"/>
              <w:rPr>
                <w:rFonts w:hint="default" w:ascii="Times New Roman" w:hAnsi="Times New Roman" w:eastAsia="宋体" w:cs="Times New Roman"/>
              </w:rPr>
            </w:pPr>
            <w:r>
              <w:rPr>
                <w:rFonts w:hint="default" w:ascii="Times New Roman" w:hAnsi="Times New Roman" w:eastAsia="宋体" w:cs="Times New Roman"/>
                <w:b w:val="0"/>
                <w:i w:val="0"/>
                <w:sz w:val="18"/>
              </w:rPr>
              <w:t>170</w:t>
            </w:r>
          </w:p>
        </w:tc>
      </w:tr>
      <w:tr w14:paraId="6E09B0B4">
        <w:tblPrEx>
          <w:tblBorders>
            <w:top w:val="single" w:color="B8C7D9" w:sz="8" w:space="0"/>
            <w:left w:val="single" w:color="B8C7D9" w:sz="8" w:space="0"/>
            <w:bottom w:val="single" w:color="B8C7D9" w:sz="8" w:space="0"/>
            <w:right w:val="single" w:color="B8C7D9" w:sz="8" w:space="0"/>
            <w:insideH w:val="single" w:color="B8C7D9" w:sz="8" w:space="0"/>
            <w:insideV w:val="single" w:color="B8C7D9" w:sz="8" w:space="0"/>
          </w:tblBorders>
          <w:tblCellMar>
            <w:top w:w="0" w:type="dxa"/>
            <w:left w:w="108" w:type="dxa"/>
            <w:bottom w:w="0" w:type="dxa"/>
            <w:right w:w="108" w:type="dxa"/>
          </w:tblCellMar>
        </w:tblPrEx>
        <w:trPr>
          <w:jc w:val="center"/>
        </w:trPr>
        <w:tc>
          <w:tcPr>
            <w:tcW w:w="1531" w:type="dxa"/>
            <w:shd w:val="clear" w:color="auto" w:fill="FFFFFF"/>
            <w:tcMar>
              <w:top w:w="90" w:type="dxa"/>
              <w:left w:w="90" w:type="dxa"/>
              <w:bottom w:w="90" w:type="dxa"/>
              <w:right w:w="90" w:type="dxa"/>
            </w:tcMar>
            <w:vAlign w:val="center"/>
          </w:tcPr>
          <w:p w14:paraId="51BA55C3">
            <w:pPr>
              <w:spacing w:before="0" w:after="0" w:line="252" w:lineRule="auto"/>
              <w:jc w:val="center"/>
              <w:rPr>
                <w:rFonts w:hint="default" w:ascii="Times New Roman" w:hAnsi="Times New Roman" w:eastAsia="宋体" w:cs="Times New Roman"/>
              </w:rPr>
            </w:pPr>
            <w:r>
              <w:rPr>
                <w:rFonts w:hint="default" w:ascii="Times New Roman" w:hAnsi="Times New Roman" w:eastAsia="宋体" w:cs="Times New Roman"/>
                <w:b w:val="0"/>
                <w:i w:val="0"/>
                <w:sz w:val="18"/>
              </w:rPr>
              <w:t>中心3</w:t>
            </w:r>
          </w:p>
        </w:tc>
        <w:tc>
          <w:tcPr>
            <w:tcW w:w="1531" w:type="dxa"/>
            <w:shd w:val="clear" w:color="auto" w:fill="FFFFFF"/>
            <w:tcMar>
              <w:top w:w="90" w:type="dxa"/>
              <w:left w:w="90" w:type="dxa"/>
              <w:bottom w:w="90" w:type="dxa"/>
              <w:right w:w="90" w:type="dxa"/>
            </w:tcMar>
            <w:vAlign w:val="center"/>
          </w:tcPr>
          <w:p w14:paraId="73CFEC6B">
            <w:pPr>
              <w:spacing w:before="0" w:after="0" w:line="252" w:lineRule="auto"/>
              <w:jc w:val="left"/>
              <w:rPr>
                <w:rFonts w:hint="default" w:ascii="Times New Roman" w:hAnsi="Times New Roman" w:eastAsia="宋体" w:cs="Times New Roman"/>
              </w:rPr>
            </w:pPr>
            <w:r>
              <w:rPr>
                <w:rFonts w:hint="default" w:ascii="Times New Roman" w:hAnsi="Times New Roman" w:eastAsia="宋体" w:cs="Times New Roman"/>
                <w:b w:val="0"/>
                <w:i w:val="0"/>
                <w:sz w:val="18"/>
              </w:rPr>
              <w:t>省级结核/胸科医院</w:t>
            </w:r>
          </w:p>
        </w:tc>
        <w:tc>
          <w:tcPr>
            <w:tcW w:w="1531" w:type="dxa"/>
            <w:shd w:val="clear" w:color="auto" w:fill="FFFFFF"/>
            <w:tcMar>
              <w:top w:w="90" w:type="dxa"/>
              <w:left w:w="90" w:type="dxa"/>
              <w:bottom w:w="90" w:type="dxa"/>
              <w:right w:w="90" w:type="dxa"/>
            </w:tcMar>
            <w:vAlign w:val="center"/>
          </w:tcPr>
          <w:p w14:paraId="2B08F5B7">
            <w:pPr>
              <w:spacing w:before="0" w:after="0" w:line="252" w:lineRule="auto"/>
              <w:jc w:val="center"/>
              <w:rPr>
                <w:rFonts w:hint="default" w:ascii="Times New Roman" w:hAnsi="Times New Roman" w:eastAsia="宋体" w:cs="Times New Roman"/>
              </w:rPr>
            </w:pPr>
            <w:r>
              <w:rPr>
                <w:rFonts w:hint="default" w:ascii="Times New Roman" w:hAnsi="Times New Roman" w:eastAsia="宋体" w:cs="Times New Roman"/>
                <w:b w:val="0"/>
                <w:i w:val="0"/>
                <w:sz w:val="18"/>
              </w:rPr>
              <w:t>60</w:t>
            </w:r>
          </w:p>
        </w:tc>
        <w:tc>
          <w:tcPr>
            <w:tcW w:w="1531" w:type="dxa"/>
            <w:shd w:val="clear" w:color="auto" w:fill="FFFFFF"/>
            <w:tcMar>
              <w:top w:w="90" w:type="dxa"/>
              <w:left w:w="90" w:type="dxa"/>
              <w:bottom w:w="90" w:type="dxa"/>
              <w:right w:w="90" w:type="dxa"/>
            </w:tcMar>
            <w:vAlign w:val="center"/>
          </w:tcPr>
          <w:p w14:paraId="04E17262">
            <w:pPr>
              <w:spacing w:before="0" w:after="0" w:line="252" w:lineRule="auto"/>
              <w:jc w:val="center"/>
              <w:rPr>
                <w:rFonts w:hint="default" w:ascii="Times New Roman" w:hAnsi="Times New Roman" w:eastAsia="宋体" w:cs="Times New Roman"/>
              </w:rPr>
            </w:pPr>
            <w:r>
              <w:rPr>
                <w:rFonts w:hint="default" w:ascii="Times New Roman" w:hAnsi="Times New Roman" w:eastAsia="宋体" w:cs="Times New Roman"/>
                <w:b w:val="0"/>
                <w:i w:val="0"/>
                <w:sz w:val="18"/>
              </w:rPr>
              <w:t>35</w:t>
            </w:r>
          </w:p>
        </w:tc>
        <w:tc>
          <w:tcPr>
            <w:tcW w:w="1531" w:type="dxa"/>
            <w:shd w:val="clear" w:color="auto" w:fill="FFFFFF"/>
            <w:tcMar>
              <w:top w:w="90" w:type="dxa"/>
              <w:left w:w="90" w:type="dxa"/>
              <w:bottom w:w="90" w:type="dxa"/>
              <w:right w:w="90" w:type="dxa"/>
            </w:tcMar>
            <w:vAlign w:val="center"/>
          </w:tcPr>
          <w:p w14:paraId="31EBDE83">
            <w:pPr>
              <w:spacing w:before="0" w:after="0" w:line="252" w:lineRule="auto"/>
              <w:jc w:val="center"/>
              <w:rPr>
                <w:rFonts w:hint="default" w:ascii="Times New Roman" w:hAnsi="Times New Roman" w:eastAsia="宋体" w:cs="Times New Roman"/>
              </w:rPr>
            </w:pPr>
            <w:r>
              <w:rPr>
                <w:rFonts w:hint="default" w:ascii="Times New Roman" w:hAnsi="Times New Roman" w:eastAsia="宋体" w:cs="Times New Roman"/>
                <w:b w:val="0"/>
                <w:i w:val="0"/>
                <w:sz w:val="18"/>
              </w:rPr>
              <w:t>75</w:t>
            </w:r>
          </w:p>
        </w:tc>
        <w:tc>
          <w:tcPr>
            <w:tcW w:w="1531" w:type="dxa"/>
            <w:shd w:val="clear" w:color="auto" w:fill="FFFFFF"/>
            <w:tcMar>
              <w:top w:w="90" w:type="dxa"/>
              <w:left w:w="90" w:type="dxa"/>
              <w:bottom w:w="90" w:type="dxa"/>
              <w:right w:w="90" w:type="dxa"/>
            </w:tcMar>
            <w:vAlign w:val="center"/>
          </w:tcPr>
          <w:p w14:paraId="29D52DFE">
            <w:pPr>
              <w:spacing w:before="0" w:after="0" w:line="252" w:lineRule="auto"/>
              <w:jc w:val="center"/>
              <w:rPr>
                <w:rFonts w:hint="default" w:ascii="Times New Roman" w:hAnsi="Times New Roman" w:eastAsia="宋体" w:cs="Times New Roman"/>
              </w:rPr>
            </w:pPr>
            <w:r>
              <w:rPr>
                <w:rFonts w:hint="default" w:ascii="Times New Roman" w:hAnsi="Times New Roman" w:eastAsia="宋体" w:cs="Times New Roman"/>
                <w:b w:val="0"/>
                <w:i w:val="0"/>
                <w:sz w:val="18"/>
              </w:rPr>
              <w:t>170</w:t>
            </w:r>
          </w:p>
        </w:tc>
      </w:tr>
      <w:tr w14:paraId="64449335">
        <w:tblPrEx>
          <w:tblBorders>
            <w:top w:val="single" w:color="B8C7D9" w:sz="8" w:space="0"/>
            <w:left w:val="single" w:color="B8C7D9" w:sz="8" w:space="0"/>
            <w:bottom w:val="single" w:color="B8C7D9" w:sz="8" w:space="0"/>
            <w:right w:val="single" w:color="B8C7D9" w:sz="8" w:space="0"/>
            <w:insideH w:val="single" w:color="B8C7D9" w:sz="8" w:space="0"/>
            <w:insideV w:val="single" w:color="B8C7D9" w:sz="8" w:space="0"/>
          </w:tblBorders>
          <w:tblCellMar>
            <w:top w:w="0" w:type="dxa"/>
            <w:left w:w="108" w:type="dxa"/>
            <w:bottom w:w="0" w:type="dxa"/>
            <w:right w:w="108" w:type="dxa"/>
          </w:tblCellMar>
        </w:tblPrEx>
        <w:trPr>
          <w:jc w:val="center"/>
        </w:trPr>
        <w:tc>
          <w:tcPr>
            <w:tcW w:w="1531" w:type="dxa"/>
            <w:shd w:val="clear" w:color="auto" w:fill="FAFCFE"/>
            <w:tcMar>
              <w:top w:w="90" w:type="dxa"/>
              <w:left w:w="90" w:type="dxa"/>
              <w:bottom w:w="90" w:type="dxa"/>
              <w:right w:w="90" w:type="dxa"/>
            </w:tcMar>
            <w:vAlign w:val="center"/>
          </w:tcPr>
          <w:p w14:paraId="57449582">
            <w:pPr>
              <w:spacing w:before="0" w:after="0" w:line="252" w:lineRule="auto"/>
              <w:jc w:val="center"/>
              <w:rPr>
                <w:rFonts w:hint="default" w:ascii="Times New Roman" w:hAnsi="Times New Roman" w:eastAsia="宋体" w:cs="Times New Roman"/>
              </w:rPr>
            </w:pPr>
            <w:r>
              <w:rPr>
                <w:rFonts w:hint="default" w:ascii="Times New Roman" w:hAnsi="Times New Roman" w:eastAsia="宋体" w:cs="Times New Roman"/>
                <w:b w:val="0"/>
                <w:i w:val="0"/>
                <w:sz w:val="18"/>
              </w:rPr>
              <w:t>中心4</w:t>
            </w:r>
          </w:p>
        </w:tc>
        <w:tc>
          <w:tcPr>
            <w:tcW w:w="1531" w:type="dxa"/>
            <w:shd w:val="clear" w:color="auto" w:fill="FAFCFE"/>
            <w:tcMar>
              <w:top w:w="90" w:type="dxa"/>
              <w:left w:w="90" w:type="dxa"/>
              <w:bottom w:w="90" w:type="dxa"/>
              <w:right w:w="90" w:type="dxa"/>
            </w:tcMar>
            <w:vAlign w:val="center"/>
          </w:tcPr>
          <w:p w14:paraId="1BFC9941">
            <w:pPr>
              <w:spacing w:before="0" w:after="0" w:line="252" w:lineRule="auto"/>
              <w:jc w:val="left"/>
              <w:rPr>
                <w:rFonts w:hint="default" w:ascii="Times New Roman" w:hAnsi="Times New Roman" w:eastAsia="宋体" w:cs="Times New Roman"/>
              </w:rPr>
            </w:pPr>
            <w:r>
              <w:rPr>
                <w:rFonts w:hint="default" w:ascii="Times New Roman" w:hAnsi="Times New Roman" w:eastAsia="宋体" w:cs="Times New Roman"/>
                <w:b w:val="0"/>
                <w:i w:val="0"/>
                <w:sz w:val="18"/>
              </w:rPr>
              <w:t>大型综合医院呼吸/感染科</w:t>
            </w:r>
          </w:p>
        </w:tc>
        <w:tc>
          <w:tcPr>
            <w:tcW w:w="1531" w:type="dxa"/>
            <w:shd w:val="clear" w:color="auto" w:fill="FAFCFE"/>
            <w:tcMar>
              <w:top w:w="90" w:type="dxa"/>
              <w:left w:w="90" w:type="dxa"/>
              <w:bottom w:w="90" w:type="dxa"/>
              <w:right w:w="90" w:type="dxa"/>
            </w:tcMar>
            <w:vAlign w:val="center"/>
          </w:tcPr>
          <w:p w14:paraId="0DD2C99C">
            <w:pPr>
              <w:spacing w:before="0" w:after="0" w:line="252" w:lineRule="auto"/>
              <w:jc w:val="center"/>
              <w:rPr>
                <w:rFonts w:hint="default" w:ascii="Times New Roman" w:hAnsi="Times New Roman" w:eastAsia="宋体" w:cs="Times New Roman"/>
              </w:rPr>
            </w:pPr>
            <w:r>
              <w:rPr>
                <w:rFonts w:hint="default" w:ascii="Times New Roman" w:hAnsi="Times New Roman" w:eastAsia="宋体" w:cs="Times New Roman"/>
                <w:b w:val="0"/>
                <w:i w:val="0"/>
                <w:sz w:val="18"/>
              </w:rPr>
              <w:t>45</w:t>
            </w:r>
          </w:p>
        </w:tc>
        <w:tc>
          <w:tcPr>
            <w:tcW w:w="1531" w:type="dxa"/>
            <w:shd w:val="clear" w:color="auto" w:fill="FAFCFE"/>
            <w:tcMar>
              <w:top w:w="90" w:type="dxa"/>
              <w:left w:w="90" w:type="dxa"/>
              <w:bottom w:w="90" w:type="dxa"/>
              <w:right w:w="90" w:type="dxa"/>
            </w:tcMar>
            <w:vAlign w:val="center"/>
          </w:tcPr>
          <w:p w14:paraId="50AC4F97">
            <w:pPr>
              <w:spacing w:before="0" w:after="0" w:line="252" w:lineRule="auto"/>
              <w:jc w:val="center"/>
              <w:rPr>
                <w:rFonts w:hint="default" w:ascii="Times New Roman" w:hAnsi="Times New Roman" w:eastAsia="宋体" w:cs="Times New Roman"/>
              </w:rPr>
            </w:pPr>
            <w:r>
              <w:rPr>
                <w:rFonts w:hint="default" w:ascii="Times New Roman" w:hAnsi="Times New Roman" w:eastAsia="宋体" w:cs="Times New Roman"/>
                <w:b w:val="0"/>
                <w:i w:val="0"/>
                <w:sz w:val="18"/>
              </w:rPr>
              <w:t>35</w:t>
            </w:r>
          </w:p>
        </w:tc>
        <w:tc>
          <w:tcPr>
            <w:tcW w:w="1531" w:type="dxa"/>
            <w:shd w:val="clear" w:color="auto" w:fill="FAFCFE"/>
            <w:tcMar>
              <w:top w:w="90" w:type="dxa"/>
              <w:left w:w="90" w:type="dxa"/>
              <w:bottom w:w="90" w:type="dxa"/>
              <w:right w:w="90" w:type="dxa"/>
            </w:tcMar>
            <w:vAlign w:val="center"/>
          </w:tcPr>
          <w:p w14:paraId="23A3CD06">
            <w:pPr>
              <w:spacing w:before="0" w:after="0" w:line="252" w:lineRule="auto"/>
              <w:jc w:val="center"/>
              <w:rPr>
                <w:rFonts w:hint="default" w:ascii="Times New Roman" w:hAnsi="Times New Roman" w:eastAsia="宋体" w:cs="Times New Roman"/>
              </w:rPr>
            </w:pPr>
            <w:r>
              <w:rPr>
                <w:rFonts w:hint="default" w:ascii="Times New Roman" w:hAnsi="Times New Roman" w:eastAsia="宋体" w:cs="Times New Roman"/>
                <w:b w:val="0"/>
                <w:i w:val="0"/>
                <w:sz w:val="18"/>
              </w:rPr>
              <w:t>70</w:t>
            </w:r>
          </w:p>
        </w:tc>
        <w:tc>
          <w:tcPr>
            <w:tcW w:w="1531" w:type="dxa"/>
            <w:shd w:val="clear" w:color="auto" w:fill="FAFCFE"/>
            <w:tcMar>
              <w:top w:w="90" w:type="dxa"/>
              <w:left w:w="90" w:type="dxa"/>
              <w:bottom w:w="90" w:type="dxa"/>
              <w:right w:w="90" w:type="dxa"/>
            </w:tcMar>
            <w:vAlign w:val="center"/>
          </w:tcPr>
          <w:p w14:paraId="30FD4081">
            <w:pPr>
              <w:spacing w:before="0" w:after="0" w:line="252" w:lineRule="auto"/>
              <w:jc w:val="center"/>
              <w:rPr>
                <w:rFonts w:hint="default" w:ascii="Times New Roman" w:hAnsi="Times New Roman" w:eastAsia="宋体" w:cs="Times New Roman"/>
              </w:rPr>
            </w:pPr>
            <w:r>
              <w:rPr>
                <w:rFonts w:hint="default" w:ascii="Times New Roman" w:hAnsi="Times New Roman" w:eastAsia="宋体" w:cs="Times New Roman"/>
                <w:b w:val="0"/>
                <w:i w:val="0"/>
                <w:sz w:val="18"/>
              </w:rPr>
              <w:t>150</w:t>
            </w:r>
          </w:p>
        </w:tc>
      </w:tr>
      <w:tr w14:paraId="267D734F">
        <w:tblPrEx>
          <w:tblBorders>
            <w:top w:val="single" w:color="B8C7D9" w:sz="8" w:space="0"/>
            <w:left w:val="single" w:color="B8C7D9" w:sz="8" w:space="0"/>
            <w:bottom w:val="single" w:color="B8C7D9" w:sz="8" w:space="0"/>
            <w:right w:val="single" w:color="B8C7D9" w:sz="8" w:space="0"/>
            <w:insideH w:val="single" w:color="B8C7D9" w:sz="8" w:space="0"/>
            <w:insideV w:val="single" w:color="B8C7D9" w:sz="8" w:space="0"/>
          </w:tblBorders>
          <w:tblCellMar>
            <w:top w:w="0" w:type="dxa"/>
            <w:left w:w="108" w:type="dxa"/>
            <w:bottom w:w="0" w:type="dxa"/>
            <w:right w:w="108" w:type="dxa"/>
          </w:tblCellMar>
        </w:tblPrEx>
        <w:trPr>
          <w:jc w:val="center"/>
        </w:trPr>
        <w:tc>
          <w:tcPr>
            <w:tcW w:w="1531" w:type="dxa"/>
            <w:shd w:val="clear" w:color="auto" w:fill="FFFFFF"/>
            <w:tcMar>
              <w:top w:w="90" w:type="dxa"/>
              <w:left w:w="90" w:type="dxa"/>
              <w:bottom w:w="90" w:type="dxa"/>
              <w:right w:w="90" w:type="dxa"/>
            </w:tcMar>
            <w:vAlign w:val="center"/>
          </w:tcPr>
          <w:p w14:paraId="588B2236">
            <w:pPr>
              <w:spacing w:before="0" w:after="0" w:line="252" w:lineRule="auto"/>
              <w:jc w:val="center"/>
              <w:rPr>
                <w:rFonts w:hint="default" w:ascii="Times New Roman" w:hAnsi="Times New Roman" w:eastAsia="宋体" w:cs="Times New Roman"/>
              </w:rPr>
            </w:pPr>
            <w:r>
              <w:rPr>
                <w:rFonts w:hint="default" w:ascii="Times New Roman" w:hAnsi="Times New Roman" w:eastAsia="宋体" w:cs="Times New Roman"/>
                <w:b w:val="0"/>
                <w:i w:val="0"/>
                <w:sz w:val="18"/>
              </w:rPr>
              <w:t>中心5</w:t>
            </w:r>
          </w:p>
        </w:tc>
        <w:tc>
          <w:tcPr>
            <w:tcW w:w="1531" w:type="dxa"/>
            <w:shd w:val="clear" w:color="auto" w:fill="FFFFFF"/>
            <w:tcMar>
              <w:top w:w="90" w:type="dxa"/>
              <w:left w:w="90" w:type="dxa"/>
              <w:bottom w:w="90" w:type="dxa"/>
              <w:right w:w="90" w:type="dxa"/>
            </w:tcMar>
            <w:vAlign w:val="center"/>
          </w:tcPr>
          <w:p w14:paraId="392A7ADF">
            <w:pPr>
              <w:spacing w:before="0" w:after="0" w:line="252" w:lineRule="auto"/>
              <w:jc w:val="left"/>
              <w:rPr>
                <w:rFonts w:hint="default" w:ascii="Times New Roman" w:hAnsi="Times New Roman" w:eastAsia="宋体" w:cs="Times New Roman"/>
              </w:rPr>
            </w:pPr>
            <w:r>
              <w:rPr>
                <w:rFonts w:hint="default" w:ascii="Times New Roman" w:hAnsi="Times New Roman" w:eastAsia="宋体" w:cs="Times New Roman"/>
                <w:b w:val="0"/>
                <w:i w:val="0"/>
                <w:sz w:val="18"/>
              </w:rPr>
              <w:t>大型综合医院呼吸/感染科</w:t>
            </w:r>
          </w:p>
        </w:tc>
        <w:tc>
          <w:tcPr>
            <w:tcW w:w="1531" w:type="dxa"/>
            <w:shd w:val="clear" w:color="auto" w:fill="FFFFFF"/>
            <w:tcMar>
              <w:top w:w="90" w:type="dxa"/>
              <w:left w:w="90" w:type="dxa"/>
              <w:bottom w:w="90" w:type="dxa"/>
              <w:right w:w="90" w:type="dxa"/>
            </w:tcMar>
            <w:vAlign w:val="center"/>
          </w:tcPr>
          <w:p w14:paraId="22BDCB28">
            <w:pPr>
              <w:spacing w:before="0" w:after="0" w:line="252" w:lineRule="auto"/>
              <w:jc w:val="center"/>
              <w:rPr>
                <w:rFonts w:hint="default" w:ascii="Times New Roman" w:hAnsi="Times New Roman" w:eastAsia="宋体" w:cs="Times New Roman"/>
              </w:rPr>
            </w:pPr>
            <w:r>
              <w:rPr>
                <w:rFonts w:hint="default" w:ascii="Times New Roman" w:hAnsi="Times New Roman" w:eastAsia="宋体" w:cs="Times New Roman"/>
                <w:b w:val="0"/>
                <w:i w:val="0"/>
                <w:sz w:val="18"/>
              </w:rPr>
              <w:t>40</w:t>
            </w:r>
          </w:p>
        </w:tc>
        <w:tc>
          <w:tcPr>
            <w:tcW w:w="1531" w:type="dxa"/>
            <w:shd w:val="clear" w:color="auto" w:fill="FFFFFF"/>
            <w:tcMar>
              <w:top w:w="90" w:type="dxa"/>
              <w:left w:w="90" w:type="dxa"/>
              <w:bottom w:w="90" w:type="dxa"/>
              <w:right w:w="90" w:type="dxa"/>
            </w:tcMar>
            <w:vAlign w:val="center"/>
          </w:tcPr>
          <w:p w14:paraId="20ECEED9">
            <w:pPr>
              <w:spacing w:before="0" w:after="0" w:line="252" w:lineRule="auto"/>
              <w:jc w:val="center"/>
              <w:rPr>
                <w:rFonts w:hint="default" w:ascii="Times New Roman" w:hAnsi="Times New Roman" w:eastAsia="宋体" w:cs="Times New Roman"/>
              </w:rPr>
            </w:pPr>
            <w:r>
              <w:rPr>
                <w:rFonts w:hint="default" w:ascii="Times New Roman" w:hAnsi="Times New Roman" w:eastAsia="宋体" w:cs="Times New Roman"/>
                <w:b w:val="0"/>
                <w:i w:val="0"/>
                <w:sz w:val="18"/>
              </w:rPr>
              <w:t>30</w:t>
            </w:r>
          </w:p>
        </w:tc>
        <w:tc>
          <w:tcPr>
            <w:tcW w:w="1531" w:type="dxa"/>
            <w:shd w:val="clear" w:color="auto" w:fill="FFFFFF"/>
            <w:tcMar>
              <w:top w:w="90" w:type="dxa"/>
              <w:left w:w="90" w:type="dxa"/>
              <w:bottom w:w="90" w:type="dxa"/>
              <w:right w:w="90" w:type="dxa"/>
            </w:tcMar>
            <w:vAlign w:val="center"/>
          </w:tcPr>
          <w:p w14:paraId="649C616C">
            <w:pPr>
              <w:spacing w:before="0" w:after="0" w:line="252" w:lineRule="auto"/>
              <w:jc w:val="center"/>
              <w:rPr>
                <w:rFonts w:hint="default" w:ascii="Times New Roman" w:hAnsi="Times New Roman" w:eastAsia="宋体" w:cs="Times New Roman"/>
              </w:rPr>
            </w:pPr>
            <w:r>
              <w:rPr>
                <w:rFonts w:hint="default" w:ascii="Times New Roman" w:hAnsi="Times New Roman" w:eastAsia="宋体" w:cs="Times New Roman"/>
                <w:b w:val="0"/>
                <w:i w:val="0"/>
                <w:sz w:val="18"/>
              </w:rPr>
              <w:t>70</w:t>
            </w:r>
          </w:p>
        </w:tc>
        <w:tc>
          <w:tcPr>
            <w:tcW w:w="1531" w:type="dxa"/>
            <w:shd w:val="clear" w:color="auto" w:fill="FFFFFF"/>
            <w:tcMar>
              <w:top w:w="90" w:type="dxa"/>
              <w:left w:w="90" w:type="dxa"/>
              <w:bottom w:w="90" w:type="dxa"/>
              <w:right w:w="90" w:type="dxa"/>
            </w:tcMar>
            <w:vAlign w:val="center"/>
          </w:tcPr>
          <w:p w14:paraId="5B693B00">
            <w:pPr>
              <w:spacing w:before="0" w:after="0" w:line="252" w:lineRule="auto"/>
              <w:jc w:val="center"/>
              <w:rPr>
                <w:rFonts w:hint="default" w:ascii="Times New Roman" w:hAnsi="Times New Roman" w:eastAsia="宋体" w:cs="Times New Roman"/>
              </w:rPr>
            </w:pPr>
            <w:r>
              <w:rPr>
                <w:rFonts w:hint="default" w:ascii="Times New Roman" w:hAnsi="Times New Roman" w:eastAsia="宋体" w:cs="Times New Roman"/>
                <w:b w:val="0"/>
                <w:i w:val="0"/>
                <w:sz w:val="18"/>
              </w:rPr>
              <w:t>140</w:t>
            </w:r>
          </w:p>
        </w:tc>
      </w:tr>
      <w:tr w14:paraId="4F0C0637">
        <w:tblPrEx>
          <w:tblBorders>
            <w:top w:val="single" w:color="B8C7D9" w:sz="8" w:space="0"/>
            <w:left w:val="single" w:color="B8C7D9" w:sz="8" w:space="0"/>
            <w:bottom w:val="single" w:color="B8C7D9" w:sz="8" w:space="0"/>
            <w:right w:val="single" w:color="B8C7D9" w:sz="8" w:space="0"/>
            <w:insideH w:val="single" w:color="B8C7D9" w:sz="8" w:space="0"/>
            <w:insideV w:val="single" w:color="B8C7D9" w:sz="8" w:space="0"/>
          </w:tblBorders>
          <w:tblCellMar>
            <w:top w:w="0" w:type="dxa"/>
            <w:left w:w="108" w:type="dxa"/>
            <w:bottom w:w="0" w:type="dxa"/>
            <w:right w:w="108" w:type="dxa"/>
          </w:tblCellMar>
        </w:tblPrEx>
        <w:trPr>
          <w:jc w:val="center"/>
        </w:trPr>
        <w:tc>
          <w:tcPr>
            <w:tcW w:w="1531" w:type="dxa"/>
            <w:shd w:val="clear" w:color="auto" w:fill="FAFCFE"/>
            <w:tcMar>
              <w:top w:w="90" w:type="dxa"/>
              <w:left w:w="90" w:type="dxa"/>
              <w:bottom w:w="90" w:type="dxa"/>
              <w:right w:w="90" w:type="dxa"/>
            </w:tcMar>
            <w:vAlign w:val="center"/>
          </w:tcPr>
          <w:p w14:paraId="2903AAF3">
            <w:pPr>
              <w:spacing w:before="0" w:after="0" w:line="252" w:lineRule="auto"/>
              <w:jc w:val="center"/>
              <w:rPr>
                <w:rFonts w:hint="default" w:ascii="Times New Roman" w:hAnsi="Times New Roman" w:eastAsia="宋体" w:cs="Times New Roman"/>
              </w:rPr>
            </w:pPr>
            <w:r>
              <w:rPr>
                <w:rFonts w:hint="default" w:ascii="Times New Roman" w:hAnsi="Times New Roman" w:eastAsia="宋体" w:cs="Times New Roman"/>
                <w:b w:val="0"/>
                <w:i w:val="0"/>
                <w:sz w:val="18"/>
              </w:rPr>
              <w:t>中心6</w:t>
            </w:r>
          </w:p>
        </w:tc>
        <w:tc>
          <w:tcPr>
            <w:tcW w:w="1531" w:type="dxa"/>
            <w:shd w:val="clear" w:color="auto" w:fill="FAFCFE"/>
            <w:tcMar>
              <w:top w:w="90" w:type="dxa"/>
              <w:left w:w="90" w:type="dxa"/>
              <w:bottom w:w="90" w:type="dxa"/>
              <w:right w:w="90" w:type="dxa"/>
            </w:tcMar>
            <w:vAlign w:val="center"/>
          </w:tcPr>
          <w:p w14:paraId="266AF3C0">
            <w:pPr>
              <w:spacing w:before="0" w:after="0" w:line="252" w:lineRule="auto"/>
              <w:jc w:val="left"/>
              <w:rPr>
                <w:rFonts w:hint="default" w:ascii="Times New Roman" w:hAnsi="Times New Roman" w:eastAsia="宋体" w:cs="Times New Roman"/>
              </w:rPr>
            </w:pPr>
            <w:r>
              <w:rPr>
                <w:rFonts w:hint="default" w:ascii="Times New Roman" w:hAnsi="Times New Roman" w:eastAsia="宋体" w:cs="Times New Roman"/>
                <w:b w:val="0"/>
                <w:i w:val="0"/>
                <w:sz w:val="18"/>
              </w:rPr>
              <w:t>大型综合医院呼吸/感染科</w:t>
            </w:r>
          </w:p>
        </w:tc>
        <w:tc>
          <w:tcPr>
            <w:tcW w:w="1531" w:type="dxa"/>
            <w:shd w:val="clear" w:color="auto" w:fill="FAFCFE"/>
            <w:tcMar>
              <w:top w:w="90" w:type="dxa"/>
              <w:left w:w="90" w:type="dxa"/>
              <w:bottom w:w="90" w:type="dxa"/>
              <w:right w:w="90" w:type="dxa"/>
            </w:tcMar>
            <w:vAlign w:val="center"/>
          </w:tcPr>
          <w:p w14:paraId="05A88416">
            <w:pPr>
              <w:spacing w:before="0" w:after="0" w:line="252" w:lineRule="auto"/>
              <w:jc w:val="center"/>
              <w:rPr>
                <w:rFonts w:hint="default" w:ascii="Times New Roman" w:hAnsi="Times New Roman" w:eastAsia="宋体" w:cs="Times New Roman"/>
              </w:rPr>
            </w:pPr>
            <w:r>
              <w:rPr>
                <w:rFonts w:hint="default" w:ascii="Times New Roman" w:hAnsi="Times New Roman" w:eastAsia="宋体" w:cs="Times New Roman"/>
                <w:b w:val="0"/>
                <w:i w:val="0"/>
                <w:sz w:val="18"/>
              </w:rPr>
              <w:t>35</w:t>
            </w:r>
          </w:p>
        </w:tc>
        <w:tc>
          <w:tcPr>
            <w:tcW w:w="1531" w:type="dxa"/>
            <w:shd w:val="clear" w:color="auto" w:fill="FAFCFE"/>
            <w:tcMar>
              <w:top w:w="90" w:type="dxa"/>
              <w:left w:w="90" w:type="dxa"/>
              <w:bottom w:w="90" w:type="dxa"/>
              <w:right w:w="90" w:type="dxa"/>
            </w:tcMar>
            <w:vAlign w:val="center"/>
          </w:tcPr>
          <w:p w14:paraId="7EF415FC">
            <w:pPr>
              <w:spacing w:before="0" w:after="0" w:line="252" w:lineRule="auto"/>
              <w:jc w:val="center"/>
              <w:rPr>
                <w:rFonts w:hint="default" w:ascii="Times New Roman" w:hAnsi="Times New Roman" w:eastAsia="宋体" w:cs="Times New Roman"/>
              </w:rPr>
            </w:pPr>
            <w:r>
              <w:rPr>
                <w:rFonts w:hint="default" w:ascii="Times New Roman" w:hAnsi="Times New Roman" w:eastAsia="宋体" w:cs="Times New Roman"/>
                <w:b w:val="0"/>
                <w:i w:val="0"/>
                <w:sz w:val="18"/>
              </w:rPr>
              <w:t>25</w:t>
            </w:r>
          </w:p>
        </w:tc>
        <w:tc>
          <w:tcPr>
            <w:tcW w:w="1531" w:type="dxa"/>
            <w:shd w:val="clear" w:color="auto" w:fill="FAFCFE"/>
            <w:tcMar>
              <w:top w:w="90" w:type="dxa"/>
              <w:left w:w="90" w:type="dxa"/>
              <w:bottom w:w="90" w:type="dxa"/>
              <w:right w:w="90" w:type="dxa"/>
            </w:tcMar>
            <w:vAlign w:val="center"/>
          </w:tcPr>
          <w:p w14:paraId="07D04AA1">
            <w:pPr>
              <w:spacing w:before="0" w:after="0" w:line="252" w:lineRule="auto"/>
              <w:jc w:val="center"/>
              <w:rPr>
                <w:rFonts w:hint="default" w:ascii="Times New Roman" w:hAnsi="Times New Roman" w:eastAsia="宋体" w:cs="Times New Roman"/>
              </w:rPr>
            </w:pPr>
            <w:r>
              <w:rPr>
                <w:rFonts w:hint="default" w:ascii="Times New Roman" w:hAnsi="Times New Roman" w:eastAsia="宋体" w:cs="Times New Roman"/>
                <w:b w:val="0"/>
                <w:i w:val="0"/>
                <w:sz w:val="18"/>
              </w:rPr>
              <w:t>70</w:t>
            </w:r>
          </w:p>
        </w:tc>
        <w:tc>
          <w:tcPr>
            <w:tcW w:w="1531" w:type="dxa"/>
            <w:shd w:val="clear" w:color="auto" w:fill="FAFCFE"/>
            <w:tcMar>
              <w:top w:w="90" w:type="dxa"/>
              <w:left w:w="90" w:type="dxa"/>
              <w:bottom w:w="90" w:type="dxa"/>
              <w:right w:w="90" w:type="dxa"/>
            </w:tcMar>
            <w:vAlign w:val="center"/>
          </w:tcPr>
          <w:p w14:paraId="0DEA833D">
            <w:pPr>
              <w:spacing w:before="0" w:after="0" w:line="252" w:lineRule="auto"/>
              <w:jc w:val="center"/>
              <w:rPr>
                <w:rFonts w:hint="default" w:ascii="Times New Roman" w:hAnsi="Times New Roman" w:eastAsia="宋体" w:cs="Times New Roman"/>
              </w:rPr>
            </w:pPr>
            <w:r>
              <w:rPr>
                <w:rFonts w:hint="default" w:ascii="Times New Roman" w:hAnsi="Times New Roman" w:eastAsia="宋体" w:cs="Times New Roman"/>
                <w:b w:val="0"/>
                <w:i w:val="0"/>
                <w:sz w:val="18"/>
              </w:rPr>
              <w:t>130</w:t>
            </w:r>
          </w:p>
        </w:tc>
      </w:tr>
      <w:tr w14:paraId="5470B989">
        <w:tblPrEx>
          <w:tblBorders>
            <w:top w:val="single" w:color="B8C7D9" w:sz="8" w:space="0"/>
            <w:left w:val="single" w:color="B8C7D9" w:sz="8" w:space="0"/>
            <w:bottom w:val="single" w:color="B8C7D9" w:sz="8" w:space="0"/>
            <w:right w:val="single" w:color="B8C7D9" w:sz="8" w:space="0"/>
            <w:insideH w:val="single" w:color="B8C7D9" w:sz="8" w:space="0"/>
            <w:insideV w:val="single" w:color="B8C7D9" w:sz="8" w:space="0"/>
          </w:tblBorders>
          <w:tblCellMar>
            <w:top w:w="0" w:type="dxa"/>
            <w:left w:w="108" w:type="dxa"/>
            <w:bottom w:w="0" w:type="dxa"/>
            <w:right w:w="108" w:type="dxa"/>
          </w:tblCellMar>
        </w:tblPrEx>
        <w:trPr>
          <w:jc w:val="center"/>
        </w:trPr>
        <w:tc>
          <w:tcPr>
            <w:tcW w:w="1531" w:type="dxa"/>
            <w:shd w:val="clear" w:color="auto" w:fill="FFFFFF"/>
            <w:tcMar>
              <w:top w:w="90" w:type="dxa"/>
              <w:left w:w="90" w:type="dxa"/>
              <w:bottom w:w="90" w:type="dxa"/>
              <w:right w:w="90" w:type="dxa"/>
            </w:tcMar>
            <w:vAlign w:val="center"/>
          </w:tcPr>
          <w:p w14:paraId="2C57A072">
            <w:pPr>
              <w:spacing w:before="0" w:after="0" w:line="252" w:lineRule="auto"/>
              <w:jc w:val="center"/>
              <w:rPr>
                <w:rFonts w:hint="default" w:ascii="Times New Roman" w:hAnsi="Times New Roman" w:eastAsia="宋体" w:cs="Times New Roman"/>
              </w:rPr>
            </w:pPr>
            <w:r>
              <w:rPr>
                <w:rFonts w:hint="default" w:ascii="Times New Roman" w:hAnsi="Times New Roman" w:eastAsia="宋体" w:cs="Times New Roman"/>
                <w:b w:val="0"/>
                <w:i w:val="0"/>
                <w:sz w:val="18"/>
              </w:rPr>
              <w:t>中心7</w:t>
            </w:r>
          </w:p>
        </w:tc>
        <w:tc>
          <w:tcPr>
            <w:tcW w:w="1531" w:type="dxa"/>
            <w:shd w:val="clear" w:color="auto" w:fill="FFFFFF"/>
            <w:tcMar>
              <w:top w:w="90" w:type="dxa"/>
              <w:left w:w="90" w:type="dxa"/>
              <w:bottom w:w="90" w:type="dxa"/>
              <w:right w:w="90" w:type="dxa"/>
            </w:tcMar>
            <w:vAlign w:val="center"/>
          </w:tcPr>
          <w:p w14:paraId="216BADF8">
            <w:pPr>
              <w:spacing w:before="0" w:after="0" w:line="252" w:lineRule="auto"/>
              <w:jc w:val="left"/>
              <w:rPr>
                <w:rFonts w:hint="default" w:ascii="Times New Roman" w:hAnsi="Times New Roman" w:eastAsia="宋体" w:cs="Times New Roman"/>
              </w:rPr>
            </w:pPr>
            <w:r>
              <w:rPr>
                <w:rFonts w:hint="default" w:ascii="Times New Roman" w:hAnsi="Times New Roman" w:eastAsia="宋体" w:cs="Times New Roman"/>
                <w:b w:val="0"/>
                <w:i w:val="0"/>
                <w:sz w:val="18"/>
              </w:rPr>
              <w:t>地市级结核定点医院</w:t>
            </w:r>
          </w:p>
        </w:tc>
        <w:tc>
          <w:tcPr>
            <w:tcW w:w="1531" w:type="dxa"/>
            <w:shd w:val="clear" w:color="auto" w:fill="FFFFFF"/>
            <w:tcMar>
              <w:top w:w="90" w:type="dxa"/>
              <w:left w:w="90" w:type="dxa"/>
              <w:bottom w:w="90" w:type="dxa"/>
              <w:right w:w="90" w:type="dxa"/>
            </w:tcMar>
            <w:vAlign w:val="center"/>
          </w:tcPr>
          <w:p w14:paraId="2DB7EC8C">
            <w:pPr>
              <w:spacing w:before="0" w:after="0" w:line="252" w:lineRule="auto"/>
              <w:jc w:val="center"/>
              <w:rPr>
                <w:rFonts w:hint="default" w:ascii="Times New Roman" w:hAnsi="Times New Roman" w:eastAsia="宋体" w:cs="Times New Roman"/>
              </w:rPr>
            </w:pPr>
            <w:r>
              <w:rPr>
                <w:rFonts w:hint="default" w:ascii="Times New Roman" w:hAnsi="Times New Roman" w:eastAsia="宋体" w:cs="Times New Roman"/>
                <w:b w:val="0"/>
                <w:i w:val="0"/>
                <w:sz w:val="18"/>
              </w:rPr>
              <w:t>35</w:t>
            </w:r>
          </w:p>
        </w:tc>
        <w:tc>
          <w:tcPr>
            <w:tcW w:w="1531" w:type="dxa"/>
            <w:shd w:val="clear" w:color="auto" w:fill="FFFFFF"/>
            <w:tcMar>
              <w:top w:w="90" w:type="dxa"/>
              <w:left w:w="90" w:type="dxa"/>
              <w:bottom w:w="90" w:type="dxa"/>
              <w:right w:w="90" w:type="dxa"/>
            </w:tcMar>
            <w:vAlign w:val="center"/>
          </w:tcPr>
          <w:p w14:paraId="64C9D4A1">
            <w:pPr>
              <w:spacing w:before="0" w:after="0" w:line="252" w:lineRule="auto"/>
              <w:jc w:val="center"/>
              <w:rPr>
                <w:rFonts w:hint="default" w:ascii="Times New Roman" w:hAnsi="Times New Roman" w:eastAsia="宋体" w:cs="Times New Roman"/>
              </w:rPr>
            </w:pPr>
            <w:r>
              <w:rPr>
                <w:rFonts w:hint="default" w:ascii="Times New Roman" w:hAnsi="Times New Roman" w:eastAsia="宋体" w:cs="Times New Roman"/>
                <w:b w:val="0"/>
                <w:i w:val="0"/>
                <w:sz w:val="18"/>
              </w:rPr>
              <w:t>20</w:t>
            </w:r>
          </w:p>
        </w:tc>
        <w:tc>
          <w:tcPr>
            <w:tcW w:w="1531" w:type="dxa"/>
            <w:shd w:val="clear" w:color="auto" w:fill="FFFFFF"/>
            <w:tcMar>
              <w:top w:w="90" w:type="dxa"/>
              <w:left w:w="90" w:type="dxa"/>
              <w:bottom w:w="90" w:type="dxa"/>
              <w:right w:w="90" w:type="dxa"/>
            </w:tcMar>
            <w:vAlign w:val="center"/>
          </w:tcPr>
          <w:p w14:paraId="17753570">
            <w:pPr>
              <w:spacing w:before="0" w:after="0" w:line="252" w:lineRule="auto"/>
              <w:jc w:val="center"/>
              <w:rPr>
                <w:rFonts w:hint="default" w:ascii="Times New Roman" w:hAnsi="Times New Roman" w:eastAsia="宋体" w:cs="Times New Roman"/>
              </w:rPr>
            </w:pPr>
            <w:r>
              <w:rPr>
                <w:rFonts w:hint="default" w:ascii="Times New Roman" w:hAnsi="Times New Roman" w:eastAsia="宋体" w:cs="Times New Roman"/>
                <w:b w:val="0"/>
                <w:i w:val="0"/>
                <w:sz w:val="18"/>
              </w:rPr>
              <w:t>55</w:t>
            </w:r>
          </w:p>
        </w:tc>
        <w:tc>
          <w:tcPr>
            <w:tcW w:w="1531" w:type="dxa"/>
            <w:shd w:val="clear" w:color="auto" w:fill="FFFFFF"/>
            <w:tcMar>
              <w:top w:w="90" w:type="dxa"/>
              <w:left w:w="90" w:type="dxa"/>
              <w:bottom w:w="90" w:type="dxa"/>
              <w:right w:w="90" w:type="dxa"/>
            </w:tcMar>
            <w:vAlign w:val="center"/>
          </w:tcPr>
          <w:p w14:paraId="738002C1">
            <w:pPr>
              <w:spacing w:before="0" w:after="0" w:line="252" w:lineRule="auto"/>
              <w:jc w:val="center"/>
              <w:rPr>
                <w:rFonts w:hint="default" w:ascii="Times New Roman" w:hAnsi="Times New Roman" w:eastAsia="宋体" w:cs="Times New Roman"/>
              </w:rPr>
            </w:pPr>
            <w:r>
              <w:rPr>
                <w:rFonts w:hint="default" w:ascii="Times New Roman" w:hAnsi="Times New Roman" w:eastAsia="宋体" w:cs="Times New Roman"/>
                <w:b w:val="0"/>
                <w:i w:val="0"/>
                <w:sz w:val="18"/>
              </w:rPr>
              <w:t>110</w:t>
            </w:r>
          </w:p>
        </w:tc>
      </w:tr>
      <w:tr w14:paraId="0BB288AA">
        <w:tblPrEx>
          <w:tblBorders>
            <w:top w:val="single" w:color="B8C7D9" w:sz="8" w:space="0"/>
            <w:left w:val="single" w:color="B8C7D9" w:sz="8" w:space="0"/>
            <w:bottom w:val="single" w:color="B8C7D9" w:sz="8" w:space="0"/>
            <w:right w:val="single" w:color="B8C7D9" w:sz="8" w:space="0"/>
            <w:insideH w:val="single" w:color="B8C7D9" w:sz="8" w:space="0"/>
            <w:insideV w:val="single" w:color="B8C7D9" w:sz="8" w:space="0"/>
          </w:tblBorders>
          <w:tblCellMar>
            <w:top w:w="0" w:type="dxa"/>
            <w:left w:w="108" w:type="dxa"/>
            <w:bottom w:w="0" w:type="dxa"/>
            <w:right w:w="108" w:type="dxa"/>
          </w:tblCellMar>
        </w:tblPrEx>
        <w:trPr>
          <w:jc w:val="center"/>
        </w:trPr>
        <w:tc>
          <w:tcPr>
            <w:tcW w:w="1531" w:type="dxa"/>
            <w:shd w:val="clear" w:color="auto" w:fill="FAFCFE"/>
            <w:tcMar>
              <w:top w:w="90" w:type="dxa"/>
              <w:left w:w="90" w:type="dxa"/>
              <w:bottom w:w="90" w:type="dxa"/>
              <w:right w:w="90" w:type="dxa"/>
            </w:tcMar>
            <w:vAlign w:val="center"/>
          </w:tcPr>
          <w:p w14:paraId="0A4AAB61">
            <w:pPr>
              <w:spacing w:before="0" w:after="0" w:line="252" w:lineRule="auto"/>
              <w:jc w:val="center"/>
              <w:rPr>
                <w:rFonts w:hint="default" w:ascii="Times New Roman" w:hAnsi="Times New Roman" w:eastAsia="宋体" w:cs="Times New Roman"/>
              </w:rPr>
            </w:pPr>
            <w:r>
              <w:rPr>
                <w:rFonts w:hint="default" w:ascii="Times New Roman" w:hAnsi="Times New Roman" w:eastAsia="宋体" w:cs="Times New Roman"/>
                <w:b w:val="0"/>
                <w:i w:val="0"/>
                <w:sz w:val="18"/>
              </w:rPr>
              <w:t>中心8</w:t>
            </w:r>
          </w:p>
        </w:tc>
        <w:tc>
          <w:tcPr>
            <w:tcW w:w="1531" w:type="dxa"/>
            <w:shd w:val="clear" w:color="auto" w:fill="FAFCFE"/>
            <w:tcMar>
              <w:top w:w="90" w:type="dxa"/>
              <w:left w:w="90" w:type="dxa"/>
              <w:bottom w:w="90" w:type="dxa"/>
              <w:right w:w="90" w:type="dxa"/>
            </w:tcMar>
            <w:vAlign w:val="center"/>
          </w:tcPr>
          <w:p w14:paraId="7CFC9334">
            <w:pPr>
              <w:spacing w:before="0" w:after="0" w:line="252" w:lineRule="auto"/>
              <w:jc w:val="left"/>
              <w:rPr>
                <w:rFonts w:hint="default" w:ascii="Times New Roman" w:hAnsi="Times New Roman" w:eastAsia="宋体" w:cs="Times New Roman"/>
              </w:rPr>
            </w:pPr>
            <w:r>
              <w:rPr>
                <w:rFonts w:hint="default" w:ascii="Times New Roman" w:hAnsi="Times New Roman" w:eastAsia="宋体" w:cs="Times New Roman"/>
                <w:b w:val="0"/>
                <w:i w:val="0"/>
                <w:sz w:val="18"/>
              </w:rPr>
              <w:t>地市级传染病/胸科医院</w:t>
            </w:r>
          </w:p>
        </w:tc>
        <w:tc>
          <w:tcPr>
            <w:tcW w:w="1531" w:type="dxa"/>
            <w:shd w:val="clear" w:color="auto" w:fill="FAFCFE"/>
            <w:tcMar>
              <w:top w:w="90" w:type="dxa"/>
              <w:left w:w="90" w:type="dxa"/>
              <w:bottom w:w="90" w:type="dxa"/>
              <w:right w:w="90" w:type="dxa"/>
            </w:tcMar>
            <w:vAlign w:val="center"/>
          </w:tcPr>
          <w:p w14:paraId="407FDFD6">
            <w:pPr>
              <w:spacing w:before="0" w:after="0" w:line="252" w:lineRule="auto"/>
              <w:jc w:val="center"/>
              <w:rPr>
                <w:rFonts w:hint="default" w:ascii="Times New Roman" w:hAnsi="Times New Roman" w:eastAsia="宋体" w:cs="Times New Roman"/>
              </w:rPr>
            </w:pPr>
            <w:r>
              <w:rPr>
                <w:rFonts w:hint="default" w:ascii="Times New Roman" w:hAnsi="Times New Roman" w:eastAsia="宋体" w:cs="Times New Roman"/>
                <w:b w:val="0"/>
                <w:i w:val="0"/>
                <w:sz w:val="18"/>
              </w:rPr>
              <w:t>25</w:t>
            </w:r>
          </w:p>
        </w:tc>
        <w:tc>
          <w:tcPr>
            <w:tcW w:w="1531" w:type="dxa"/>
            <w:shd w:val="clear" w:color="auto" w:fill="FAFCFE"/>
            <w:tcMar>
              <w:top w:w="90" w:type="dxa"/>
              <w:left w:w="90" w:type="dxa"/>
              <w:bottom w:w="90" w:type="dxa"/>
              <w:right w:w="90" w:type="dxa"/>
            </w:tcMar>
            <w:vAlign w:val="center"/>
          </w:tcPr>
          <w:p w14:paraId="456670C7">
            <w:pPr>
              <w:spacing w:before="0" w:after="0" w:line="252" w:lineRule="auto"/>
              <w:jc w:val="center"/>
              <w:rPr>
                <w:rFonts w:hint="default" w:ascii="Times New Roman" w:hAnsi="Times New Roman" w:eastAsia="宋体" w:cs="Times New Roman"/>
              </w:rPr>
            </w:pPr>
            <w:r>
              <w:rPr>
                <w:rFonts w:hint="default" w:ascii="Times New Roman" w:hAnsi="Times New Roman" w:eastAsia="宋体" w:cs="Times New Roman"/>
                <w:b w:val="0"/>
                <w:i w:val="0"/>
                <w:sz w:val="18"/>
              </w:rPr>
              <w:t>20</w:t>
            </w:r>
          </w:p>
        </w:tc>
        <w:tc>
          <w:tcPr>
            <w:tcW w:w="1531" w:type="dxa"/>
            <w:shd w:val="clear" w:color="auto" w:fill="FAFCFE"/>
            <w:tcMar>
              <w:top w:w="90" w:type="dxa"/>
              <w:left w:w="90" w:type="dxa"/>
              <w:bottom w:w="90" w:type="dxa"/>
              <w:right w:w="90" w:type="dxa"/>
            </w:tcMar>
            <w:vAlign w:val="center"/>
          </w:tcPr>
          <w:p w14:paraId="07C9CAD5">
            <w:pPr>
              <w:spacing w:before="0" w:after="0" w:line="252" w:lineRule="auto"/>
              <w:jc w:val="center"/>
              <w:rPr>
                <w:rFonts w:hint="default" w:ascii="Times New Roman" w:hAnsi="Times New Roman" w:eastAsia="宋体" w:cs="Times New Roman"/>
              </w:rPr>
            </w:pPr>
            <w:r>
              <w:rPr>
                <w:rFonts w:hint="default" w:ascii="Times New Roman" w:hAnsi="Times New Roman" w:eastAsia="宋体" w:cs="Times New Roman"/>
                <w:b w:val="0"/>
                <w:i w:val="0"/>
                <w:sz w:val="18"/>
              </w:rPr>
              <w:t>65</w:t>
            </w:r>
          </w:p>
        </w:tc>
        <w:tc>
          <w:tcPr>
            <w:tcW w:w="1531" w:type="dxa"/>
            <w:shd w:val="clear" w:color="auto" w:fill="FAFCFE"/>
            <w:tcMar>
              <w:top w:w="90" w:type="dxa"/>
              <w:left w:w="90" w:type="dxa"/>
              <w:bottom w:w="90" w:type="dxa"/>
              <w:right w:w="90" w:type="dxa"/>
            </w:tcMar>
            <w:vAlign w:val="center"/>
          </w:tcPr>
          <w:p w14:paraId="53ECB0A3">
            <w:pPr>
              <w:spacing w:before="0" w:after="0" w:line="252" w:lineRule="auto"/>
              <w:jc w:val="center"/>
              <w:rPr>
                <w:rFonts w:hint="default" w:ascii="Times New Roman" w:hAnsi="Times New Roman" w:eastAsia="宋体" w:cs="Times New Roman"/>
              </w:rPr>
            </w:pPr>
            <w:r>
              <w:rPr>
                <w:rFonts w:hint="default" w:ascii="Times New Roman" w:hAnsi="Times New Roman" w:eastAsia="宋体" w:cs="Times New Roman"/>
                <w:b w:val="0"/>
                <w:i w:val="0"/>
                <w:sz w:val="18"/>
              </w:rPr>
              <w:t>110</w:t>
            </w:r>
          </w:p>
        </w:tc>
      </w:tr>
      <w:tr w14:paraId="0CE985A9">
        <w:tblPrEx>
          <w:tblBorders>
            <w:top w:val="single" w:color="B8C7D9" w:sz="8" w:space="0"/>
            <w:left w:val="single" w:color="B8C7D9" w:sz="8" w:space="0"/>
            <w:bottom w:val="single" w:color="B8C7D9" w:sz="8" w:space="0"/>
            <w:right w:val="single" w:color="B8C7D9" w:sz="8" w:space="0"/>
            <w:insideH w:val="single" w:color="B8C7D9" w:sz="8" w:space="0"/>
            <w:insideV w:val="single" w:color="B8C7D9" w:sz="8" w:space="0"/>
          </w:tblBorders>
          <w:tblCellMar>
            <w:top w:w="0" w:type="dxa"/>
            <w:left w:w="108" w:type="dxa"/>
            <w:bottom w:w="0" w:type="dxa"/>
            <w:right w:w="108" w:type="dxa"/>
          </w:tblCellMar>
        </w:tblPrEx>
        <w:trPr>
          <w:jc w:val="center"/>
        </w:trPr>
        <w:tc>
          <w:tcPr>
            <w:tcW w:w="1531" w:type="dxa"/>
            <w:shd w:val="clear" w:color="auto" w:fill="FFFFFF"/>
            <w:tcMar>
              <w:top w:w="90" w:type="dxa"/>
              <w:left w:w="90" w:type="dxa"/>
              <w:bottom w:w="90" w:type="dxa"/>
              <w:right w:w="90" w:type="dxa"/>
            </w:tcMar>
            <w:vAlign w:val="center"/>
          </w:tcPr>
          <w:p w14:paraId="4BCEE18C">
            <w:pPr>
              <w:spacing w:before="0" w:after="0" w:line="252" w:lineRule="auto"/>
              <w:jc w:val="center"/>
              <w:rPr>
                <w:rFonts w:hint="default" w:ascii="Times New Roman" w:hAnsi="Times New Roman" w:eastAsia="宋体" w:cs="Times New Roman"/>
              </w:rPr>
            </w:pPr>
            <w:r>
              <w:rPr>
                <w:rFonts w:hint="default" w:ascii="Times New Roman" w:hAnsi="Times New Roman" w:eastAsia="宋体" w:cs="Times New Roman"/>
                <w:b w:val="0"/>
                <w:i w:val="0"/>
                <w:sz w:val="18"/>
              </w:rPr>
              <w:t>合计</w:t>
            </w:r>
          </w:p>
        </w:tc>
        <w:tc>
          <w:tcPr>
            <w:tcW w:w="1531" w:type="dxa"/>
            <w:shd w:val="clear" w:color="auto" w:fill="FFFFFF"/>
            <w:tcMar>
              <w:top w:w="90" w:type="dxa"/>
              <w:left w:w="90" w:type="dxa"/>
              <w:bottom w:w="90" w:type="dxa"/>
              <w:right w:w="90" w:type="dxa"/>
            </w:tcMar>
            <w:vAlign w:val="center"/>
          </w:tcPr>
          <w:p w14:paraId="2A3AC9A3">
            <w:pPr>
              <w:spacing w:before="0" w:after="0" w:line="252" w:lineRule="auto"/>
              <w:jc w:val="left"/>
              <w:rPr>
                <w:rFonts w:hint="default" w:ascii="Times New Roman" w:hAnsi="Times New Roman" w:eastAsia="宋体" w:cs="Times New Roman"/>
              </w:rPr>
            </w:pPr>
          </w:p>
        </w:tc>
        <w:tc>
          <w:tcPr>
            <w:tcW w:w="1531" w:type="dxa"/>
            <w:shd w:val="clear" w:color="auto" w:fill="FFFFFF"/>
            <w:tcMar>
              <w:top w:w="90" w:type="dxa"/>
              <w:left w:w="90" w:type="dxa"/>
              <w:bottom w:w="90" w:type="dxa"/>
              <w:right w:w="90" w:type="dxa"/>
            </w:tcMar>
            <w:vAlign w:val="center"/>
          </w:tcPr>
          <w:p w14:paraId="7BFD6548">
            <w:pPr>
              <w:spacing w:before="0" w:after="0" w:line="252" w:lineRule="auto"/>
              <w:jc w:val="center"/>
              <w:rPr>
                <w:rFonts w:hint="default" w:ascii="Times New Roman" w:hAnsi="Times New Roman" w:eastAsia="宋体" w:cs="Times New Roman"/>
              </w:rPr>
            </w:pPr>
            <w:r>
              <w:rPr>
                <w:rFonts w:hint="default" w:ascii="Times New Roman" w:hAnsi="Times New Roman" w:eastAsia="宋体" w:cs="Times New Roman"/>
                <w:b w:val="0"/>
                <w:i w:val="0"/>
                <w:sz w:val="18"/>
              </w:rPr>
              <w:t>380</w:t>
            </w:r>
          </w:p>
        </w:tc>
        <w:tc>
          <w:tcPr>
            <w:tcW w:w="1531" w:type="dxa"/>
            <w:shd w:val="clear" w:color="auto" w:fill="FFFFFF"/>
            <w:tcMar>
              <w:top w:w="90" w:type="dxa"/>
              <w:left w:w="90" w:type="dxa"/>
              <w:bottom w:w="90" w:type="dxa"/>
              <w:right w:w="90" w:type="dxa"/>
            </w:tcMar>
            <w:vAlign w:val="center"/>
          </w:tcPr>
          <w:p w14:paraId="51780BC7">
            <w:pPr>
              <w:spacing w:before="0" w:after="0" w:line="252" w:lineRule="auto"/>
              <w:jc w:val="center"/>
              <w:rPr>
                <w:rFonts w:hint="default" w:ascii="Times New Roman" w:hAnsi="Times New Roman" w:eastAsia="宋体" w:cs="Times New Roman"/>
              </w:rPr>
            </w:pPr>
            <w:r>
              <w:rPr>
                <w:rFonts w:hint="default" w:ascii="Times New Roman" w:hAnsi="Times New Roman" w:eastAsia="宋体" w:cs="Times New Roman"/>
                <w:b w:val="0"/>
                <w:i w:val="0"/>
                <w:sz w:val="18"/>
              </w:rPr>
              <w:t>250</w:t>
            </w:r>
          </w:p>
        </w:tc>
        <w:tc>
          <w:tcPr>
            <w:tcW w:w="1531" w:type="dxa"/>
            <w:shd w:val="clear" w:color="auto" w:fill="FFFFFF"/>
            <w:tcMar>
              <w:top w:w="90" w:type="dxa"/>
              <w:left w:w="90" w:type="dxa"/>
              <w:bottom w:w="90" w:type="dxa"/>
              <w:right w:w="90" w:type="dxa"/>
            </w:tcMar>
            <w:vAlign w:val="center"/>
          </w:tcPr>
          <w:p w14:paraId="20E29F4C">
            <w:pPr>
              <w:spacing w:before="0" w:after="0" w:line="252" w:lineRule="auto"/>
              <w:jc w:val="center"/>
              <w:rPr>
                <w:rFonts w:hint="default" w:ascii="Times New Roman" w:hAnsi="Times New Roman" w:eastAsia="宋体" w:cs="Times New Roman"/>
              </w:rPr>
            </w:pPr>
            <w:r>
              <w:rPr>
                <w:rFonts w:hint="default" w:ascii="Times New Roman" w:hAnsi="Times New Roman" w:eastAsia="宋体" w:cs="Times New Roman"/>
                <w:b w:val="0"/>
                <w:i w:val="0"/>
                <w:sz w:val="18"/>
              </w:rPr>
              <w:t>570</w:t>
            </w:r>
          </w:p>
        </w:tc>
        <w:tc>
          <w:tcPr>
            <w:tcW w:w="1531" w:type="dxa"/>
            <w:shd w:val="clear" w:color="auto" w:fill="FFFFFF"/>
            <w:tcMar>
              <w:top w:w="90" w:type="dxa"/>
              <w:left w:w="90" w:type="dxa"/>
              <w:bottom w:w="90" w:type="dxa"/>
              <w:right w:w="90" w:type="dxa"/>
            </w:tcMar>
            <w:vAlign w:val="center"/>
          </w:tcPr>
          <w:p w14:paraId="227A7106">
            <w:pPr>
              <w:spacing w:before="0" w:after="0" w:line="252" w:lineRule="auto"/>
              <w:jc w:val="center"/>
              <w:rPr>
                <w:rFonts w:hint="default" w:ascii="Times New Roman" w:hAnsi="Times New Roman" w:eastAsia="宋体" w:cs="Times New Roman"/>
              </w:rPr>
            </w:pPr>
            <w:r>
              <w:rPr>
                <w:rFonts w:hint="default" w:ascii="Times New Roman" w:hAnsi="Times New Roman" w:eastAsia="宋体" w:cs="Times New Roman"/>
                <w:b w:val="0"/>
                <w:i w:val="0"/>
                <w:sz w:val="18"/>
              </w:rPr>
              <w:t>1200</w:t>
            </w:r>
          </w:p>
        </w:tc>
      </w:tr>
    </w:tbl>
    <w:p w14:paraId="30FF256F">
      <w:pPr>
        <w:pStyle w:val="3"/>
        <w:rPr>
          <w:rFonts w:hint="default" w:ascii="Times New Roman" w:hAnsi="Times New Roman" w:eastAsia="宋体" w:cs="Times New Roman"/>
        </w:rPr>
      </w:pPr>
      <w:r>
        <w:rPr>
          <w:rFonts w:hint="default" w:ascii="Times New Roman" w:hAnsi="Times New Roman" w:eastAsia="宋体" w:cs="Times New Roman"/>
        </w:rPr>
        <w:t>九、统计分析方法</w:t>
      </w:r>
    </w:p>
    <w:p w14:paraId="13268454">
      <w:pPr>
        <w:pStyle w:val="4"/>
        <w:rPr>
          <w:rFonts w:hint="default" w:ascii="Times New Roman" w:hAnsi="Times New Roman" w:eastAsia="宋体" w:cs="Times New Roman"/>
        </w:rPr>
      </w:pPr>
      <w:r>
        <w:rPr>
          <w:rFonts w:hint="default" w:ascii="Times New Roman" w:hAnsi="Times New Roman" w:eastAsia="宋体" w:cs="Times New Roman"/>
        </w:rPr>
        <w:t>1. 统计分析总体原则</w:t>
      </w:r>
    </w:p>
    <w:p w14:paraId="25215E64">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以锁定模型（locked model）的严格外部验证为核心，不在主分析中进行模型再训练、再校准或阈值调整。</w:t>
      </w:r>
    </w:p>
    <w:p w14:paraId="2402C830">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以精度估计和诊断性能描述为主，而非将本研究设定为优效性或非劣效性试验。</w:t>
      </w:r>
    </w:p>
    <w:p w14:paraId="107B06E5">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按预设分析集开展主分析、支持性分析、关键亚组分析和探索性分析。</w:t>
      </w:r>
    </w:p>
    <w:p w14:paraId="0DC8FDBC">
      <w:pPr>
        <w:pStyle w:val="4"/>
        <w:rPr>
          <w:rFonts w:hint="default" w:ascii="Times New Roman" w:hAnsi="Times New Roman" w:eastAsia="宋体" w:cs="Times New Roman"/>
        </w:rPr>
      </w:pPr>
      <w:r>
        <w:rPr>
          <w:rFonts w:hint="default" w:ascii="Times New Roman" w:hAnsi="Times New Roman" w:eastAsia="宋体" w:cs="Times New Roman"/>
        </w:rPr>
        <w:t>2. 分析集定义</w:t>
      </w:r>
    </w:p>
    <w:p w14:paraId="29CC9986">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全分析集（FAS）：所有签署知情同意并完成入组登记的受试者，用于描述筛选、入组和数据完整性。</w:t>
      </w:r>
    </w:p>
    <w:p w14:paraId="755ED16E">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呼气可评估集（BES）：成功完成呼气采样且通过质控的受试者。</w:t>
      </w:r>
    </w:p>
    <w:p w14:paraId="7F32352E">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主要结局可评估集（PES）：在 BES 基础上具有明确最终疾病分类并满足主要终点判定条件的受试者。</w:t>
      </w:r>
    </w:p>
    <w:p w14:paraId="4B1A6A25">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关键亚组分析集：PTB+ vs non-TB；PTB-U vs non-TB。</w:t>
      </w:r>
    </w:p>
    <w:p w14:paraId="57FFF490">
      <w:pPr>
        <w:pStyle w:val="4"/>
        <w:rPr>
          <w:rFonts w:hint="default" w:ascii="Times New Roman" w:hAnsi="Times New Roman" w:eastAsia="宋体" w:cs="Times New Roman"/>
        </w:rPr>
      </w:pPr>
      <w:r>
        <w:rPr>
          <w:rFonts w:hint="default" w:ascii="Times New Roman" w:hAnsi="Times New Roman" w:eastAsia="宋体" w:cs="Times New Roman"/>
        </w:rPr>
        <w:t>3. 描述性分析</w:t>
      </w:r>
    </w:p>
    <w:p w14:paraId="1A1AA467">
      <w:pPr>
        <w:spacing w:before="0" w:after="120" w:line="360" w:lineRule="auto"/>
        <w:ind w:firstLine="420"/>
        <w:rPr>
          <w:rFonts w:hint="default" w:ascii="Times New Roman" w:hAnsi="Times New Roman" w:eastAsia="宋体" w:cs="Times New Roman"/>
        </w:rPr>
      </w:pPr>
      <w:r>
        <w:rPr>
          <w:rFonts w:hint="default" w:ascii="Times New Roman" w:hAnsi="Times New Roman" w:eastAsia="宋体" w:cs="Times New Roman"/>
          <w:b w:val="0"/>
          <w:i w:val="0"/>
          <w:sz w:val="22"/>
        </w:rPr>
        <w:t>基线人口学资料、症状、影像学、病原学、治疗暴露状态等变量采用适当的描述性统计方法呈现。连续变量根据分布特征以均值±标准差或中位数（四分位数）表示，分类变量以频数和百分比表示。</w:t>
      </w:r>
    </w:p>
    <w:p w14:paraId="187840C7">
      <w:pPr>
        <w:pStyle w:val="4"/>
        <w:rPr>
          <w:rFonts w:hint="default" w:ascii="Times New Roman" w:hAnsi="Times New Roman" w:eastAsia="宋体" w:cs="Times New Roman"/>
        </w:rPr>
      </w:pPr>
      <w:r>
        <w:rPr>
          <w:rFonts w:hint="default" w:ascii="Times New Roman" w:hAnsi="Times New Roman" w:eastAsia="宋体" w:cs="Times New Roman"/>
        </w:rPr>
        <w:t>4. 主要终点分析</w:t>
      </w:r>
    </w:p>
    <w:p w14:paraId="3B19158E">
      <w:pPr>
        <w:spacing w:before="0" w:after="120" w:line="360" w:lineRule="auto"/>
        <w:ind w:firstLine="420"/>
        <w:rPr>
          <w:rFonts w:hint="default" w:ascii="Times New Roman" w:hAnsi="Times New Roman" w:eastAsia="宋体" w:cs="Times New Roman"/>
        </w:rPr>
      </w:pPr>
      <w:r>
        <w:rPr>
          <w:rFonts w:hint="default" w:ascii="Times New Roman" w:hAnsi="Times New Roman" w:eastAsia="宋体" w:cs="Times New Roman"/>
          <w:b w:val="0"/>
          <w:i w:val="0"/>
          <w:sz w:val="22"/>
        </w:rPr>
        <w:t>以活动性肺结核整体（PTB+ + PTB-U）相对于 non-TB 为目标疾病，计算锁定呼气组学模型的敏感度、特异度、阳性预测值、阴性预测值、AUC 及其 95% 置信区间。必要时采用 DeLong 方法比较曲线下面积，并通过预设阈值直接生成 2×2 列联表。</w:t>
      </w:r>
    </w:p>
    <w:p w14:paraId="7129270B">
      <w:pPr>
        <w:pStyle w:val="4"/>
        <w:rPr>
          <w:rFonts w:hint="default" w:ascii="Times New Roman" w:hAnsi="Times New Roman" w:eastAsia="宋体" w:cs="Times New Roman"/>
        </w:rPr>
      </w:pPr>
      <w:r>
        <w:rPr>
          <w:rFonts w:hint="default" w:ascii="Times New Roman" w:hAnsi="Times New Roman" w:eastAsia="宋体" w:cs="Times New Roman"/>
        </w:rPr>
        <w:t>5. 支持性与关键亚组分析</w:t>
      </w:r>
    </w:p>
    <w:p w14:paraId="4C2826B1">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分别评估 PTB+ vs non-TB 与 PTB-U vs non-TB 的诊断性能。</w:t>
      </w:r>
    </w:p>
    <w:p w14:paraId="23E454DA">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按痰样本可获得性、是否已开始抗结核治疗、中心类型、年龄段等预设亚组进行支持性分析。</w:t>
      </w:r>
    </w:p>
    <w:p w14:paraId="0B74E287">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对 PTB-U 关键人群重点报告性能点估计与区间估计，并比较其与 PTB+ 的方向性差异。</w:t>
      </w:r>
    </w:p>
    <w:p w14:paraId="136FF738">
      <w:pPr>
        <w:pStyle w:val="4"/>
        <w:rPr>
          <w:rFonts w:hint="default" w:ascii="Times New Roman" w:hAnsi="Times New Roman" w:eastAsia="宋体" w:cs="Times New Roman"/>
        </w:rPr>
      </w:pPr>
      <w:r>
        <w:rPr>
          <w:rFonts w:hint="default" w:ascii="Times New Roman" w:hAnsi="Times New Roman" w:eastAsia="宋体" w:cs="Times New Roman"/>
        </w:rPr>
        <w:t>6. 多中心效应与可迁移性分析</w:t>
      </w:r>
    </w:p>
    <w:p w14:paraId="7B3E693E">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分中心报告入组数量、病例谱及主要性能指标；</w:t>
      </w:r>
    </w:p>
    <w:p w14:paraId="37D4E1A0">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采用分层或分中心合并分析评价中心间异质性；</w:t>
      </w:r>
    </w:p>
    <w:p w14:paraId="742647E1">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考察阈值运输性、校准情况和中心间漂移。</w:t>
      </w:r>
    </w:p>
    <w:p w14:paraId="3FDB4A95">
      <w:pPr>
        <w:pStyle w:val="4"/>
        <w:rPr>
          <w:rFonts w:hint="default" w:ascii="Times New Roman" w:hAnsi="Times New Roman" w:eastAsia="宋体" w:cs="Times New Roman"/>
        </w:rPr>
      </w:pPr>
      <w:r>
        <w:rPr>
          <w:rFonts w:hint="default" w:ascii="Times New Roman" w:hAnsi="Times New Roman" w:eastAsia="宋体" w:cs="Times New Roman"/>
        </w:rPr>
        <w:t>7. 探索性分析</w:t>
      </w:r>
    </w:p>
    <w:p w14:paraId="2AA750DC">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分析呼气输出与涂片分级、Xpert/Xpert Ultra 半定量结果、培养结果等菌载量指标的相关性；</w:t>
      </w:r>
    </w:p>
    <w:p w14:paraId="6A2E8FBD">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比较 PTB+、PTB-U 与 non-TB 的呼气模式，探索共享疾病相关信号；</w:t>
      </w:r>
    </w:p>
    <w:p w14:paraId="61EF40D2">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初步描述呼气检测对后续微生物学工作流、检查完成率和诊断时间的潜在程序学价值。</w:t>
      </w:r>
    </w:p>
    <w:p w14:paraId="01D6BFB1">
      <w:pPr>
        <w:pStyle w:val="4"/>
        <w:rPr>
          <w:rFonts w:hint="default" w:ascii="Times New Roman" w:hAnsi="Times New Roman" w:eastAsia="宋体" w:cs="Times New Roman"/>
        </w:rPr>
      </w:pPr>
      <w:r>
        <w:rPr>
          <w:rFonts w:hint="default" w:ascii="Times New Roman" w:hAnsi="Times New Roman" w:eastAsia="宋体" w:cs="Times New Roman"/>
        </w:rPr>
        <w:t>8. 缺失值与无效样本处理</w:t>
      </w:r>
    </w:p>
    <w:p w14:paraId="70260285">
      <w:pPr>
        <w:spacing w:before="0" w:after="120" w:line="360" w:lineRule="auto"/>
        <w:ind w:firstLine="420"/>
        <w:rPr>
          <w:rFonts w:hint="default" w:ascii="Times New Roman" w:hAnsi="Times New Roman" w:eastAsia="宋体" w:cs="Times New Roman"/>
        </w:rPr>
      </w:pPr>
      <w:r>
        <w:rPr>
          <w:rFonts w:hint="default" w:ascii="Times New Roman" w:hAnsi="Times New Roman" w:eastAsia="宋体" w:cs="Times New Roman"/>
          <w:b w:val="0"/>
          <w:i w:val="0"/>
          <w:sz w:val="22"/>
        </w:rPr>
        <w:t>指数试验缺失、样本质控失败、参考标准不完整及结局无法判定的情形均将预先定义并分别报告。主分析以主要结局可评估集为基础，同时通过敏感性分析评估关键缺失情形对结论稳健性的影响。</w:t>
      </w:r>
    </w:p>
    <w:p w14:paraId="2BDE722E">
      <w:pPr>
        <w:pStyle w:val="4"/>
        <w:rPr>
          <w:rFonts w:hint="default" w:ascii="Times New Roman" w:hAnsi="Times New Roman" w:eastAsia="宋体" w:cs="Times New Roman"/>
        </w:rPr>
      </w:pPr>
      <w:r>
        <w:rPr>
          <w:rFonts w:hint="default" w:ascii="Times New Roman" w:hAnsi="Times New Roman" w:eastAsia="宋体" w:cs="Times New Roman"/>
        </w:rPr>
        <w:t>9. 软件与显著性水平</w:t>
      </w:r>
    </w:p>
    <w:p w14:paraId="76929748">
      <w:pPr>
        <w:spacing w:before="0" w:after="120" w:line="360" w:lineRule="auto"/>
        <w:ind w:firstLine="420"/>
        <w:rPr>
          <w:rFonts w:hint="default" w:ascii="Times New Roman" w:hAnsi="Times New Roman" w:eastAsia="宋体" w:cs="Times New Roman"/>
        </w:rPr>
      </w:pPr>
      <w:r>
        <w:rPr>
          <w:rFonts w:hint="default" w:ascii="Times New Roman" w:hAnsi="Times New Roman" w:eastAsia="宋体" w:cs="Times New Roman"/>
          <w:b w:val="0"/>
          <w:i w:val="0"/>
          <w:sz w:val="22"/>
        </w:rPr>
        <w:t>统计分析可使用 R 或 SAS 完成。除描述性与探索性分析外，必要时采用双侧检验，显著性水平设定为 0.05；但本研究的核心解释重点在于诊断性能的点估计、区间估计和跨中心稳定性，而非单纯显著性判断。</w:t>
      </w:r>
    </w:p>
    <w:p w14:paraId="46E31B9B">
      <w:pPr>
        <w:pStyle w:val="3"/>
        <w:rPr>
          <w:rFonts w:hint="default" w:ascii="Times New Roman" w:hAnsi="Times New Roman" w:eastAsia="宋体" w:cs="Times New Roman"/>
        </w:rPr>
      </w:pPr>
      <w:r>
        <w:rPr>
          <w:rFonts w:hint="default" w:ascii="Times New Roman" w:hAnsi="Times New Roman" w:eastAsia="宋体" w:cs="Times New Roman"/>
        </w:rPr>
        <w:t>十、数据管理与质量控制</w:t>
      </w:r>
    </w:p>
    <w:p w14:paraId="6FDCC126">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建立统一的研究方案、SOP、CRF/EDC 和样本处理流程，确保分中心间操作一致性。</w:t>
      </w:r>
    </w:p>
    <w:p w14:paraId="756AE312">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研究启动前完成统一培训，包括受试者筛选、采样、质控、数据录入、结局判定与不良情况处理。</w:t>
      </w:r>
    </w:p>
    <w:p w14:paraId="09D86ED9">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呼气组学模型、预处理流程和判定阈值在研究开始前锁定，研究期间不允许擅自更改。</w:t>
      </w:r>
    </w:p>
    <w:p w14:paraId="3AC3AFD3">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建立中心化数据核查和质控机制，定期对入组连续性、样本质控通过率、PTB-U 复查完成率和缺失数据情况进行监测。</w:t>
      </w:r>
    </w:p>
    <w:p w14:paraId="2DCB1254">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设立独立于指数试验结果的结局判定流程；复杂病例由中心化裁定机制复核。</w:t>
      </w:r>
    </w:p>
    <w:p w14:paraId="0B263E94">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严格保护原始数据、临床资料和样本标识信息，采用去标识化和分级授权管理。</w:t>
      </w:r>
    </w:p>
    <w:p w14:paraId="1D9732C0">
      <w:pPr>
        <w:pStyle w:val="3"/>
        <w:rPr>
          <w:rFonts w:hint="default" w:ascii="Times New Roman" w:hAnsi="Times New Roman" w:eastAsia="宋体" w:cs="Times New Roman"/>
        </w:rPr>
      </w:pPr>
      <w:r>
        <w:rPr>
          <w:rFonts w:hint="default" w:ascii="Times New Roman" w:hAnsi="Times New Roman" w:eastAsia="宋体" w:cs="Times New Roman"/>
        </w:rPr>
        <w:t>十一、伦理学考虑与知情同意</w:t>
      </w:r>
    </w:p>
    <w:p w14:paraId="61CBA048">
      <w:pPr>
        <w:pStyle w:val="4"/>
        <w:rPr>
          <w:rFonts w:hint="default" w:ascii="Times New Roman" w:hAnsi="Times New Roman" w:eastAsia="宋体" w:cs="Times New Roman"/>
        </w:rPr>
      </w:pPr>
      <w:r>
        <w:rPr>
          <w:rFonts w:hint="default" w:ascii="Times New Roman" w:hAnsi="Times New Roman" w:eastAsia="宋体" w:cs="Times New Roman"/>
        </w:rPr>
        <w:t>1. 伦理学基本原则</w:t>
      </w:r>
    </w:p>
    <w:p w14:paraId="06EEE7B3">
      <w:pPr>
        <w:spacing w:before="0" w:after="120" w:line="360" w:lineRule="auto"/>
        <w:ind w:firstLine="420"/>
        <w:rPr>
          <w:rFonts w:hint="default" w:ascii="Times New Roman" w:hAnsi="Times New Roman" w:eastAsia="宋体" w:cs="Times New Roman"/>
        </w:rPr>
      </w:pPr>
      <w:r>
        <w:rPr>
          <w:rFonts w:hint="default" w:ascii="Times New Roman" w:hAnsi="Times New Roman" w:eastAsia="宋体" w:cs="Times New Roman"/>
          <w:b w:val="0"/>
          <w:i w:val="0"/>
          <w:sz w:val="22"/>
        </w:rPr>
        <w:t>本研究将严格遵循医学研究伦理原则及现行伦理审查规范。研究属于多中心、前瞻性、观察性诊断准确性研究，呼气采样为非侵入性操作，总体风险较低。</w:t>
      </w:r>
    </w:p>
    <w:p w14:paraId="1CD95786">
      <w:pPr>
        <w:pStyle w:val="4"/>
        <w:rPr>
          <w:rFonts w:hint="default" w:ascii="Times New Roman" w:hAnsi="Times New Roman" w:eastAsia="宋体" w:cs="Times New Roman"/>
        </w:rPr>
      </w:pPr>
      <w:r>
        <w:rPr>
          <w:rFonts w:hint="default" w:ascii="Times New Roman" w:hAnsi="Times New Roman" w:eastAsia="宋体" w:cs="Times New Roman"/>
        </w:rPr>
        <w:t>2. 风险与受益评估</w:t>
      </w:r>
    </w:p>
    <w:p w14:paraId="100E28AE">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主要风险包括轻微采样不适、随访与资料收集带来的时间成本，以及个人健康信息泄露的潜在风险；</w:t>
      </w:r>
    </w:p>
    <w:p w14:paraId="19149CEC">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潜在受益主要体现在推动形成更易获取、更前端的结核病筛查/分诊工具证据，为未来临床路径优化提供基础。</w:t>
      </w:r>
    </w:p>
    <w:p w14:paraId="5040DA3C">
      <w:pPr>
        <w:pStyle w:val="4"/>
        <w:rPr>
          <w:rFonts w:hint="default" w:ascii="Times New Roman" w:hAnsi="Times New Roman" w:eastAsia="宋体" w:cs="Times New Roman"/>
        </w:rPr>
      </w:pPr>
      <w:r>
        <w:rPr>
          <w:rFonts w:hint="default" w:ascii="Times New Roman" w:hAnsi="Times New Roman" w:eastAsia="宋体" w:cs="Times New Roman"/>
        </w:rPr>
        <w:t>3. 知情同意程序</w:t>
      </w:r>
    </w:p>
    <w:p w14:paraId="3FF91EE3">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受试者在充分理解研究目的、流程、潜在风险与权益后自愿签署知情同意书；</w:t>
      </w:r>
    </w:p>
    <w:p w14:paraId="781CFB85">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未成年人由监护人签署知情同意书，并尽可能征求本人同意/知情；</w:t>
      </w:r>
    </w:p>
    <w:p w14:paraId="423B4AE4">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受试者有权在任何阶段退出研究，而不影响其常规诊疗。</w:t>
      </w:r>
    </w:p>
    <w:p w14:paraId="4EF1BE56">
      <w:pPr>
        <w:pStyle w:val="4"/>
        <w:rPr>
          <w:rFonts w:hint="default" w:ascii="Times New Roman" w:hAnsi="Times New Roman" w:eastAsia="宋体" w:cs="Times New Roman"/>
        </w:rPr>
      </w:pPr>
      <w:r>
        <w:rPr>
          <w:rFonts w:hint="default" w:ascii="Times New Roman" w:hAnsi="Times New Roman" w:eastAsia="宋体" w:cs="Times New Roman"/>
        </w:rPr>
        <w:t>4. 隐私与数据保密</w:t>
      </w:r>
    </w:p>
    <w:p w14:paraId="51201B13">
      <w:pPr>
        <w:spacing w:before="0" w:after="120" w:line="360" w:lineRule="auto"/>
        <w:ind w:firstLine="420"/>
        <w:rPr>
          <w:rFonts w:hint="default" w:ascii="Times New Roman" w:hAnsi="Times New Roman" w:eastAsia="宋体" w:cs="Times New Roman"/>
        </w:rPr>
      </w:pPr>
      <w:r>
        <w:rPr>
          <w:rFonts w:hint="default" w:ascii="Times New Roman" w:hAnsi="Times New Roman" w:eastAsia="宋体" w:cs="Times New Roman"/>
          <w:b w:val="0"/>
          <w:i w:val="0"/>
          <w:sz w:val="22"/>
        </w:rPr>
        <w:t>所有研究数据和样本均采用唯一编码进行去标识化管理，研究团队仅在授权范围内访问必要信息；研究结果以汇总形式发布，不披露可识别个人身份的信息。</w:t>
      </w:r>
    </w:p>
    <w:p w14:paraId="230683A6">
      <w:pPr>
        <w:pStyle w:val="4"/>
        <w:rPr>
          <w:rFonts w:hint="default" w:ascii="Times New Roman" w:hAnsi="Times New Roman" w:eastAsia="宋体" w:cs="Times New Roman"/>
        </w:rPr>
      </w:pPr>
      <w:r>
        <w:rPr>
          <w:rFonts w:hint="default" w:ascii="Times New Roman" w:hAnsi="Times New Roman" w:eastAsia="宋体" w:cs="Times New Roman"/>
        </w:rPr>
        <w:t>5. 特殊伦理考虑</w:t>
      </w:r>
    </w:p>
    <w:p w14:paraId="06AED584">
      <w:pPr>
        <w:spacing w:before="0" w:after="120" w:line="360" w:lineRule="auto"/>
        <w:ind w:firstLine="420"/>
        <w:rPr>
          <w:rFonts w:hint="default" w:ascii="Times New Roman" w:hAnsi="Times New Roman" w:eastAsia="宋体" w:cs="Times New Roman"/>
        </w:rPr>
      </w:pPr>
      <w:r>
        <w:rPr>
          <w:rFonts w:hint="default" w:ascii="Times New Roman" w:hAnsi="Times New Roman" w:eastAsia="宋体" w:cs="Times New Roman"/>
          <w:b w:val="0"/>
          <w:i w:val="0"/>
          <w:sz w:val="22"/>
        </w:rPr>
        <w:t>呼气检测结果在研究期间不反馈临床，也不用于指导即时治疗决策或替代常规诊断。这一安排既符合研究 intended-use 的方法学要求，也有助于避免指数试验结果对参考标准形成过程造成偏倚。</w:t>
      </w:r>
    </w:p>
    <w:p w14:paraId="5F14EB48">
      <w:pPr>
        <w:pStyle w:val="3"/>
        <w:rPr>
          <w:rFonts w:hint="default" w:ascii="Times New Roman" w:hAnsi="Times New Roman" w:eastAsia="宋体" w:cs="Times New Roman"/>
        </w:rPr>
      </w:pPr>
      <w:r>
        <w:rPr>
          <w:rFonts w:hint="default" w:ascii="Times New Roman" w:hAnsi="Times New Roman" w:eastAsia="宋体" w:cs="Times New Roman"/>
        </w:rPr>
        <w:t>十二、研究进度安排与年度计划</w:t>
      </w:r>
    </w:p>
    <w:p w14:paraId="0C1ACB77">
      <w:pPr>
        <w:spacing w:before="0" w:after="120" w:line="360" w:lineRule="auto"/>
        <w:ind w:firstLine="420"/>
        <w:rPr>
          <w:rFonts w:hint="default" w:ascii="Times New Roman" w:hAnsi="Times New Roman" w:eastAsia="宋体" w:cs="Times New Roman"/>
        </w:rPr>
      </w:pPr>
      <w:r>
        <w:rPr>
          <w:rFonts w:hint="default" w:ascii="Times New Roman" w:hAnsi="Times New Roman" w:eastAsia="宋体" w:cs="Times New Roman"/>
          <w:b w:val="0"/>
          <w:i w:val="0"/>
          <w:sz w:val="22"/>
        </w:rPr>
        <w:t>本研究计划周期为 36 个月，总体分为研究准备与启动、连续入组与随访、随访收尾与成果产出三个阶段。</w:t>
      </w:r>
    </w:p>
    <w:tbl>
      <w:tblPr>
        <w:tblStyle w:val="32"/>
        <w:tblW w:w="0" w:type="auto"/>
        <w:jc w:val="center"/>
        <w:tblBorders>
          <w:top w:val="single" w:color="B8C7D9" w:sz="8" w:space="0"/>
          <w:left w:val="single" w:color="B8C7D9" w:sz="8" w:space="0"/>
          <w:bottom w:val="single" w:color="B8C7D9" w:sz="8" w:space="0"/>
          <w:right w:val="single" w:color="B8C7D9" w:sz="8" w:space="0"/>
          <w:insideH w:val="single" w:color="B8C7D9" w:sz="8" w:space="0"/>
          <w:insideV w:val="single" w:color="B8C7D9" w:sz="8" w:space="0"/>
        </w:tblBorders>
        <w:tblLayout w:type="fixed"/>
        <w:tblCellMar>
          <w:top w:w="0" w:type="dxa"/>
          <w:left w:w="108" w:type="dxa"/>
          <w:bottom w:w="0" w:type="dxa"/>
          <w:right w:w="108" w:type="dxa"/>
        </w:tblCellMar>
      </w:tblPr>
      <w:tblGrid>
        <w:gridCol w:w="3061"/>
        <w:gridCol w:w="3061"/>
        <w:gridCol w:w="3061"/>
      </w:tblGrid>
      <w:tr w14:paraId="7BFF79B9">
        <w:tblPrEx>
          <w:tblBorders>
            <w:top w:val="single" w:color="B8C7D9" w:sz="8" w:space="0"/>
            <w:left w:val="single" w:color="B8C7D9" w:sz="8" w:space="0"/>
            <w:bottom w:val="single" w:color="B8C7D9" w:sz="8" w:space="0"/>
            <w:right w:val="single" w:color="B8C7D9" w:sz="8" w:space="0"/>
            <w:insideH w:val="single" w:color="B8C7D9" w:sz="8" w:space="0"/>
            <w:insideV w:val="single" w:color="B8C7D9" w:sz="8" w:space="0"/>
          </w:tblBorders>
          <w:tblCellMar>
            <w:top w:w="0" w:type="dxa"/>
            <w:left w:w="108" w:type="dxa"/>
            <w:bottom w:w="0" w:type="dxa"/>
            <w:right w:w="108" w:type="dxa"/>
          </w:tblCellMar>
        </w:tblPrEx>
        <w:trPr>
          <w:tblHeader/>
          <w:jc w:val="center"/>
        </w:trPr>
        <w:tc>
          <w:tcPr>
            <w:tcW w:w="1701" w:type="dxa"/>
            <w:shd w:val="clear" w:color="auto" w:fill="DCEAF7"/>
            <w:tcMar>
              <w:top w:w="120" w:type="dxa"/>
              <w:left w:w="120" w:type="dxa"/>
              <w:bottom w:w="120" w:type="dxa"/>
              <w:right w:w="120" w:type="dxa"/>
            </w:tcMar>
            <w:vAlign w:val="center"/>
          </w:tcPr>
          <w:p w14:paraId="687E9C1A">
            <w:pPr>
              <w:spacing w:before="0" w:after="0" w:line="264" w:lineRule="auto"/>
              <w:jc w:val="center"/>
              <w:rPr>
                <w:rFonts w:hint="default" w:ascii="Times New Roman" w:hAnsi="Times New Roman" w:eastAsia="宋体" w:cs="Times New Roman"/>
              </w:rPr>
            </w:pPr>
            <w:r>
              <w:rPr>
                <w:rFonts w:hint="default" w:ascii="Times New Roman" w:hAnsi="Times New Roman" w:eastAsia="宋体" w:cs="Times New Roman"/>
                <w:b/>
                <w:i w:val="0"/>
                <w:sz w:val="20"/>
              </w:rPr>
              <w:t>时间阶段</w:t>
            </w:r>
          </w:p>
        </w:tc>
        <w:tc>
          <w:tcPr>
            <w:tcW w:w="4819" w:type="dxa"/>
            <w:shd w:val="clear" w:color="auto" w:fill="DCEAF7"/>
            <w:tcMar>
              <w:top w:w="120" w:type="dxa"/>
              <w:left w:w="120" w:type="dxa"/>
              <w:bottom w:w="120" w:type="dxa"/>
              <w:right w:w="120" w:type="dxa"/>
            </w:tcMar>
            <w:vAlign w:val="center"/>
          </w:tcPr>
          <w:p w14:paraId="52F896CE">
            <w:pPr>
              <w:spacing w:before="0" w:after="0" w:line="264" w:lineRule="auto"/>
              <w:jc w:val="center"/>
              <w:rPr>
                <w:rFonts w:hint="default" w:ascii="Times New Roman" w:hAnsi="Times New Roman" w:eastAsia="宋体" w:cs="Times New Roman"/>
              </w:rPr>
            </w:pPr>
            <w:r>
              <w:rPr>
                <w:rFonts w:hint="default" w:ascii="Times New Roman" w:hAnsi="Times New Roman" w:eastAsia="宋体" w:cs="Times New Roman"/>
                <w:b/>
                <w:i w:val="0"/>
                <w:sz w:val="20"/>
              </w:rPr>
              <w:t>主要任务</w:t>
            </w:r>
          </w:p>
        </w:tc>
        <w:tc>
          <w:tcPr>
            <w:tcW w:w="2324" w:type="dxa"/>
            <w:shd w:val="clear" w:color="auto" w:fill="DCEAF7"/>
            <w:tcMar>
              <w:top w:w="120" w:type="dxa"/>
              <w:left w:w="120" w:type="dxa"/>
              <w:bottom w:w="120" w:type="dxa"/>
              <w:right w:w="120" w:type="dxa"/>
            </w:tcMar>
            <w:vAlign w:val="center"/>
          </w:tcPr>
          <w:p w14:paraId="20C07E7C">
            <w:pPr>
              <w:spacing w:before="0" w:after="0" w:line="264" w:lineRule="auto"/>
              <w:jc w:val="center"/>
              <w:rPr>
                <w:rFonts w:hint="default" w:ascii="Times New Roman" w:hAnsi="Times New Roman" w:eastAsia="宋体" w:cs="Times New Roman"/>
              </w:rPr>
            </w:pPr>
            <w:r>
              <w:rPr>
                <w:rFonts w:hint="default" w:ascii="Times New Roman" w:hAnsi="Times New Roman" w:eastAsia="宋体" w:cs="Times New Roman"/>
                <w:b/>
                <w:i w:val="0"/>
                <w:sz w:val="20"/>
              </w:rPr>
              <w:t>关键节点</w:t>
            </w:r>
          </w:p>
        </w:tc>
      </w:tr>
      <w:tr w14:paraId="3459A704">
        <w:tblPrEx>
          <w:tblBorders>
            <w:top w:val="single" w:color="B8C7D9" w:sz="8" w:space="0"/>
            <w:left w:val="single" w:color="B8C7D9" w:sz="8" w:space="0"/>
            <w:bottom w:val="single" w:color="B8C7D9" w:sz="8" w:space="0"/>
            <w:right w:val="single" w:color="B8C7D9" w:sz="8" w:space="0"/>
            <w:insideH w:val="single" w:color="B8C7D9" w:sz="8" w:space="0"/>
            <w:insideV w:val="single" w:color="B8C7D9" w:sz="8" w:space="0"/>
          </w:tblBorders>
          <w:tblCellMar>
            <w:top w:w="0" w:type="dxa"/>
            <w:left w:w="108" w:type="dxa"/>
            <w:bottom w:w="0" w:type="dxa"/>
            <w:right w:w="108" w:type="dxa"/>
          </w:tblCellMar>
        </w:tblPrEx>
        <w:trPr>
          <w:jc w:val="center"/>
        </w:trPr>
        <w:tc>
          <w:tcPr>
            <w:tcW w:w="3061" w:type="dxa"/>
            <w:shd w:val="clear" w:color="auto" w:fill="FFFFFF"/>
            <w:tcMar>
              <w:top w:w="100" w:type="dxa"/>
              <w:left w:w="100" w:type="dxa"/>
              <w:bottom w:w="100" w:type="dxa"/>
              <w:right w:w="100" w:type="dxa"/>
            </w:tcMar>
            <w:vAlign w:val="center"/>
          </w:tcPr>
          <w:p w14:paraId="1F2FB16D">
            <w:pPr>
              <w:spacing w:before="0"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i w:val="0"/>
                <w:sz w:val="19"/>
              </w:rPr>
              <w:t>第1–3个月</w:t>
            </w:r>
          </w:p>
        </w:tc>
        <w:tc>
          <w:tcPr>
            <w:tcW w:w="3061" w:type="dxa"/>
            <w:shd w:val="clear" w:color="auto" w:fill="FFFFFF"/>
            <w:tcMar>
              <w:top w:w="100" w:type="dxa"/>
              <w:left w:w="100" w:type="dxa"/>
              <w:bottom w:w="100" w:type="dxa"/>
              <w:right w:w="100" w:type="dxa"/>
            </w:tcMar>
            <w:vAlign w:val="center"/>
          </w:tcPr>
          <w:p w14:paraId="5BFFE455">
            <w:pPr>
              <w:spacing w:before="0" w:after="0" w:line="264" w:lineRule="auto"/>
              <w:jc w:val="left"/>
              <w:rPr>
                <w:rFonts w:hint="default" w:ascii="Times New Roman" w:hAnsi="Times New Roman" w:eastAsia="宋体" w:cs="Times New Roman"/>
              </w:rPr>
            </w:pPr>
            <w:r>
              <w:rPr>
                <w:rFonts w:hint="default" w:ascii="Times New Roman" w:hAnsi="Times New Roman" w:eastAsia="宋体" w:cs="Times New Roman"/>
                <w:b w:val="0"/>
                <w:i w:val="0"/>
                <w:sz w:val="19"/>
              </w:rPr>
              <w:t>方案定稿、伦理提交、中心遴选、合同启动</w:t>
            </w:r>
          </w:p>
        </w:tc>
        <w:tc>
          <w:tcPr>
            <w:tcW w:w="3061" w:type="dxa"/>
            <w:shd w:val="clear" w:color="auto" w:fill="FFFFFF"/>
            <w:tcMar>
              <w:top w:w="100" w:type="dxa"/>
              <w:left w:w="100" w:type="dxa"/>
              <w:bottom w:w="100" w:type="dxa"/>
              <w:right w:w="100" w:type="dxa"/>
            </w:tcMar>
            <w:vAlign w:val="center"/>
          </w:tcPr>
          <w:p w14:paraId="60C85BA9">
            <w:pPr>
              <w:spacing w:before="0"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i w:val="0"/>
                <w:sz w:val="19"/>
              </w:rPr>
              <w:t>完成方案和核心文件定稿</w:t>
            </w:r>
          </w:p>
        </w:tc>
      </w:tr>
      <w:tr w14:paraId="1FA9152D">
        <w:tblPrEx>
          <w:tblBorders>
            <w:top w:val="single" w:color="B8C7D9" w:sz="8" w:space="0"/>
            <w:left w:val="single" w:color="B8C7D9" w:sz="8" w:space="0"/>
            <w:bottom w:val="single" w:color="B8C7D9" w:sz="8" w:space="0"/>
            <w:right w:val="single" w:color="B8C7D9" w:sz="8" w:space="0"/>
            <w:insideH w:val="single" w:color="B8C7D9" w:sz="8" w:space="0"/>
            <w:insideV w:val="single" w:color="B8C7D9" w:sz="8" w:space="0"/>
          </w:tblBorders>
          <w:tblCellMar>
            <w:top w:w="0" w:type="dxa"/>
            <w:left w:w="108" w:type="dxa"/>
            <w:bottom w:w="0" w:type="dxa"/>
            <w:right w:w="108" w:type="dxa"/>
          </w:tblCellMar>
        </w:tblPrEx>
        <w:trPr>
          <w:jc w:val="center"/>
        </w:trPr>
        <w:tc>
          <w:tcPr>
            <w:tcW w:w="3061" w:type="dxa"/>
            <w:shd w:val="clear" w:color="auto" w:fill="FAFCFE"/>
            <w:tcMar>
              <w:top w:w="100" w:type="dxa"/>
              <w:left w:w="100" w:type="dxa"/>
              <w:bottom w:w="100" w:type="dxa"/>
              <w:right w:w="100" w:type="dxa"/>
            </w:tcMar>
            <w:vAlign w:val="center"/>
          </w:tcPr>
          <w:p w14:paraId="45EDEA3D">
            <w:pPr>
              <w:spacing w:before="0"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i w:val="0"/>
                <w:sz w:val="19"/>
              </w:rPr>
              <w:t>第4–6个月</w:t>
            </w:r>
          </w:p>
        </w:tc>
        <w:tc>
          <w:tcPr>
            <w:tcW w:w="3061" w:type="dxa"/>
            <w:shd w:val="clear" w:color="auto" w:fill="FAFCFE"/>
            <w:tcMar>
              <w:top w:w="100" w:type="dxa"/>
              <w:left w:w="100" w:type="dxa"/>
              <w:bottom w:w="100" w:type="dxa"/>
              <w:right w:w="100" w:type="dxa"/>
            </w:tcMar>
            <w:vAlign w:val="center"/>
          </w:tcPr>
          <w:p w14:paraId="7111BF2B">
            <w:pPr>
              <w:spacing w:before="0" w:after="0" w:line="264" w:lineRule="auto"/>
              <w:jc w:val="left"/>
              <w:rPr>
                <w:rFonts w:hint="default" w:ascii="Times New Roman" w:hAnsi="Times New Roman" w:eastAsia="宋体" w:cs="Times New Roman"/>
              </w:rPr>
            </w:pPr>
            <w:r>
              <w:rPr>
                <w:rFonts w:hint="default" w:ascii="Times New Roman" w:hAnsi="Times New Roman" w:eastAsia="宋体" w:cs="Times New Roman"/>
                <w:b w:val="0"/>
                <w:i w:val="0"/>
                <w:sz w:val="19"/>
              </w:rPr>
              <w:t>中心启动、统一培训、EDC 与模型部署、试运行</w:t>
            </w:r>
          </w:p>
        </w:tc>
        <w:tc>
          <w:tcPr>
            <w:tcW w:w="3061" w:type="dxa"/>
            <w:shd w:val="clear" w:color="auto" w:fill="FAFCFE"/>
            <w:tcMar>
              <w:top w:w="100" w:type="dxa"/>
              <w:left w:w="100" w:type="dxa"/>
              <w:bottom w:w="100" w:type="dxa"/>
              <w:right w:w="100" w:type="dxa"/>
            </w:tcMar>
            <w:vAlign w:val="center"/>
          </w:tcPr>
          <w:p w14:paraId="1B3E4B28">
            <w:pPr>
              <w:spacing w:before="0"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i w:val="0"/>
                <w:sz w:val="19"/>
              </w:rPr>
              <w:t>完成全部中心启动</w:t>
            </w:r>
          </w:p>
        </w:tc>
      </w:tr>
      <w:tr w14:paraId="38EFF17D">
        <w:tblPrEx>
          <w:tblBorders>
            <w:top w:val="single" w:color="B8C7D9" w:sz="8" w:space="0"/>
            <w:left w:val="single" w:color="B8C7D9" w:sz="8" w:space="0"/>
            <w:bottom w:val="single" w:color="B8C7D9" w:sz="8" w:space="0"/>
            <w:right w:val="single" w:color="B8C7D9" w:sz="8" w:space="0"/>
            <w:insideH w:val="single" w:color="B8C7D9" w:sz="8" w:space="0"/>
            <w:insideV w:val="single" w:color="B8C7D9" w:sz="8" w:space="0"/>
          </w:tblBorders>
          <w:tblCellMar>
            <w:top w:w="0" w:type="dxa"/>
            <w:left w:w="108" w:type="dxa"/>
            <w:bottom w:w="0" w:type="dxa"/>
            <w:right w:w="108" w:type="dxa"/>
          </w:tblCellMar>
        </w:tblPrEx>
        <w:trPr>
          <w:jc w:val="center"/>
        </w:trPr>
        <w:tc>
          <w:tcPr>
            <w:tcW w:w="3061" w:type="dxa"/>
            <w:shd w:val="clear" w:color="auto" w:fill="FFFFFF"/>
            <w:tcMar>
              <w:top w:w="100" w:type="dxa"/>
              <w:left w:w="100" w:type="dxa"/>
              <w:bottom w:w="100" w:type="dxa"/>
              <w:right w:w="100" w:type="dxa"/>
            </w:tcMar>
            <w:vAlign w:val="center"/>
          </w:tcPr>
          <w:p w14:paraId="4FFE2978">
            <w:pPr>
              <w:spacing w:before="0"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i w:val="0"/>
                <w:sz w:val="19"/>
              </w:rPr>
              <w:t>第7–12个月</w:t>
            </w:r>
          </w:p>
        </w:tc>
        <w:tc>
          <w:tcPr>
            <w:tcW w:w="3061" w:type="dxa"/>
            <w:shd w:val="clear" w:color="auto" w:fill="FFFFFF"/>
            <w:tcMar>
              <w:top w:w="100" w:type="dxa"/>
              <w:left w:w="100" w:type="dxa"/>
              <w:bottom w:w="100" w:type="dxa"/>
              <w:right w:w="100" w:type="dxa"/>
            </w:tcMar>
            <w:vAlign w:val="center"/>
          </w:tcPr>
          <w:p w14:paraId="07191B59">
            <w:pPr>
              <w:spacing w:before="0" w:after="0" w:line="264" w:lineRule="auto"/>
              <w:jc w:val="left"/>
              <w:rPr>
                <w:rFonts w:hint="default" w:ascii="Times New Roman" w:hAnsi="Times New Roman" w:eastAsia="宋体" w:cs="Times New Roman"/>
              </w:rPr>
            </w:pPr>
            <w:r>
              <w:rPr>
                <w:rFonts w:hint="default" w:ascii="Times New Roman" w:hAnsi="Times New Roman" w:eastAsia="宋体" w:cs="Times New Roman"/>
                <w:b w:val="0"/>
                <w:i w:val="0"/>
                <w:sz w:val="19"/>
              </w:rPr>
              <w:t>正式入组与早期质控</w:t>
            </w:r>
          </w:p>
        </w:tc>
        <w:tc>
          <w:tcPr>
            <w:tcW w:w="3061" w:type="dxa"/>
            <w:shd w:val="clear" w:color="auto" w:fill="FFFFFF"/>
            <w:tcMar>
              <w:top w:w="100" w:type="dxa"/>
              <w:left w:w="100" w:type="dxa"/>
              <w:bottom w:w="100" w:type="dxa"/>
              <w:right w:w="100" w:type="dxa"/>
            </w:tcMar>
            <w:vAlign w:val="center"/>
          </w:tcPr>
          <w:p w14:paraId="3DD54E8D">
            <w:pPr>
              <w:spacing w:before="0"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i w:val="0"/>
                <w:sz w:val="19"/>
              </w:rPr>
              <w:t>累计入组 240–300 例</w:t>
            </w:r>
          </w:p>
        </w:tc>
      </w:tr>
      <w:tr w14:paraId="6EE850E8">
        <w:tblPrEx>
          <w:tblBorders>
            <w:top w:val="single" w:color="B8C7D9" w:sz="8" w:space="0"/>
            <w:left w:val="single" w:color="B8C7D9" w:sz="8" w:space="0"/>
            <w:bottom w:val="single" w:color="B8C7D9" w:sz="8" w:space="0"/>
            <w:right w:val="single" w:color="B8C7D9" w:sz="8" w:space="0"/>
            <w:insideH w:val="single" w:color="B8C7D9" w:sz="8" w:space="0"/>
            <w:insideV w:val="single" w:color="B8C7D9" w:sz="8" w:space="0"/>
          </w:tblBorders>
          <w:tblCellMar>
            <w:top w:w="0" w:type="dxa"/>
            <w:left w:w="108" w:type="dxa"/>
            <w:bottom w:w="0" w:type="dxa"/>
            <w:right w:w="108" w:type="dxa"/>
          </w:tblCellMar>
        </w:tblPrEx>
        <w:trPr>
          <w:jc w:val="center"/>
        </w:trPr>
        <w:tc>
          <w:tcPr>
            <w:tcW w:w="3061" w:type="dxa"/>
            <w:shd w:val="clear" w:color="auto" w:fill="FAFCFE"/>
            <w:tcMar>
              <w:top w:w="100" w:type="dxa"/>
              <w:left w:w="100" w:type="dxa"/>
              <w:bottom w:w="100" w:type="dxa"/>
              <w:right w:w="100" w:type="dxa"/>
            </w:tcMar>
            <w:vAlign w:val="center"/>
          </w:tcPr>
          <w:p w14:paraId="1185D0E5">
            <w:pPr>
              <w:spacing w:before="0"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i w:val="0"/>
                <w:sz w:val="19"/>
              </w:rPr>
              <w:t>第13–18个月</w:t>
            </w:r>
          </w:p>
        </w:tc>
        <w:tc>
          <w:tcPr>
            <w:tcW w:w="3061" w:type="dxa"/>
            <w:shd w:val="clear" w:color="auto" w:fill="FAFCFE"/>
            <w:tcMar>
              <w:top w:w="100" w:type="dxa"/>
              <w:left w:w="100" w:type="dxa"/>
              <w:bottom w:w="100" w:type="dxa"/>
              <w:right w:w="100" w:type="dxa"/>
            </w:tcMar>
            <w:vAlign w:val="center"/>
          </w:tcPr>
          <w:p w14:paraId="1A565D02">
            <w:pPr>
              <w:spacing w:before="0" w:after="0" w:line="264" w:lineRule="auto"/>
              <w:jc w:val="left"/>
              <w:rPr>
                <w:rFonts w:hint="default" w:ascii="Times New Roman" w:hAnsi="Times New Roman" w:eastAsia="宋体" w:cs="Times New Roman"/>
              </w:rPr>
            </w:pPr>
            <w:r>
              <w:rPr>
                <w:rFonts w:hint="default" w:ascii="Times New Roman" w:hAnsi="Times New Roman" w:eastAsia="宋体" w:cs="Times New Roman"/>
                <w:b w:val="0"/>
                <w:i w:val="0"/>
                <w:sz w:val="19"/>
              </w:rPr>
              <w:t>多中心稳定入组、PTB-U 复查推进</w:t>
            </w:r>
          </w:p>
        </w:tc>
        <w:tc>
          <w:tcPr>
            <w:tcW w:w="3061" w:type="dxa"/>
            <w:shd w:val="clear" w:color="auto" w:fill="FAFCFE"/>
            <w:tcMar>
              <w:top w:w="100" w:type="dxa"/>
              <w:left w:w="100" w:type="dxa"/>
              <w:bottom w:w="100" w:type="dxa"/>
              <w:right w:w="100" w:type="dxa"/>
            </w:tcMar>
            <w:vAlign w:val="center"/>
          </w:tcPr>
          <w:p w14:paraId="757E88AC">
            <w:pPr>
              <w:spacing w:before="0"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i w:val="0"/>
                <w:sz w:val="19"/>
              </w:rPr>
              <w:t>累计入组约 600–700 例</w:t>
            </w:r>
          </w:p>
        </w:tc>
      </w:tr>
      <w:tr w14:paraId="25EDB853">
        <w:tblPrEx>
          <w:tblBorders>
            <w:top w:val="single" w:color="B8C7D9" w:sz="8" w:space="0"/>
            <w:left w:val="single" w:color="B8C7D9" w:sz="8" w:space="0"/>
            <w:bottom w:val="single" w:color="B8C7D9" w:sz="8" w:space="0"/>
            <w:right w:val="single" w:color="B8C7D9" w:sz="8" w:space="0"/>
            <w:insideH w:val="single" w:color="B8C7D9" w:sz="8" w:space="0"/>
            <w:insideV w:val="single" w:color="B8C7D9" w:sz="8" w:space="0"/>
          </w:tblBorders>
          <w:tblCellMar>
            <w:top w:w="0" w:type="dxa"/>
            <w:left w:w="108" w:type="dxa"/>
            <w:bottom w:w="0" w:type="dxa"/>
            <w:right w:w="108" w:type="dxa"/>
          </w:tblCellMar>
        </w:tblPrEx>
        <w:trPr>
          <w:jc w:val="center"/>
        </w:trPr>
        <w:tc>
          <w:tcPr>
            <w:tcW w:w="3061" w:type="dxa"/>
            <w:shd w:val="clear" w:color="auto" w:fill="FFFFFF"/>
            <w:tcMar>
              <w:top w:w="100" w:type="dxa"/>
              <w:left w:w="100" w:type="dxa"/>
              <w:bottom w:w="100" w:type="dxa"/>
              <w:right w:w="100" w:type="dxa"/>
            </w:tcMar>
            <w:vAlign w:val="center"/>
          </w:tcPr>
          <w:p w14:paraId="27B109BF">
            <w:pPr>
              <w:spacing w:before="0"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i w:val="0"/>
                <w:sz w:val="19"/>
              </w:rPr>
              <w:t>第19–24个月</w:t>
            </w:r>
          </w:p>
        </w:tc>
        <w:tc>
          <w:tcPr>
            <w:tcW w:w="3061" w:type="dxa"/>
            <w:shd w:val="clear" w:color="auto" w:fill="FFFFFF"/>
            <w:tcMar>
              <w:top w:w="100" w:type="dxa"/>
              <w:left w:w="100" w:type="dxa"/>
              <w:bottom w:w="100" w:type="dxa"/>
              <w:right w:w="100" w:type="dxa"/>
            </w:tcMar>
            <w:vAlign w:val="center"/>
          </w:tcPr>
          <w:p w14:paraId="490DC608">
            <w:pPr>
              <w:spacing w:before="0" w:after="0" w:line="264" w:lineRule="auto"/>
              <w:jc w:val="left"/>
              <w:rPr>
                <w:rFonts w:hint="default" w:ascii="Times New Roman" w:hAnsi="Times New Roman" w:eastAsia="宋体" w:cs="Times New Roman"/>
              </w:rPr>
            </w:pPr>
            <w:r>
              <w:rPr>
                <w:rFonts w:hint="default" w:ascii="Times New Roman" w:hAnsi="Times New Roman" w:eastAsia="宋体" w:cs="Times New Roman"/>
                <w:b w:val="0"/>
                <w:i w:val="0"/>
                <w:sz w:val="19"/>
              </w:rPr>
              <w:t>持续入组、中心监查、中期质量评估</w:t>
            </w:r>
          </w:p>
        </w:tc>
        <w:tc>
          <w:tcPr>
            <w:tcW w:w="3061" w:type="dxa"/>
            <w:shd w:val="clear" w:color="auto" w:fill="FFFFFF"/>
            <w:tcMar>
              <w:top w:w="100" w:type="dxa"/>
              <w:left w:w="100" w:type="dxa"/>
              <w:bottom w:w="100" w:type="dxa"/>
              <w:right w:w="100" w:type="dxa"/>
            </w:tcMar>
            <w:vAlign w:val="center"/>
          </w:tcPr>
          <w:p w14:paraId="5093D713">
            <w:pPr>
              <w:spacing w:before="0"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i w:val="0"/>
                <w:sz w:val="19"/>
              </w:rPr>
              <w:t>累计入组 840–960 例</w:t>
            </w:r>
          </w:p>
        </w:tc>
      </w:tr>
      <w:tr w14:paraId="6B30C424">
        <w:tblPrEx>
          <w:tblBorders>
            <w:top w:val="single" w:color="B8C7D9" w:sz="8" w:space="0"/>
            <w:left w:val="single" w:color="B8C7D9" w:sz="8" w:space="0"/>
            <w:bottom w:val="single" w:color="B8C7D9" w:sz="8" w:space="0"/>
            <w:right w:val="single" w:color="B8C7D9" w:sz="8" w:space="0"/>
            <w:insideH w:val="single" w:color="B8C7D9" w:sz="8" w:space="0"/>
            <w:insideV w:val="single" w:color="B8C7D9" w:sz="8" w:space="0"/>
          </w:tblBorders>
          <w:tblCellMar>
            <w:top w:w="0" w:type="dxa"/>
            <w:left w:w="108" w:type="dxa"/>
            <w:bottom w:w="0" w:type="dxa"/>
            <w:right w:w="108" w:type="dxa"/>
          </w:tblCellMar>
        </w:tblPrEx>
        <w:trPr>
          <w:jc w:val="center"/>
        </w:trPr>
        <w:tc>
          <w:tcPr>
            <w:tcW w:w="3061" w:type="dxa"/>
            <w:shd w:val="clear" w:color="auto" w:fill="FAFCFE"/>
            <w:tcMar>
              <w:top w:w="100" w:type="dxa"/>
              <w:left w:w="100" w:type="dxa"/>
              <w:bottom w:w="100" w:type="dxa"/>
              <w:right w:w="100" w:type="dxa"/>
            </w:tcMar>
            <w:vAlign w:val="center"/>
          </w:tcPr>
          <w:p w14:paraId="3A98A631">
            <w:pPr>
              <w:spacing w:before="0"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i w:val="0"/>
                <w:sz w:val="19"/>
              </w:rPr>
              <w:t>第25–30个月</w:t>
            </w:r>
          </w:p>
        </w:tc>
        <w:tc>
          <w:tcPr>
            <w:tcW w:w="3061" w:type="dxa"/>
            <w:shd w:val="clear" w:color="auto" w:fill="FAFCFE"/>
            <w:tcMar>
              <w:top w:w="100" w:type="dxa"/>
              <w:left w:w="100" w:type="dxa"/>
              <w:bottom w:w="100" w:type="dxa"/>
              <w:right w:w="100" w:type="dxa"/>
            </w:tcMar>
            <w:vAlign w:val="center"/>
          </w:tcPr>
          <w:p w14:paraId="0B56E7B0">
            <w:pPr>
              <w:spacing w:before="0" w:after="0" w:line="264" w:lineRule="auto"/>
              <w:jc w:val="left"/>
              <w:rPr>
                <w:rFonts w:hint="default" w:ascii="Times New Roman" w:hAnsi="Times New Roman" w:eastAsia="宋体" w:cs="Times New Roman"/>
              </w:rPr>
            </w:pPr>
            <w:r>
              <w:rPr>
                <w:rFonts w:hint="default" w:ascii="Times New Roman" w:hAnsi="Times New Roman" w:eastAsia="宋体" w:cs="Times New Roman"/>
                <w:b w:val="0"/>
                <w:i w:val="0"/>
                <w:sz w:val="19"/>
              </w:rPr>
              <w:t>入组收尾、末批随访、中心化裁定</w:t>
            </w:r>
          </w:p>
        </w:tc>
        <w:tc>
          <w:tcPr>
            <w:tcW w:w="3061" w:type="dxa"/>
            <w:shd w:val="clear" w:color="auto" w:fill="FAFCFE"/>
            <w:tcMar>
              <w:top w:w="100" w:type="dxa"/>
              <w:left w:w="100" w:type="dxa"/>
              <w:bottom w:w="100" w:type="dxa"/>
              <w:right w:w="100" w:type="dxa"/>
            </w:tcMar>
            <w:vAlign w:val="center"/>
          </w:tcPr>
          <w:p w14:paraId="4CB58FED">
            <w:pPr>
              <w:spacing w:before="0"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i w:val="0"/>
                <w:sz w:val="19"/>
              </w:rPr>
              <w:t>样本量接近完成</w:t>
            </w:r>
          </w:p>
        </w:tc>
      </w:tr>
      <w:tr w14:paraId="77C53869">
        <w:tblPrEx>
          <w:tblBorders>
            <w:top w:val="single" w:color="B8C7D9" w:sz="8" w:space="0"/>
            <w:left w:val="single" w:color="B8C7D9" w:sz="8" w:space="0"/>
            <w:bottom w:val="single" w:color="B8C7D9" w:sz="8" w:space="0"/>
            <w:right w:val="single" w:color="B8C7D9" w:sz="8" w:space="0"/>
            <w:insideH w:val="single" w:color="B8C7D9" w:sz="8" w:space="0"/>
            <w:insideV w:val="single" w:color="B8C7D9" w:sz="8" w:space="0"/>
          </w:tblBorders>
          <w:tblCellMar>
            <w:top w:w="0" w:type="dxa"/>
            <w:left w:w="108" w:type="dxa"/>
            <w:bottom w:w="0" w:type="dxa"/>
            <w:right w:w="108" w:type="dxa"/>
          </w:tblCellMar>
        </w:tblPrEx>
        <w:trPr>
          <w:jc w:val="center"/>
        </w:trPr>
        <w:tc>
          <w:tcPr>
            <w:tcW w:w="3061" w:type="dxa"/>
            <w:shd w:val="clear" w:color="auto" w:fill="FFFFFF"/>
            <w:tcMar>
              <w:top w:w="100" w:type="dxa"/>
              <w:left w:w="100" w:type="dxa"/>
              <w:bottom w:w="100" w:type="dxa"/>
              <w:right w:w="100" w:type="dxa"/>
            </w:tcMar>
            <w:vAlign w:val="center"/>
          </w:tcPr>
          <w:p w14:paraId="2705EA40">
            <w:pPr>
              <w:spacing w:before="0"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i w:val="0"/>
                <w:sz w:val="19"/>
              </w:rPr>
              <w:t>第31–33个月</w:t>
            </w:r>
          </w:p>
        </w:tc>
        <w:tc>
          <w:tcPr>
            <w:tcW w:w="3061" w:type="dxa"/>
            <w:shd w:val="clear" w:color="auto" w:fill="FFFFFF"/>
            <w:tcMar>
              <w:top w:w="100" w:type="dxa"/>
              <w:left w:w="100" w:type="dxa"/>
              <w:bottom w:w="100" w:type="dxa"/>
              <w:right w:w="100" w:type="dxa"/>
            </w:tcMar>
            <w:vAlign w:val="center"/>
          </w:tcPr>
          <w:p w14:paraId="44B15610">
            <w:pPr>
              <w:spacing w:before="0" w:after="0" w:line="264" w:lineRule="auto"/>
              <w:jc w:val="left"/>
              <w:rPr>
                <w:rFonts w:hint="default" w:ascii="Times New Roman" w:hAnsi="Times New Roman" w:eastAsia="宋体" w:cs="Times New Roman"/>
              </w:rPr>
            </w:pPr>
            <w:r>
              <w:rPr>
                <w:rFonts w:hint="default" w:ascii="Times New Roman" w:hAnsi="Times New Roman" w:eastAsia="宋体" w:cs="Times New Roman"/>
                <w:b w:val="0"/>
                <w:i w:val="0"/>
                <w:sz w:val="19"/>
              </w:rPr>
              <w:t>数据清理、锁库、统计分析</w:t>
            </w:r>
          </w:p>
        </w:tc>
        <w:tc>
          <w:tcPr>
            <w:tcW w:w="3061" w:type="dxa"/>
            <w:shd w:val="clear" w:color="auto" w:fill="FFFFFF"/>
            <w:tcMar>
              <w:top w:w="100" w:type="dxa"/>
              <w:left w:w="100" w:type="dxa"/>
              <w:bottom w:w="100" w:type="dxa"/>
              <w:right w:w="100" w:type="dxa"/>
            </w:tcMar>
            <w:vAlign w:val="center"/>
          </w:tcPr>
          <w:p w14:paraId="11AE83CA">
            <w:pPr>
              <w:spacing w:before="0"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i w:val="0"/>
                <w:sz w:val="19"/>
              </w:rPr>
              <w:t>完成主分析结果</w:t>
            </w:r>
          </w:p>
        </w:tc>
      </w:tr>
      <w:tr w14:paraId="513511CB">
        <w:tblPrEx>
          <w:tblBorders>
            <w:top w:val="single" w:color="B8C7D9" w:sz="8" w:space="0"/>
            <w:left w:val="single" w:color="B8C7D9" w:sz="8" w:space="0"/>
            <w:bottom w:val="single" w:color="B8C7D9" w:sz="8" w:space="0"/>
            <w:right w:val="single" w:color="B8C7D9" w:sz="8" w:space="0"/>
            <w:insideH w:val="single" w:color="B8C7D9" w:sz="8" w:space="0"/>
            <w:insideV w:val="single" w:color="B8C7D9" w:sz="8" w:space="0"/>
          </w:tblBorders>
          <w:tblCellMar>
            <w:top w:w="0" w:type="dxa"/>
            <w:left w:w="108" w:type="dxa"/>
            <w:bottom w:w="0" w:type="dxa"/>
            <w:right w:w="108" w:type="dxa"/>
          </w:tblCellMar>
        </w:tblPrEx>
        <w:trPr>
          <w:jc w:val="center"/>
        </w:trPr>
        <w:tc>
          <w:tcPr>
            <w:tcW w:w="3061" w:type="dxa"/>
            <w:shd w:val="clear" w:color="auto" w:fill="FAFCFE"/>
            <w:tcMar>
              <w:top w:w="100" w:type="dxa"/>
              <w:left w:w="100" w:type="dxa"/>
              <w:bottom w:w="100" w:type="dxa"/>
              <w:right w:w="100" w:type="dxa"/>
            </w:tcMar>
            <w:vAlign w:val="center"/>
          </w:tcPr>
          <w:p w14:paraId="60501804">
            <w:pPr>
              <w:spacing w:before="0"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i w:val="0"/>
                <w:sz w:val="19"/>
              </w:rPr>
              <w:t>第34–36个月</w:t>
            </w:r>
          </w:p>
        </w:tc>
        <w:tc>
          <w:tcPr>
            <w:tcW w:w="3061" w:type="dxa"/>
            <w:shd w:val="clear" w:color="auto" w:fill="FAFCFE"/>
            <w:tcMar>
              <w:top w:w="100" w:type="dxa"/>
              <w:left w:w="100" w:type="dxa"/>
              <w:bottom w:w="100" w:type="dxa"/>
              <w:right w:w="100" w:type="dxa"/>
            </w:tcMar>
            <w:vAlign w:val="center"/>
          </w:tcPr>
          <w:p w14:paraId="312BB499">
            <w:pPr>
              <w:spacing w:before="0" w:after="0" w:line="264" w:lineRule="auto"/>
              <w:jc w:val="left"/>
              <w:rPr>
                <w:rFonts w:hint="default" w:ascii="Times New Roman" w:hAnsi="Times New Roman" w:eastAsia="宋体" w:cs="Times New Roman"/>
              </w:rPr>
            </w:pPr>
            <w:r>
              <w:rPr>
                <w:rFonts w:hint="default" w:ascii="Times New Roman" w:hAnsi="Times New Roman" w:eastAsia="宋体" w:cs="Times New Roman"/>
                <w:b w:val="0"/>
                <w:i w:val="0"/>
                <w:sz w:val="19"/>
              </w:rPr>
              <w:t>论文撰写、成果凝练、项目总结</w:t>
            </w:r>
          </w:p>
        </w:tc>
        <w:tc>
          <w:tcPr>
            <w:tcW w:w="3061" w:type="dxa"/>
            <w:shd w:val="clear" w:color="auto" w:fill="FAFCFE"/>
            <w:tcMar>
              <w:top w:w="100" w:type="dxa"/>
              <w:left w:w="100" w:type="dxa"/>
              <w:bottom w:w="100" w:type="dxa"/>
              <w:right w:w="100" w:type="dxa"/>
            </w:tcMar>
            <w:vAlign w:val="center"/>
          </w:tcPr>
          <w:p w14:paraId="63E3CC38">
            <w:pPr>
              <w:spacing w:before="0"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i w:val="0"/>
                <w:sz w:val="19"/>
              </w:rPr>
              <w:t>形成主要成果输出</w:t>
            </w:r>
          </w:p>
        </w:tc>
      </w:tr>
    </w:tbl>
    <w:p w14:paraId="5637E603">
      <w:pPr>
        <w:pStyle w:val="4"/>
        <w:rPr>
          <w:rFonts w:hint="default" w:ascii="Times New Roman" w:hAnsi="Times New Roman" w:eastAsia="宋体" w:cs="Times New Roman"/>
        </w:rPr>
      </w:pPr>
      <w:r>
        <w:rPr>
          <w:rFonts w:hint="default" w:ascii="Times New Roman" w:hAnsi="Times New Roman" w:eastAsia="宋体" w:cs="Times New Roman"/>
        </w:rPr>
        <w:t>年度里程碑</w:t>
      </w:r>
    </w:p>
    <w:p w14:paraId="63D04E7C">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第一年度：完成方案定稿、伦理审批、中心启动、统一培训和早期入组。</w:t>
      </w:r>
    </w:p>
    <w:p w14:paraId="730AA8DE">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第二年度：完成多中心主体入组、PTB-U 关键复查和阶段性质控。</w:t>
      </w:r>
    </w:p>
    <w:p w14:paraId="2653790F">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第三年度：完成入组收尾、中心化结局判定、数据库锁定、主分析及主要成果输出。</w:t>
      </w:r>
    </w:p>
    <w:p w14:paraId="1FFB8EEC">
      <w:pPr>
        <w:pStyle w:val="3"/>
        <w:rPr>
          <w:rFonts w:hint="default" w:ascii="Times New Roman" w:hAnsi="Times New Roman" w:eastAsia="宋体" w:cs="Times New Roman"/>
        </w:rPr>
      </w:pPr>
      <w:r>
        <w:rPr>
          <w:rFonts w:hint="default" w:ascii="Times New Roman" w:hAnsi="Times New Roman" w:eastAsia="宋体" w:cs="Times New Roman"/>
        </w:rPr>
        <w:t>十三、预期研究结果、创新点与可行性基础</w:t>
      </w:r>
    </w:p>
    <w:p w14:paraId="6E7164D2">
      <w:pPr>
        <w:pStyle w:val="4"/>
        <w:rPr>
          <w:rFonts w:hint="default" w:ascii="Times New Roman" w:hAnsi="Times New Roman" w:eastAsia="宋体" w:cs="Times New Roman"/>
        </w:rPr>
      </w:pPr>
      <w:r>
        <w:rPr>
          <w:rFonts w:hint="default" w:ascii="Times New Roman" w:hAnsi="Times New Roman" w:eastAsia="宋体" w:cs="Times New Roman"/>
        </w:rPr>
        <w:t>1. 预期研究结果</w:t>
      </w:r>
    </w:p>
    <w:p w14:paraId="221FE778">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形成呼气组学用于活动性肺结核整体非痰前端筛查/分诊的多中心临床证据；</w:t>
      </w:r>
    </w:p>
    <w:p w14:paraId="0D9181C0">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明确呼气检测在 PTB-U 人群中的应用价值和临床定位；</w:t>
      </w:r>
    </w:p>
    <w:p w14:paraId="71140C38">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阐明呼气信号与菌载量及疾病状态之间的关系；</w:t>
      </w:r>
    </w:p>
    <w:p w14:paraId="14AEBC04">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建立多中心标准化呼气采样、检测、判定与质控体系；</w:t>
      </w:r>
    </w:p>
    <w:p w14:paraId="284853F8">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形成高水平论文、方法学标准和后续转化储备。</w:t>
      </w:r>
    </w:p>
    <w:p w14:paraId="696C257D">
      <w:pPr>
        <w:pStyle w:val="4"/>
        <w:rPr>
          <w:rFonts w:hint="default" w:ascii="Times New Roman" w:hAnsi="Times New Roman" w:eastAsia="宋体" w:cs="Times New Roman"/>
        </w:rPr>
      </w:pPr>
      <w:r>
        <w:rPr>
          <w:rFonts w:hint="default" w:ascii="Times New Roman" w:hAnsi="Times New Roman" w:eastAsia="宋体" w:cs="Times New Roman"/>
        </w:rPr>
        <w:t>2. 创新点</w:t>
      </w:r>
    </w:p>
    <w:p w14:paraId="4EE7C280">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研究目标从“能否区分肺结核与健康对照”提升为“能否识别活动性肺结核整体并服务于前端筛查/分诊”。</w:t>
      </w:r>
    </w:p>
    <w:p w14:paraId="77A5E703">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首次将 PTB-U 作为关键亮点人群，而非边缘性补充人群。</w:t>
      </w:r>
    </w:p>
    <w:p w14:paraId="133B25B7">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围绕“呼气信号是否超越菌载量”这一关键科学问题进行系统验证。</w:t>
      </w:r>
    </w:p>
    <w:p w14:paraId="094B322D">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采用“锁定模型、锁定阈值、严格外部验证”的研究路径，而非多中心数据再开发。</w:t>
      </w:r>
    </w:p>
    <w:p w14:paraId="125F81A3">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构建更贴近真实临床鉴别场景的 non-TB 对照体系。</w:t>
      </w:r>
    </w:p>
    <w:p w14:paraId="218DFA48">
      <w:pPr>
        <w:pStyle w:val="4"/>
        <w:rPr>
          <w:rFonts w:hint="default" w:ascii="Times New Roman" w:hAnsi="Times New Roman" w:eastAsia="宋体" w:cs="Times New Roman"/>
        </w:rPr>
      </w:pPr>
      <w:r>
        <w:rPr>
          <w:rFonts w:hint="default" w:ascii="Times New Roman" w:hAnsi="Times New Roman" w:eastAsia="宋体" w:cs="Times New Roman"/>
        </w:rPr>
        <w:t>3. 可行性基础</w:t>
      </w:r>
    </w:p>
    <w:p w14:paraId="62F167F5">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团队已具备较扎实的单中心前期研究基础，并已从 PTB+ 识别推进至 PTB-U 的前瞻性 intended-use 验证。</w:t>
      </w:r>
    </w:p>
    <w:p w14:paraId="41AD047B">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已建立较成熟的呼气采样、检测与质控平台，具备较高样本通过率和标准化实施能力。</w:t>
      </w:r>
    </w:p>
    <w:p w14:paraId="1ED906B7">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已提前构建较完整的病例分组、混杂控制、结局判定和统计分析框架。</w:t>
      </w:r>
    </w:p>
    <w:p w14:paraId="195B0A70">
      <w:pPr>
        <w:pStyle w:val="16"/>
        <w:spacing w:before="0" w:after="40" w:line="336" w:lineRule="auto"/>
        <w:rPr>
          <w:rFonts w:hint="default" w:ascii="Times New Roman" w:hAnsi="Times New Roman" w:eastAsia="宋体" w:cs="Times New Roman"/>
        </w:rPr>
      </w:pPr>
      <w:r>
        <w:rPr>
          <w:rFonts w:hint="default" w:ascii="Times New Roman" w:hAnsi="Times New Roman" w:eastAsia="宋体" w:cs="Times New Roman"/>
          <w:b w:val="0"/>
          <w:i w:val="0"/>
          <w:sz w:val="21"/>
        </w:rPr>
        <w:t>研究对象与流程与真实临床工作流高度契合，具备较好的多中心推广潜力。</w:t>
      </w:r>
    </w:p>
    <w:p w14:paraId="4D18FC2F">
      <w:pPr>
        <w:pStyle w:val="4"/>
        <w:rPr>
          <w:rFonts w:hint="default" w:ascii="Times New Roman" w:hAnsi="Times New Roman" w:eastAsia="宋体" w:cs="Times New Roman"/>
        </w:rPr>
      </w:pPr>
      <w:r>
        <w:rPr>
          <w:rFonts w:hint="default" w:ascii="Times New Roman" w:hAnsi="Times New Roman" w:eastAsia="宋体" w:cs="Times New Roman"/>
        </w:rPr>
        <w:t>4. 结论性表述</w:t>
      </w:r>
    </w:p>
    <w:p w14:paraId="15D74C47">
      <w:pPr>
        <w:spacing w:before="0" w:after="120" w:line="360" w:lineRule="auto"/>
        <w:ind w:firstLine="420"/>
        <w:rPr>
          <w:rFonts w:hint="default" w:ascii="Times New Roman" w:hAnsi="Times New Roman" w:eastAsia="宋体" w:cs="Times New Roman"/>
        </w:rPr>
      </w:pPr>
      <w:r>
        <w:rPr>
          <w:rFonts w:hint="default" w:ascii="Times New Roman" w:hAnsi="Times New Roman" w:eastAsia="宋体" w:cs="Times New Roman"/>
          <w:b w:val="0"/>
          <w:i w:val="0"/>
          <w:sz w:val="22"/>
        </w:rPr>
        <w:t>本研究以活动性肺结核整体为主命题、以 PTB-U 为关键亮点，拟在多中心、前瞻性、真实世界框架下，严格验证锁定呼气组学模型作为非痰前端筛查/分诊工具的临床可迁移性、方法学稳健性及初步转化价值。若研究顺利完成，将为后续更高层级实施研究、设备优化和临床转化提供关键基础。</w:t>
      </w:r>
    </w:p>
    <w:p w14:paraId="1354BEDB">
      <w:pPr>
        <w:rPr>
          <w:rFonts w:hint="default" w:ascii="Times New Roman" w:hAnsi="Times New Roman" w:eastAsia="宋体" w:cs="Times New Roman"/>
        </w:rPr>
      </w:pPr>
    </w:p>
    <w:p w14:paraId="0C3C78AC">
      <w:pPr>
        <w:jc w:val="center"/>
        <w:rPr>
          <w:rFonts w:hint="default" w:ascii="Times New Roman" w:hAnsi="Times New Roman" w:eastAsia="宋体" w:cs="Times New Roman"/>
        </w:rPr>
      </w:pPr>
      <w:r>
        <w:rPr>
          <w:rFonts w:hint="default" w:ascii="Times New Roman" w:hAnsi="Times New Roman" w:eastAsia="宋体" w:cs="Times New Roman"/>
          <w:b w:val="0"/>
          <w:i w:val="0"/>
          <w:color w:val="7A869A"/>
          <w:sz w:val="20"/>
        </w:rPr>
        <w:t>—— 研究方案终稿 ——</w:t>
      </w:r>
    </w:p>
    <w:sectPr>
      <w:headerReference r:id="rId5" w:type="default"/>
      <w:footerReference r:id="rId6" w:type="default"/>
      <w:pgSz w:w="11906" w:h="16838"/>
      <w:pgMar w:top="1247" w:right="1361" w:bottom="1247" w:left="1361" w:header="567" w:footer="56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Noto Serif CJK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Noto Sans CJK SC">
    <w:altName w:val="Segoe Print"/>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FB697E">
    <w:pPr>
      <w:pStyle w:val="24"/>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48" w:lineRule="auto"/>
      </w:pPr>
      <w:r>
        <w:separator/>
      </w:r>
    </w:p>
  </w:footnote>
  <w:footnote w:type="continuationSeparator" w:id="1">
    <w:p>
      <w:pPr>
        <w:spacing w:before="0" w:after="0" w:line="34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851DD">
    <w:pPr>
      <w:pStyle w:val="25"/>
      <w:jc w:val="right"/>
    </w:pPr>
    <w:r>
      <w:rPr>
        <w:rFonts w:ascii="Arial" w:hAnsi="Arial" w:eastAsia="Noto Sans CJK SC"/>
        <w:b w:val="0"/>
        <w:i w:val="0"/>
        <w:color w:val="7A869A"/>
        <w:sz w:val="17"/>
      </w:rPr>
      <w:t>呼气组学用于活动性肺结核非痰前端筛查的多中心前瞻性研究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3AE0CF0"/>
    <w:rsid w:val="1DFB39E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48" w:lineRule="auto"/>
    </w:pPr>
    <w:rPr>
      <w:rFonts w:ascii="Times New Roman" w:hAnsi="Times New Roman" w:eastAsia="Noto Serif CJK SC" w:cstheme="minorBidi"/>
      <w:sz w:val="22"/>
      <w:szCs w:val="22"/>
      <w:lang w:val="en-US" w:eastAsia="en-US" w:bidi="ar-SA"/>
    </w:rPr>
  </w:style>
  <w:style w:type="paragraph" w:styleId="3">
    <w:name w:val="heading 1"/>
    <w:basedOn w:val="1"/>
    <w:next w:val="1"/>
    <w:link w:val="138"/>
    <w:qFormat/>
    <w:uiPriority w:val="9"/>
    <w:pPr>
      <w:keepNext/>
      <w:keepLines/>
      <w:spacing w:before="240" w:after="120" w:line="288" w:lineRule="auto"/>
      <w:outlineLvl w:val="0"/>
    </w:pPr>
    <w:rPr>
      <w:rFonts w:asciiTheme="majorHAnsi" w:hAnsiTheme="majorHAnsi" w:eastAsiaTheme="majorEastAsia" w:cstheme="majorBidi"/>
      <w:b/>
      <w:bCs/>
      <w:color w:val="1F4E79"/>
      <w:sz w:val="32"/>
      <w:szCs w:val="28"/>
    </w:rPr>
  </w:style>
  <w:style w:type="paragraph" w:styleId="4">
    <w:name w:val="heading 2"/>
    <w:basedOn w:val="1"/>
    <w:next w:val="1"/>
    <w:link w:val="139"/>
    <w:unhideWhenUsed/>
    <w:qFormat/>
    <w:uiPriority w:val="9"/>
    <w:pPr>
      <w:keepNext/>
      <w:keepLines/>
      <w:spacing w:before="160" w:after="60" w:line="288" w:lineRule="auto"/>
      <w:outlineLvl w:val="1"/>
    </w:pPr>
    <w:rPr>
      <w:rFonts w:asciiTheme="majorHAnsi" w:hAnsiTheme="majorHAnsi" w:eastAsiaTheme="majorEastAsia" w:cstheme="majorBidi"/>
      <w:b/>
      <w:bCs/>
      <w:color w:val="253858"/>
      <w:sz w:val="26"/>
      <w:szCs w:val="26"/>
    </w:rPr>
  </w:style>
  <w:style w:type="paragraph" w:styleId="5">
    <w:name w:val="heading 3"/>
    <w:basedOn w:val="1"/>
    <w:next w:val="1"/>
    <w:link w:val="140"/>
    <w:unhideWhenUsed/>
    <w:qFormat/>
    <w:uiPriority w:val="9"/>
    <w:pPr>
      <w:keepNext/>
      <w:keepLines/>
      <w:spacing w:before="160" w:after="60" w:line="288" w:lineRule="auto"/>
      <w:outlineLvl w:val="2"/>
    </w:pPr>
    <w:rPr>
      <w:rFonts w:asciiTheme="majorHAnsi" w:hAnsiTheme="majorHAnsi" w:eastAsiaTheme="majorEastAsia" w:cstheme="majorBidi"/>
      <w:b/>
      <w:bCs/>
      <w:color w:val="253858"/>
      <w:sz w:val="23"/>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pPr>
      <w:spacing w:before="0" w:after="200" w:line="288" w:lineRule="auto"/>
    </w:pPr>
    <w:rPr>
      <w:rFonts w:asciiTheme="majorHAnsi" w:hAnsiTheme="majorHAnsi" w:eastAsiaTheme="majorEastAsia" w:cstheme="majorBidi"/>
      <w:i/>
      <w:iCs/>
      <w:color w:val="666666"/>
      <w:spacing w:val="15"/>
      <w:sz w:val="22"/>
      <w:szCs w:val="24"/>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before="0" w:after="200" w:line="288" w:lineRule="auto"/>
      <w:contextualSpacing/>
    </w:pPr>
    <w:rPr>
      <w:rFonts w:asciiTheme="majorHAnsi" w:hAnsiTheme="majorHAnsi" w:eastAsiaTheme="majorEastAsia" w:cstheme="majorBidi"/>
      <w:b/>
      <w:color w:val="1F4E79"/>
      <w:spacing w:val="5"/>
      <w:kern w:val="28"/>
      <w:sz w:val="40"/>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8349</Words>
  <Characters>9241</Characters>
  <Lines>0</Lines>
  <Paragraphs>0</Paragraphs>
  <TotalTime>1</TotalTime>
  <ScaleCrop>false</ScaleCrop>
  <LinksUpToDate>false</LinksUpToDate>
  <CharactersWithSpaces>9626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付亮</cp:lastModifiedBy>
  <dcterms:modified xsi:type="dcterms:W3CDTF">2026-03-30T05:49:35Z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eyJoZGlkIjoiZTZhZjNkZDJlNGNjYTE3NWQwMTVkOGZkY2NmNjU4OWEiLCJ1c2VySWQiOiIyMDkyMjY1MzMifQ==</vt:lpwstr>
  </property>
  <property fmtid="{D5CDD505-2E9C-101B-9397-08002B2CF9AE}" pid="3" name="KSOProductBuildVer">
    <vt:lpwstr>2052-12.1.0.25225</vt:lpwstr>
  </property>
  <property fmtid="{D5CDD505-2E9C-101B-9397-08002B2CF9AE}" pid="4" name="ICV">
    <vt:lpwstr>ABE43B4B31C245D48A021ED70DA787B3_13</vt:lpwstr>
  </property>
</Properties>
</file>