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43858">
      <w:pPr>
        <w:widowControl/>
        <w:spacing w:line="520" w:lineRule="exact"/>
        <w:jc w:val="left"/>
        <w:rPr>
          <w:rFonts w:ascii="宋体" w:hAnsi="宋体"/>
          <w:sz w:val="32"/>
          <w:szCs w:val="32"/>
        </w:rPr>
      </w:pPr>
    </w:p>
    <w:p w14:paraId="4675EB43">
      <w:pPr>
        <w:widowControl/>
        <w:spacing w:line="520" w:lineRule="exact"/>
        <w:jc w:val="left"/>
        <w:rPr>
          <w:rFonts w:ascii="宋体" w:hAnsi="宋体"/>
          <w:sz w:val="32"/>
          <w:szCs w:val="32"/>
        </w:rPr>
      </w:pPr>
      <w:r>
        <w:rPr>
          <w:rFonts w:hint="eastAsia" w:ascii="宋体" w:hAnsi="宋体"/>
          <w:sz w:val="32"/>
          <w:szCs w:val="32"/>
        </w:rPr>
        <w:t>附件：</w:t>
      </w:r>
    </w:p>
    <w:p w14:paraId="6C586BFA">
      <w:pPr>
        <w:widowControl/>
        <w:spacing w:line="520" w:lineRule="exact"/>
        <w:jc w:val="left"/>
        <w:rPr>
          <w:rFonts w:ascii="宋体" w:hAnsi="宋体"/>
          <w:sz w:val="32"/>
          <w:szCs w:val="32"/>
        </w:rPr>
      </w:pPr>
    </w:p>
    <w:p w14:paraId="243DAD63">
      <w:pPr>
        <w:jc w:val="center"/>
        <w:rPr>
          <w:rFonts w:ascii="宋体" w:hAnsi="宋体"/>
          <w:b/>
          <w:bCs/>
          <w:sz w:val="52"/>
        </w:rPr>
      </w:pPr>
      <w:r>
        <w:rPr>
          <w:rFonts w:hint="eastAsia" w:ascii="宋体" w:hAnsi="宋体"/>
          <w:b/>
          <w:bCs/>
          <w:sz w:val="52"/>
        </w:rPr>
        <w:t>江西省结核病重点实验室</w:t>
      </w:r>
    </w:p>
    <w:p w14:paraId="2FC58AB3">
      <w:pPr>
        <w:jc w:val="center"/>
        <w:rPr>
          <w:b/>
          <w:bCs/>
          <w:sz w:val="36"/>
        </w:rPr>
      </w:pPr>
    </w:p>
    <w:p w14:paraId="65FFFA00">
      <w:pPr>
        <w:jc w:val="center"/>
        <w:rPr>
          <w:rFonts w:ascii="仿宋_GB2312" w:eastAsia="仿宋_GB2312"/>
          <w:b/>
          <w:bCs/>
          <w:sz w:val="52"/>
        </w:rPr>
      </w:pPr>
      <w:r>
        <w:rPr>
          <w:rFonts w:hint="eastAsia" w:ascii="仿宋_GB2312" w:eastAsia="仿宋_GB2312"/>
          <w:b/>
          <w:bCs/>
          <w:sz w:val="52"/>
        </w:rPr>
        <w:t>课 题 申 请 书</w:t>
      </w:r>
    </w:p>
    <w:p w14:paraId="12967AA9">
      <w:pPr>
        <w:rPr>
          <w:sz w:val="28"/>
        </w:rPr>
      </w:pPr>
    </w:p>
    <w:p w14:paraId="73987042">
      <w:pPr>
        <w:rPr>
          <w:sz w:val="28"/>
        </w:rPr>
      </w:pPr>
    </w:p>
    <w:p w14:paraId="077A6666">
      <w:pPr>
        <w:rPr>
          <w:sz w:val="28"/>
        </w:rPr>
      </w:pPr>
    </w:p>
    <w:p w14:paraId="64F45283">
      <w:pPr>
        <w:ind w:left="1680" w:leftChars="800"/>
        <w:rPr>
          <w:rFonts w:hint="eastAsia" w:eastAsia="仿宋_GB2312"/>
          <w:b/>
          <w:bCs/>
          <w:sz w:val="28"/>
          <w:szCs w:val="28"/>
          <w:u w:val="single"/>
          <w:lang w:eastAsia="zh-CN"/>
        </w:rPr>
      </w:pPr>
      <w:r>
        <w:rPr>
          <w:rFonts w:hint="eastAsia" w:eastAsia="仿宋_GB2312"/>
          <w:b/>
          <w:bCs/>
          <w:sz w:val="28"/>
          <w:szCs w:val="28"/>
          <w:lang w:eastAsia="zh-CN"/>
        </w:rPr>
        <w:t>课　题　名　称IL-6联合hs-CRP动态监测在血液透析合并肺结核患者炎症负荷评估及预后预测研究</w:t>
      </w:r>
    </w:p>
    <w:p w14:paraId="012D8451">
      <w:pPr>
        <w:ind w:left="1680" w:leftChars="800"/>
        <w:rPr>
          <w:rFonts w:hint="default" w:eastAsia="仿宋_GB2312"/>
          <w:b/>
          <w:bCs/>
          <w:sz w:val="28"/>
          <w:szCs w:val="28"/>
          <w:lang w:val="en-US" w:eastAsia="zh-CN"/>
        </w:rPr>
      </w:pPr>
      <w:r>
        <w:rPr>
          <w:rFonts w:hint="eastAsia" w:eastAsia="仿宋_GB2312"/>
          <w:b/>
          <w:bCs/>
          <w:sz w:val="28"/>
          <w:szCs w:val="28"/>
        </w:rPr>
        <w:t>承担单位（盖章）</w:t>
      </w:r>
      <w:r>
        <w:rPr>
          <w:rFonts w:hint="eastAsia" w:eastAsia="仿宋_GB2312"/>
          <w:b/>
          <w:bCs/>
          <w:sz w:val="28"/>
          <w:szCs w:val="28"/>
          <w:u w:val="single"/>
        </w:rPr>
        <w:t>　</w:t>
      </w:r>
      <w:r>
        <w:rPr>
          <w:rFonts w:hint="eastAsia" w:eastAsia="仿宋_GB2312"/>
          <w:b/>
          <w:bCs/>
          <w:sz w:val="28"/>
          <w:szCs w:val="28"/>
          <w:u w:val="single"/>
          <w:lang w:val="en-US" w:eastAsia="zh-CN"/>
        </w:rPr>
        <w:t>九江市第三人民医院</w:t>
      </w:r>
      <w:r>
        <w:rPr>
          <w:rFonts w:hint="eastAsia" w:eastAsia="仿宋_GB2312"/>
          <w:b/>
          <w:bCs/>
          <w:sz w:val="28"/>
          <w:szCs w:val="28"/>
          <w:u w:val="single"/>
        </w:rPr>
        <w:t xml:space="preserve">   </w:t>
      </w:r>
      <w:r>
        <w:rPr>
          <w:rFonts w:hint="eastAsia" w:eastAsia="仿宋_GB2312"/>
          <w:b/>
          <w:bCs/>
          <w:sz w:val="28"/>
          <w:szCs w:val="28"/>
          <w:u w:val="single"/>
          <w:lang w:val="en-US" w:eastAsia="zh-CN"/>
        </w:rPr>
        <w:t xml:space="preserve">   </w:t>
      </w:r>
    </w:p>
    <w:p w14:paraId="77D95CA8">
      <w:pPr>
        <w:ind w:left="1680" w:leftChars="800"/>
        <w:rPr>
          <w:rFonts w:eastAsia="仿宋_GB2312"/>
          <w:b/>
          <w:bCs/>
          <w:spacing w:val="68"/>
          <w:sz w:val="28"/>
          <w:szCs w:val="28"/>
        </w:rPr>
      </w:pPr>
      <w:r>
        <w:rPr>
          <w:rFonts w:hint="eastAsia" w:eastAsia="仿宋_GB2312"/>
          <w:b/>
          <w:bCs/>
          <w:spacing w:val="68"/>
          <w:sz w:val="28"/>
          <w:szCs w:val="28"/>
        </w:rPr>
        <w:t>课题负责人</w:t>
      </w:r>
      <w:r>
        <w:rPr>
          <w:rFonts w:hint="eastAsia" w:eastAsia="仿宋_GB2312"/>
          <w:b/>
          <w:bCs/>
          <w:spacing w:val="68"/>
          <w:sz w:val="28"/>
          <w:szCs w:val="28"/>
          <w:u w:val="single"/>
        </w:rPr>
        <w:t>　　　</w:t>
      </w:r>
      <w:r>
        <w:rPr>
          <w:rFonts w:hint="eastAsia" w:eastAsia="仿宋_GB2312"/>
          <w:b/>
          <w:bCs/>
          <w:spacing w:val="68"/>
          <w:sz w:val="28"/>
          <w:u w:val="single"/>
          <w:lang w:val="en-US" w:eastAsia="zh-CN"/>
        </w:rPr>
        <w:t>黄华</w:t>
      </w:r>
      <w:r>
        <w:rPr>
          <w:rFonts w:hint="eastAsia" w:eastAsia="仿宋_GB2312"/>
          <w:b/>
          <w:bCs/>
          <w:spacing w:val="68"/>
          <w:sz w:val="28"/>
          <w:szCs w:val="28"/>
          <w:u w:val="single"/>
          <w:lang w:val="en-US" w:eastAsia="zh-CN"/>
        </w:rPr>
        <w:t xml:space="preserve">      </w:t>
      </w:r>
      <w:r>
        <w:rPr>
          <w:rFonts w:hint="eastAsia" w:eastAsia="仿宋_GB2312"/>
          <w:b/>
          <w:bCs/>
          <w:spacing w:val="68"/>
          <w:sz w:val="28"/>
          <w:szCs w:val="28"/>
          <w:u w:val="single"/>
        </w:rPr>
        <w:t xml:space="preserve"> </w:t>
      </w:r>
    </w:p>
    <w:p w14:paraId="0F6B2CDF">
      <w:pPr>
        <w:ind w:left="1680" w:leftChars="800"/>
        <w:rPr>
          <w:rFonts w:hint="default" w:eastAsia="仿宋_GB2312"/>
          <w:b/>
          <w:bCs/>
          <w:sz w:val="28"/>
          <w:szCs w:val="28"/>
          <w:u w:val="single"/>
          <w:lang w:val="en-US" w:eastAsia="zh-CN"/>
        </w:rPr>
      </w:pPr>
      <w:r>
        <w:rPr>
          <w:rFonts w:hint="eastAsia" w:eastAsia="仿宋_GB2312"/>
          <w:b/>
          <w:bCs/>
          <w:sz w:val="28"/>
          <w:szCs w:val="28"/>
        </w:rPr>
        <w:t>研  究  周  期</w:t>
      </w:r>
      <w:r>
        <w:rPr>
          <w:rFonts w:hint="eastAsia" w:eastAsia="仿宋_GB2312"/>
          <w:b/>
          <w:bCs/>
          <w:sz w:val="28"/>
          <w:szCs w:val="28"/>
          <w:u w:val="single"/>
        </w:rPr>
        <w:t>202</w:t>
      </w:r>
      <w:r>
        <w:rPr>
          <w:rFonts w:hint="eastAsia" w:eastAsia="仿宋_GB2312"/>
          <w:b/>
          <w:bCs/>
          <w:sz w:val="28"/>
          <w:szCs w:val="28"/>
          <w:u w:val="single"/>
          <w:lang w:val="en-US" w:eastAsia="zh-CN"/>
        </w:rPr>
        <w:t>6</w:t>
      </w:r>
      <w:r>
        <w:rPr>
          <w:rFonts w:hint="eastAsia" w:eastAsia="仿宋_GB2312"/>
          <w:b/>
          <w:bCs/>
          <w:sz w:val="28"/>
          <w:szCs w:val="28"/>
          <w:u w:val="single"/>
        </w:rPr>
        <w:t>年</w:t>
      </w:r>
      <w:r>
        <w:rPr>
          <w:rFonts w:hint="eastAsia" w:eastAsia="仿宋_GB2312"/>
          <w:b/>
          <w:bCs/>
          <w:sz w:val="28"/>
          <w:szCs w:val="28"/>
          <w:u w:val="single"/>
          <w:lang w:val="en-US" w:eastAsia="zh-CN"/>
        </w:rPr>
        <w:t>4</w:t>
      </w:r>
      <w:r>
        <w:rPr>
          <w:rFonts w:hint="eastAsia" w:eastAsia="仿宋_GB2312"/>
          <w:b/>
          <w:bCs/>
          <w:sz w:val="28"/>
          <w:szCs w:val="28"/>
          <w:u w:val="single"/>
        </w:rPr>
        <w:t>月至202</w:t>
      </w:r>
      <w:r>
        <w:rPr>
          <w:rFonts w:hint="eastAsia" w:eastAsia="仿宋_GB2312"/>
          <w:b/>
          <w:bCs/>
          <w:sz w:val="28"/>
          <w:szCs w:val="28"/>
          <w:u w:val="single"/>
          <w:lang w:val="en-US" w:eastAsia="zh-CN"/>
        </w:rPr>
        <w:t>7</w:t>
      </w:r>
      <w:r>
        <w:rPr>
          <w:rFonts w:hint="eastAsia" w:eastAsia="仿宋_GB2312"/>
          <w:b/>
          <w:bCs/>
          <w:sz w:val="28"/>
          <w:szCs w:val="28"/>
          <w:u w:val="single"/>
        </w:rPr>
        <w:t>年12</w:t>
      </w:r>
      <w:r>
        <w:rPr>
          <w:rFonts w:hint="eastAsia" w:eastAsia="仿宋_GB2312"/>
          <w:b/>
          <w:bCs/>
          <w:sz w:val="28"/>
          <w:szCs w:val="28"/>
          <w:u w:val="single"/>
          <w:lang w:val="en-US" w:eastAsia="zh-CN"/>
        </w:rPr>
        <w:t xml:space="preserve">月       </w:t>
      </w:r>
    </w:p>
    <w:p w14:paraId="594E19B3">
      <w:pPr>
        <w:ind w:left="1680" w:leftChars="800"/>
        <w:rPr>
          <w:rFonts w:hint="default" w:eastAsia="仿宋_GB2312"/>
          <w:b/>
          <w:bCs/>
          <w:sz w:val="28"/>
          <w:szCs w:val="28"/>
          <w:lang w:val="en-US" w:eastAsia="zh-CN"/>
        </w:rPr>
      </w:pPr>
      <w:r>
        <w:rPr>
          <w:rFonts w:hint="eastAsia" w:eastAsia="仿宋_GB2312"/>
          <w:b/>
          <w:bCs/>
          <w:sz w:val="28"/>
          <w:szCs w:val="28"/>
        </w:rPr>
        <w:t>申　报　日　期</w:t>
      </w:r>
      <w:r>
        <w:rPr>
          <w:rFonts w:hint="eastAsia" w:eastAsia="仿宋_GB2312"/>
          <w:b/>
          <w:bCs/>
          <w:sz w:val="28"/>
          <w:szCs w:val="28"/>
          <w:u w:val="single"/>
        </w:rPr>
        <w:t xml:space="preserve">  202</w:t>
      </w:r>
      <w:r>
        <w:rPr>
          <w:rFonts w:hint="eastAsia" w:eastAsia="仿宋_GB2312"/>
          <w:b/>
          <w:bCs/>
          <w:sz w:val="28"/>
          <w:szCs w:val="28"/>
          <w:u w:val="single"/>
          <w:lang w:val="en-US" w:eastAsia="zh-CN"/>
        </w:rPr>
        <w:t>6</w:t>
      </w:r>
      <w:r>
        <w:rPr>
          <w:rFonts w:hint="eastAsia" w:eastAsia="仿宋_GB2312"/>
          <w:b/>
          <w:bCs/>
          <w:sz w:val="28"/>
          <w:szCs w:val="28"/>
          <w:u w:val="single"/>
        </w:rPr>
        <w:t xml:space="preserve">   年 　</w:t>
      </w:r>
      <w:r>
        <w:rPr>
          <w:rFonts w:hint="eastAsia" w:eastAsia="仿宋_GB2312"/>
          <w:b/>
          <w:bCs/>
          <w:sz w:val="28"/>
          <w:szCs w:val="28"/>
          <w:u w:val="single"/>
          <w:lang w:val="en-US" w:eastAsia="zh-CN"/>
        </w:rPr>
        <w:t>3</w:t>
      </w:r>
      <w:r>
        <w:rPr>
          <w:rFonts w:hint="eastAsia" w:eastAsia="仿宋_GB2312"/>
          <w:b/>
          <w:bCs/>
          <w:sz w:val="28"/>
          <w:szCs w:val="28"/>
          <w:u w:val="single"/>
        </w:rPr>
        <w:t xml:space="preserve">　月 </w:t>
      </w:r>
      <w:r>
        <w:rPr>
          <w:rFonts w:hint="eastAsia" w:eastAsia="仿宋_GB2312"/>
          <w:b/>
          <w:bCs/>
          <w:sz w:val="28"/>
          <w:szCs w:val="28"/>
          <w:u w:val="single"/>
          <w:lang w:val="en-US" w:eastAsia="zh-CN"/>
        </w:rPr>
        <w:t>30</w:t>
      </w:r>
      <w:r>
        <w:rPr>
          <w:rFonts w:hint="eastAsia" w:eastAsia="仿宋_GB2312"/>
          <w:b/>
          <w:bCs/>
          <w:sz w:val="28"/>
          <w:szCs w:val="28"/>
          <w:u w:val="single"/>
        </w:rPr>
        <w:t xml:space="preserve">　　日  </w:t>
      </w:r>
    </w:p>
    <w:p w14:paraId="12091D26">
      <w:pPr>
        <w:ind w:left="1680" w:leftChars="800"/>
        <w:rPr>
          <w:rFonts w:eastAsia="仿宋_GB2312"/>
          <w:b/>
          <w:bCs/>
          <w:sz w:val="28"/>
          <w:szCs w:val="28"/>
          <w:u w:val="single"/>
        </w:rPr>
      </w:pPr>
    </w:p>
    <w:p w14:paraId="681588BD">
      <w:pPr>
        <w:ind w:left="1680" w:leftChars="800"/>
        <w:rPr>
          <w:rFonts w:eastAsia="仿宋_GB2312"/>
          <w:b/>
          <w:bCs/>
          <w:sz w:val="28"/>
          <w:u w:val="single"/>
        </w:rPr>
      </w:pPr>
    </w:p>
    <w:p w14:paraId="1EC77099">
      <w:pPr>
        <w:ind w:left="1680" w:leftChars="800"/>
        <w:rPr>
          <w:rFonts w:eastAsia="仿宋_GB2312"/>
          <w:b/>
          <w:bCs/>
          <w:sz w:val="28"/>
          <w:u w:val="single"/>
        </w:rPr>
      </w:pPr>
    </w:p>
    <w:p w14:paraId="696D641A">
      <w:pPr>
        <w:jc w:val="center"/>
        <w:rPr>
          <w:rFonts w:eastAsia="仿宋_GB2312"/>
          <w:b/>
          <w:bCs/>
          <w:sz w:val="32"/>
        </w:rPr>
      </w:pPr>
      <w:r>
        <w:rPr>
          <w:rFonts w:hint="eastAsia" w:eastAsia="仿宋_GB2312"/>
          <w:b/>
          <w:bCs/>
          <w:sz w:val="32"/>
        </w:rPr>
        <w:t>江西省结核病重点实验室制</w:t>
      </w:r>
    </w:p>
    <w:p w14:paraId="4CD4CD6C">
      <w:pPr>
        <w:ind w:firstLine="200"/>
        <w:rPr>
          <w:b/>
          <w:bCs/>
          <w:sz w:val="28"/>
        </w:rPr>
      </w:pPr>
      <w:r>
        <w:rPr>
          <w:sz w:val="28"/>
          <w:u w:val="single"/>
        </w:rPr>
        <w:br w:type="page"/>
      </w:r>
      <w:r>
        <w:rPr>
          <w:rFonts w:hint="eastAsia"/>
          <w:sz w:val="28"/>
          <w:u w:val="single"/>
        </w:rPr>
        <w:t>一、</w:t>
      </w:r>
      <w:r>
        <w:rPr>
          <w:rFonts w:hint="eastAsia"/>
          <w:b/>
          <w:bCs/>
          <w:sz w:val="28"/>
        </w:rPr>
        <w:t>课题基本情况简表</w:t>
      </w:r>
    </w:p>
    <w:tbl>
      <w:tblPr>
        <w:tblStyle w:val="4"/>
        <w:tblW w:w="957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778"/>
        <w:gridCol w:w="688"/>
        <w:gridCol w:w="67"/>
        <w:gridCol w:w="471"/>
        <w:gridCol w:w="358"/>
        <w:gridCol w:w="231"/>
        <w:gridCol w:w="482"/>
        <w:gridCol w:w="173"/>
        <w:gridCol w:w="161"/>
        <w:gridCol w:w="598"/>
        <w:gridCol w:w="122"/>
        <w:gridCol w:w="316"/>
        <w:gridCol w:w="355"/>
        <w:gridCol w:w="175"/>
        <w:gridCol w:w="210"/>
        <w:gridCol w:w="403"/>
        <w:gridCol w:w="84"/>
        <w:gridCol w:w="753"/>
        <w:gridCol w:w="349"/>
        <w:gridCol w:w="1201"/>
        <w:gridCol w:w="785"/>
      </w:tblGrid>
      <w:tr w14:paraId="7019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0" w:hRule="atLeast"/>
        </w:trPr>
        <w:tc>
          <w:tcPr>
            <w:tcW w:w="827" w:type="dxa"/>
            <w:vMerge w:val="restart"/>
          </w:tcPr>
          <w:p w14:paraId="57CFB755">
            <w:pPr>
              <w:jc w:val="center"/>
            </w:pPr>
          </w:p>
          <w:p w14:paraId="0AA3A19E">
            <w:pPr>
              <w:jc w:val="center"/>
            </w:pPr>
            <w:r>
              <w:rPr>
                <w:rFonts w:hint="eastAsia"/>
              </w:rPr>
              <w:t>基</w:t>
            </w:r>
          </w:p>
          <w:p w14:paraId="5F1989B1">
            <w:pPr>
              <w:jc w:val="center"/>
            </w:pPr>
          </w:p>
          <w:p w14:paraId="40027091">
            <w:pPr>
              <w:jc w:val="center"/>
            </w:pPr>
            <w:r>
              <w:rPr>
                <w:rFonts w:hint="eastAsia"/>
              </w:rPr>
              <w:t>本</w:t>
            </w:r>
          </w:p>
          <w:p w14:paraId="5EE3CA93">
            <w:pPr>
              <w:jc w:val="center"/>
            </w:pPr>
          </w:p>
          <w:p w14:paraId="605FF6D4">
            <w:pPr>
              <w:jc w:val="center"/>
            </w:pPr>
            <w:r>
              <w:rPr>
                <w:rFonts w:hint="eastAsia"/>
              </w:rPr>
              <w:t>情</w:t>
            </w:r>
          </w:p>
          <w:p w14:paraId="48DCF636">
            <w:pPr>
              <w:jc w:val="center"/>
            </w:pPr>
          </w:p>
          <w:p w14:paraId="0E350459">
            <w:pPr>
              <w:jc w:val="center"/>
            </w:pPr>
            <w:r>
              <w:rPr>
                <w:rFonts w:hint="eastAsia"/>
              </w:rPr>
              <w:t>况</w:t>
            </w:r>
          </w:p>
        </w:tc>
        <w:tc>
          <w:tcPr>
            <w:tcW w:w="1500" w:type="dxa"/>
            <w:gridSpan w:val="2"/>
            <w:vAlign w:val="center"/>
          </w:tcPr>
          <w:p w14:paraId="38DA0CFA">
            <w:pPr>
              <w:jc w:val="center"/>
              <w:rPr>
                <w:szCs w:val="21"/>
              </w:rPr>
            </w:pPr>
            <w:r>
              <w:rPr>
                <w:rFonts w:hint="eastAsia"/>
                <w:szCs w:val="21"/>
              </w:rPr>
              <w:t>课题名称</w:t>
            </w:r>
          </w:p>
        </w:tc>
        <w:tc>
          <w:tcPr>
            <w:tcW w:w="7250" w:type="dxa"/>
            <w:gridSpan w:val="19"/>
            <w:vAlign w:val="center"/>
          </w:tcPr>
          <w:p w14:paraId="5CE8CBF2">
            <w:pPr>
              <w:jc w:val="center"/>
              <w:rPr>
                <w:szCs w:val="21"/>
              </w:rPr>
            </w:pPr>
            <w:r>
              <w:rPr>
                <w:rFonts w:hint="eastAsia"/>
                <w:szCs w:val="21"/>
                <w:lang w:val="en-US" w:eastAsia="zh-CN"/>
              </w:rPr>
              <w:t>IL-6联</w:t>
            </w:r>
            <w:r>
              <w:rPr>
                <w:rFonts w:hint="eastAsia"/>
                <w:szCs w:val="21"/>
              </w:rPr>
              <w:t>合</w:t>
            </w:r>
            <w:r>
              <w:rPr>
                <w:rFonts w:hint="eastAsia"/>
                <w:szCs w:val="21"/>
                <w:lang w:val="en-US" w:eastAsia="zh-CN"/>
              </w:rPr>
              <w:t>hs-</w:t>
            </w:r>
            <w:r>
              <w:rPr>
                <w:rFonts w:hint="eastAsia"/>
                <w:szCs w:val="21"/>
              </w:rPr>
              <w:t>CRP动态监测</w:t>
            </w:r>
            <w:r>
              <w:rPr>
                <w:rFonts w:hint="eastAsia"/>
                <w:szCs w:val="21"/>
                <w:lang w:val="en-US" w:eastAsia="zh-CN"/>
              </w:rPr>
              <w:t>在</w:t>
            </w:r>
            <w:r>
              <w:rPr>
                <w:rFonts w:hint="eastAsia"/>
                <w:szCs w:val="21"/>
              </w:rPr>
              <w:t>血液透析合并肺结核患者炎症负荷评估及预后预测研究</w:t>
            </w:r>
          </w:p>
        </w:tc>
      </w:tr>
      <w:tr w14:paraId="6424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827" w:type="dxa"/>
            <w:vMerge w:val="continue"/>
          </w:tcPr>
          <w:p w14:paraId="7073B0A7">
            <w:pPr>
              <w:jc w:val="center"/>
            </w:pPr>
          </w:p>
        </w:tc>
        <w:tc>
          <w:tcPr>
            <w:tcW w:w="1500" w:type="dxa"/>
            <w:gridSpan w:val="2"/>
            <w:vAlign w:val="center"/>
          </w:tcPr>
          <w:p w14:paraId="0780E83C">
            <w:pPr>
              <w:jc w:val="center"/>
              <w:rPr>
                <w:szCs w:val="21"/>
              </w:rPr>
            </w:pPr>
            <w:r>
              <w:rPr>
                <w:rFonts w:hint="eastAsia"/>
                <w:szCs w:val="21"/>
              </w:rPr>
              <w:t>课题性质</w:t>
            </w:r>
          </w:p>
        </w:tc>
        <w:tc>
          <w:tcPr>
            <w:tcW w:w="7250" w:type="dxa"/>
            <w:gridSpan w:val="19"/>
            <w:vAlign w:val="center"/>
          </w:tcPr>
          <w:p w14:paraId="4F3A4B7F">
            <w:pPr>
              <w:ind w:left="105"/>
              <w:jc w:val="center"/>
              <w:rPr>
                <w:rFonts w:hint="eastAsia" w:eastAsia="宋体"/>
                <w:szCs w:val="21"/>
                <w:lang w:eastAsia="zh-CN"/>
              </w:rPr>
            </w:pPr>
            <w:r>
              <w:rPr>
                <w:rFonts w:hint="eastAsia"/>
                <w:szCs w:val="21"/>
                <w:lang w:eastAsia="zh-CN"/>
              </w:rPr>
              <w:t>应用研究型（前瞻性观察性探索研究）</w:t>
            </w:r>
          </w:p>
        </w:tc>
      </w:tr>
      <w:tr w14:paraId="1AA58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trPr>
        <w:tc>
          <w:tcPr>
            <w:tcW w:w="827" w:type="dxa"/>
            <w:vMerge w:val="continue"/>
          </w:tcPr>
          <w:p w14:paraId="055C3259">
            <w:pPr>
              <w:jc w:val="center"/>
            </w:pPr>
          </w:p>
        </w:tc>
        <w:tc>
          <w:tcPr>
            <w:tcW w:w="1500" w:type="dxa"/>
            <w:gridSpan w:val="2"/>
            <w:vAlign w:val="center"/>
          </w:tcPr>
          <w:p w14:paraId="0DF283C3">
            <w:pPr>
              <w:jc w:val="center"/>
              <w:rPr>
                <w:szCs w:val="21"/>
              </w:rPr>
            </w:pPr>
            <w:r>
              <w:rPr>
                <w:rFonts w:hint="eastAsia"/>
                <w:szCs w:val="21"/>
              </w:rPr>
              <w:t>申请经费</w:t>
            </w:r>
          </w:p>
        </w:tc>
        <w:tc>
          <w:tcPr>
            <w:tcW w:w="1980" w:type="dxa"/>
            <w:gridSpan w:val="7"/>
            <w:vAlign w:val="center"/>
          </w:tcPr>
          <w:p w14:paraId="53A2F884">
            <w:pPr>
              <w:jc w:val="center"/>
              <w:rPr>
                <w:szCs w:val="21"/>
              </w:rPr>
            </w:pPr>
            <w:r>
              <w:rPr>
                <w:rFonts w:hint="eastAsia"/>
                <w:szCs w:val="21"/>
              </w:rPr>
              <w:t>1万元</w:t>
            </w:r>
          </w:p>
        </w:tc>
        <w:tc>
          <w:tcPr>
            <w:tcW w:w="1416" w:type="dxa"/>
            <w:gridSpan w:val="4"/>
            <w:vAlign w:val="center"/>
          </w:tcPr>
          <w:p w14:paraId="6A41B6D5">
            <w:pPr>
              <w:jc w:val="center"/>
              <w:rPr>
                <w:szCs w:val="21"/>
              </w:rPr>
            </w:pPr>
            <w:r>
              <w:rPr>
                <w:rFonts w:hint="eastAsia"/>
                <w:szCs w:val="21"/>
              </w:rPr>
              <w:t>研究周期</w:t>
            </w:r>
          </w:p>
        </w:tc>
        <w:tc>
          <w:tcPr>
            <w:tcW w:w="3854" w:type="dxa"/>
            <w:gridSpan w:val="8"/>
            <w:vAlign w:val="center"/>
          </w:tcPr>
          <w:p w14:paraId="2D54961A">
            <w:pPr>
              <w:jc w:val="right"/>
              <w:rPr>
                <w:szCs w:val="21"/>
              </w:rPr>
            </w:pPr>
            <w:r>
              <w:rPr>
                <w:rFonts w:hint="eastAsia"/>
                <w:szCs w:val="21"/>
              </w:rPr>
              <w:t>202</w:t>
            </w:r>
            <w:r>
              <w:rPr>
                <w:rFonts w:hint="eastAsia"/>
                <w:szCs w:val="21"/>
                <w:lang w:val="en-US" w:eastAsia="zh-CN"/>
              </w:rPr>
              <w:t>6</w:t>
            </w:r>
            <w:r>
              <w:rPr>
                <w:rFonts w:hint="eastAsia"/>
                <w:szCs w:val="21"/>
              </w:rPr>
              <w:t>年　</w:t>
            </w:r>
            <w:r>
              <w:rPr>
                <w:rFonts w:hint="eastAsia"/>
                <w:szCs w:val="21"/>
                <w:lang w:val="en-US" w:eastAsia="zh-CN"/>
              </w:rPr>
              <w:t>4</w:t>
            </w:r>
            <w:r>
              <w:rPr>
                <w:rFonts w:hint="eastAsia"/>
                <w:szCs w:val="21"/>
              </w:rPr>
              <w:t>　月至  202</w:t>
            </w:r>
            <w:r>
              <w:rPr>
                <w:rFonts w:hint="eastAsia"/>
                <w:szCs w:val="21"/>
                <w:lang w:val="en-US" w:eastAsia="zh-CN"/>
              </w:rPr>
              <w:t>7</w:t>
            </w:r>
            <w:r>
              <w:rPr>
                <w:rFonts w:hint="eastAsia"/>
                <w:szCs w:val="21"/>
              </w:rPr>
              <w:t>　年　12　月</w:t>
            </w:r>
          </w:p>
        </w:tc>
      </w:tr>
      <w:tr w14:paraId="4AB5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trPr>
        <w:tc>
          <w:tcPr>
            <w:tcW w:w="827" w:type="dxa"/>
            <w:vMerge w:val="continue"/>
          </w:tcPr>
          <w:p w14:paraId="5EA1D3FA">
            <w:pPr>
              <w:jc w:val="center"/>
            </w:pPr>
          </w:p>
        </w:tc>
        <w:tc>
          <w:tcPr>
            <w:tcW w:w="1500" w:type="dxa"/>
            <w:gridSpan w:val="2"/>
            <w:vAlign w:val="center"/>
          </w:tcPr>
          <w:p w14:paraId="51E1C8E5">
            <w:pPr>
              <w:jc w:val="center"/>
              <w:rPr>
                <w:szCs w:val="21"/>
              </w:rPr>
            </w:pPr>
            <w:r>
              <w:rPr>
                <w:rFonts w:hint="eastAsia"/>
                <w:szCs w:val="21"/>
              </w:rPr>
              <w:t>关键词</w:t>
            </w:r>
          </w:p>
        </w:tc>
        <w:tc>
          <w:tcPr>
            <w:tcW w:w="7250" w:type="dxa"/>
            <w:gridSpan w:val="19"/>
            <w:vAlign w:val="center"/>
          </w:tcPr>
          <w:p w14:paraId="37FD8D35">
            <w:pPr>
              <w:jc w:val="center"/>
              <w:rPr>
                <w:rFonts w:hint="eastAsia" w:eastAsia="宋体"/>
                <w:szCs w:val="21"/>
                <w:lang w:val="en-US" w:eastAsia="zh-CN"/>
              </w:rPr>
            </w:pPr>
            <w:r>
              <w:rPr>
                <w:rFonts w:hint="eastAsia"/>
                <w:szCs w:val="21"/>
                <w:lang w:eastAsia="zh-CN"/>
              </w:rPr>
              <w:t>结核病；血液透析；IL-6；hs-CRP；动态监测；预后预测</w:t>
            </w:r>
          </w:p>
        </w:tc>
      </w:tr>
      <w:tr w14:paraId="09786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827" w:type="dxa"/>
            <w:vMerge w:val="restart"/>
            <w:textDirection w:val="tbRlV"/>
            <w:vAlign w:val="center"/>
          </w:tcPr>
          <w:p w14:paraId="7F10CE28">
            <w:pPr>
              <w:ind w:left="113" w:right="113"/>
              <w:jc w:val="center"/>
              <w:rPr>
                <w:spacing w:val="80"/>
                <w:szCs w:val="21"/>
              </w:rPr>
            </w:pPr>
            <w:r>
              <w:rPr>
                <w:rFonts w:hint="eastAsia"/>
                <w:spacing w:val="80"/>
                <w:szCs w:val="21"/>
              </w:rPr>
              <w:t>第一负责人</w:t>
            </w:r>
          </w:p>
        </w:tc>
        <w:tc>
          <w:tcPr>
            <w:tcW w:w="1500" w:type="dxa"/>
            <w:gridSpan w:val="2"/>
            <w:vAlign w:val="center"/>
          </w:tcPr>
          <w:p w14:paraId="2B25DA19">
            <w:pPr>
              <w:jc w:val="center"/>
              <w:rPr>
                <w:szCs w:val="21"/>
              </w:rPr>
            </w:pPr>
            <w:r>
              <w:rPr>
                <w:rFonts w:hint="eastAsia"/>
                <w:szCs w:val="21"/>
              </w:rPr>
              <w:t>姓   名</w:t>
            </w:r>
          </w:p>
        </w:tc>
        <w:tc>
          <w:tcPr>
            <w:tcW w:w="1980" w:type="dxa"/>
            <w:gridSpan w:val="7"/>
            <w:vAlign w:val="center"/>
          </w:tcPr>
          <w:p w14:paraId="74703246">
            <w:pPr>
              <w:jc w:val="center"/>
              <w:rPr>
                <w:rFonts w:hint="default" w:eastAsia="宋体"/>
                <w:szCs w:val="21"/>
                <w:lang w:val="en-US" w:eastAsia="zh-CN"/>
              </w:rPr>
            </w:pPr>
            <w:r>
              <w:rPr>
                <w:rFonts w:hint="eastAsia"/>
                <w:szCs w:val="21"/>
                <w:lang w:val="en-US" w:eastAsia="zh-CN"/>
              </w:rPr>
              <w:t>黄华</w:t>
            </w:r>
          </w:p>
        </w:tc>
        <w:tc>
          <w:tcPr>
            <w:tcW w:w="1056" w:type="dxa"/>
            <w:gridSpan w:val="3"/>
            <w:vAlign w:val="center"/>
          </w:tcPr>
          <w:p w14:paraId="3E31DC64">
            <w:pPr>
              <w:jc w:val="center"/>
              <w:rPr>
                <w:szCs w:val="21"/>
              </w:rPr>
            </w:pPr>
            <w:r>
              <w:rPr>
                <w:rFonts w:hint="eastAsia"/>
                <w:szCs w:val="21"/>
              </w:rPr>
              <w:t>性别</w:t>
            </w:r>
          </w:p>
        </w:tc>
        <w:tc>
          <w:tcPr>
            <w:tcW w:w="1260" w:type="dxa"/>
            <w:gridSpan w:val="5"/>
            <w:vAlign w:val="center"/>
          </w:tcPr>
          <w:p w14:paraId="4CCE2A30">
            <w:pPr>
              <w:jc w:val="center"/>
              <w:rPr>
                <w:szCs w:val="21"/>
              </w:rPr>
            </w:pPr>
            <w:r>
              <w:rPr>
                <w:rFonts w:hint="eastAsia"/>
                <w:szCs w:val="21"/>
              </w:rPr>
              <w:t>男</w:t>
            </w:r>
          </w:p>
        </w:tc>
        <w:tc>
          <w:tcPr>
            <w:tcW w:w="1131" w:type="dxa"/>
            <w:gridSpan w:val="2"/>
            <w:vAlign w:val="center"/>
          </w:tcPr>
          <w:p w14:paraId="1E5A6625">
            <w:pPr>
              <w:jc w:val="center"/>
              <w:rPr>
                <w:szCs w:val="21"/>
              </w:rPr>
            </w:pPr>
            <w:r>
              <w:rPr>
                <w:rFonts w:hint="eastAsia"/>
                <w:szCs w:val="21"/>
              </w:rPr>
              <w:t>出生年月</w:t>
            </w:r>
          </w:p>
        </w:tc>
        <w:tc>
          <w:tcPr>
            <w:tcW w:w="1823" w:type="dxa"/>
            <w:gridSpan w:val="2"/>
            <w:vAlign w:val="center"/>
          </w:tcPr>
          <w:p w14:paraId="1B44C506">
            <w:pPr>
              <w:rPr>
                <w:szCs w:val="21"/>
              </w:rPr>
            </w:pPr>
            <w:r>
              <w:rPr>
                <w:rFonts w:hint="eastAsia"/>
                <w:szCs w:val="21"/>
              </w:rPr>
              <w:t>197</w:t>
            </w:r>
            <w:r>
              <w:rPr>
                <w:rFonts w:hint="eastAsia"/>
                <w:szCs w:val="21"/>
                <w:lang w:val="en-US" w:eastAsia="zh-CN"/>
              </w:rPr>
              <w:t>7</w:t>
            </w:r>
            <w:r>
              <w:rPr>
                <w:rFonts w:hint="eastAsia"/>
                <w:szCs w:val="21"/>
              </w:rPr>
              <w:t xml:space="preserve">年 </w:t>
            </w:r>
            <w:r>
              <w:rPr>
                <w:rFonts w:hint="eastAsia"/>
                <w:szCs w:val="21"/>
                <w:lang w:val="en-US" w:eastAsia="zh-CN"/>
              </w:rPr>
              <w:t>8</w:t>
            </w:r>
            <w:r>
              <w:rPr>
                <w:rFonts w:hint="eastAsia"/>
                <w:szCs w:val="21"/>
              </w:rPr>
              <w:t>月</w:t>
            </w:r>
          </w:p>
        </w:tc>
      </w:tr>
      <w:tr w14:paraId="5388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trPr>
        <w:tc>
          <w:tcPr>
            <w:tcW w:w="827" w:type="dxa"/>
            <w:vMerge w:val="continue"/>
            <w:vAlign w:val="center"/>
          </w:tcPr>
          <w:p w14:paraId="47CF1980">
            <w:pPr>
              <w:jc w:val="center"/>
            </w:pPr>
          </w:p>
        </w:tc>
        <w:tc>
          <w:tcPr>
            <w:tcW w:w="1500" w:type="dxa"/>
            <w:gridSpan w:val="2"/>
            <w:vAlign w:val="center"/>
          </w:tcPr>
          <w:p w14:paraId="2F3D70CE">
            <w:pPr>
              <w:jc w:val="center"/>
              <w:rPr>
                <w:szCs w:val="21"/>
              </w:rPr>
            </w:pPr>
            <w:r>
              <w:rPr>
                <w:rFonts w:hint="eastAsia"/>
                <w:szCs w:val="21"/>
              </w:rPr>
              <w:t>技术职称</w:t>
            </w:r>
          </w:p>
        </w:tc>
        <w:tc>
          <w:tcPr>
            <w:tcW w:w="2589" w:type="dxa"/>
            <w:gridSpan w:val="8"/>
            <w:vAlign w:val="center"/>
          </w:tcPr>
          <w:p w14:paraId="4F6F9700">
            <w:pPr>
              <w:jc w:val="center"/>
              <w:rPr>
                <w:szCs w:val="21"/>
              </w:rPr>
            </w:pPr>
            <w:r>
              <w:rPr>
                <w:rFonts w:hint="eastAsia"/>
                <w:szCs w:val="21"/>
              </w:rPr>
              <w:t>主任医师</w:t>
            </w:r>
          </w:p>
        </w:tc>
        <w:tc>
          <w:tcPr>
            <w:tcW w:w="987" w:type="dxa"/>
            <w:gridSpan w:val="4"/>
            <w:vAlign w:val="center"/>
          </w:tcPr>
          <w:p w14:paraId="7C983304">
            <w:pPr>
              <w:jc w:val="center"/>
              <w:rPr>
                <w:szCs w:val="21"/>
              </w:rPr>
            </w:pPr>
            <w:r>
              <w:rPr>
                <w:rFonts w:hint="eastAsia"/>
                <w:szCs w:val="21"/>
              </w:rPr>
              <w:t>学位</w:t>
            </w:r>
          </w:p>
        </w:tc>
        <w:tc>
          <w:tcPr>
            <w:tcW w:w="3674" w:type="dxa"/>
            <w:gridSpan w:val="7"/>
            <w:vAlign w:val="center"/>
          </w:tcPr>
          <w:p w14:paraId="4097BDD4">
            <w:pPr>
              <w:jc w:val="center"/>
              <w:rPr>
                <w:szCs w:val="21"/>
              </w:rPr>
            </w:pPr>
            <w:r>
              <w:rPr>
                <w:rFonts w:hint="eastAsia"/>
                <w:szCs w:val="21"/>
              </w:rPr>
              <w:t xml:space="preserve">   学士</w:t>
            </w:r>
          </w:p>
        </w:tc>
      </w:tr>
      <w:tr w14:paraId="587F3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827" w:type="dxa"/>
            <w:vMerge w:val="continue"/>
            <w:vAlign w:val="center"/>
          </w:tcPr>
          <w:p w14:paraId="108D2A4B">
            <w:pPr>
              <w:jc w:val="center"/>
            </w:pPr>
          </w:p>
        </w:tc>
        <w:tc>
          <w:tcPr>
            <w:tcW w:w="1500" w:type="dxa"/>
            <w:gridSpan w:val="2"/>
            <w:vAlign w:val="center"/>
          </w:tcPr>
          <w:p w14:paraId="73CF404D">
            <w:pPr>
              <w:rPr>
                <w:szCs w:val="21"/>
              </w:rPr>
            </w:pPr>
            <w:r>
              <w:rPr>
                <w:rFonts w:hint="eastAsia"/>
                <w:szCs w:val="21"/>
              </w:rPr>
              <w:t>现从事的专业</w:t>
            </w:r>
          </w:p>
        </w:tc>
        <w:tc>
          <w:tcPr>
            <w:tcW w:w="2589" w:type="dxa"/>
            <w:gridSpan w:val="8"/>
            <w:vAlign w:val="center"/>
          </w:tcPr>
          <w:p w14:paraId="2B1E7C9A">
            <w:pPr>
              <w:jc w:val="center"/>
              <w:rPr>
                <w:rFonts w:hint="default" w:eastAsia="宋体"/>
                <w:szCs w:val="21"/>
                <w:lang w:val="en-US" w:eastAsia="zh-CN"/>
              </w:rPr>
            </w:pPr>
            <w:r>
              <w:rPr>
                <w:rFonts w:hint="eastAsia"/>
                <w:szCs w:val="21"/>
                <w:lang w:val="en-US" w:eastAsia="zh-CN"/>
              </w:rPr>
              <w:t>结核科</w:t>
            </w:r>
          </w:p>
        </w:tc>
        <w:tc>
          <w:tcPr>
            <w:tcW w:w="1620" w:type="dxa"/>
            <w:gridSpan w:val="6"/>
            <w:vAlign w:val="center"/>
          </w:tcPr>
          <w:p w14:paraId="48AFA69D">
            <w:pPr>
              <w:jc w:val="center"/>
              <w:rPr>
                <w:szCs w:val="21"/>
              </w:rPr>
            </w:pPr>
            <w:r>
              <w:rPr>
                <w:rFonts w:hint="eastAsia"/>
                <w:szCs w:val="21"/>
              </w:rPr>
              <w:t>毕业学校、专业</w:t>
            </w:r>
          </w:p>
          <w:p w14:paraId="4B9CEA0A">
            <w:pPr>
              <w:jc w:val="center"/>
              <w:rPr>
                <w:szCs w:val="21"/>
              </w:rPr>
            </w:pPr>
            <w:r>
              <w:rPr>
                <w:rFonts w:hint="eastAsia"/>
                <w:szCs w:val="21"/>
              </w:rPr>
              <w:t>及时间</w:t>
            </w:r>
          </w:p>
        </w:tc>
        <w:tc>
          <w:tcPr>
            <w:tcW w:w="3041" w:type="dxa"/>
            <w:gridSpan w:val="5"/>
            <w:vAlign w:val="center"/>
          </w:tcPr>
          <w:p w14:paraId="65A1A9A0">
            <w:pPr>
              <w:jc w:val="center"/>
              <w:rPr>
                <w:rFonts w:hint="default" w:eastAsia="宋体"/>
                <w:szCs w:val="21"/>
                <w:lang w:val="en-US" w:eastAsia="zh-CN"/>
              </w:rPr>
            </w:pPr>
            <w:r>
              <w:rPr>
                <w:rFonts w:hint="eastAsia"/>
                <w:szCs w:val="21"/>
                <w:lang w:val="en-US" w:eastAsia="zh-CN"/>
              </w:rPr>
              <w:t>赣南医学院、临床专业、1999.07</w:t>
            </w:r>
          </w:p>
        </w:tc>
      </w:tr>
      <w:tr w14:paraId="07A8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atLeast"/>
        </w:trPr>
        <w:tc>
          <w:tcPr>
            <w:tcW w:w="827" w:type="dxa"/>
            <w:vMerge w:val="continue"/>
            <w:vAlign w:val="center"/>
          </w:tcPr>
          <w:p w14:paraId="17754F03">
            <w:pPr>
              <w:jc w:val="center"/>
            </w:pPr>
          </w:p>
        </w:tc>
        <w:tc>
          <w:tcPr>
            <w:tcW w:w="1500" w:type="dxa"/>
            <w:gridSpan w:val="2"/>
            <w:vAlign w:val="center"/>
          </w:tcPr>
          <w:p w14:paraId="490D4860">
            <w:pPr>
              <w:jc w:val="center"/>
              <w:rPr>
                <w:szCs w:val="21"/>
              </w:rPr>
            </w:pPr>
            <w:r>
              <w:rPr>
                <w:rFonts w:hint="eastAsia"/>
                <w:szCs w:val="21"/>
              </w:rPr>
              <w:t>所在单位和科室</w:t>
            </w:r>
          </w:p>
        </w:tc>
        <w:tc>
          <w:tcPr>
            <w:tcW w:w="4209" w:type="dxa"/>
            <w:gridSpan w:val="14"/>
            <w:vAlign w:val="center"/>
          </w:tcPr>
          <w:p w14:paraId="3C711495">
            <w:pPr>
              <w:jc w:val="center"/>
              <w:rPr>
                <w:szCs w:val="21"/>
              </w:rPr>
            </w:pPr>
            <w:r>
              <w:rPr>
                <w:rFonts w:hint="eastAsia"/>
                <w:szCs w:val="21"/>
                <w:lang w:val="en-US" w:eastAsia="zh-CN"/>
              </w:rPr>
              <w:t>九江市第三</w:t>
            </w:r>
            <w:r>
              <w:rPr>
                <w:rFonts w:hint="eastAsia"/>
                <w:szCs w:val="21"/>
              </w:rPr>
              <w:t>人民医院</w:t>
            </w:r>
          </w:p>
        </w:tc>
        <w:tc>
          <w:tcPr>
            <w:tcW w:w="1218" w:type="dxa"/>
            <w:gridSpan w:val="3"/>
            <w:vAlign w:val="center"/>
          </w:tcPr>
          <w:p w14:paraId="0D0E084E">
            <w:pPr>
              <w:jc w:val="center"/>
              <w:rPr>
                <w:szCs w:val="21"/>
              </w:rPr>
            </w:pPr>
            <w:r>
              <w:rPr>
                <w:rFonts w:hint="eastAsia"/>
                <w:szCs w:val="21"/>
              </w:rPr>
              <w:t>联系电话</w:t>
            </w:r>
          </w:p>
        </w:tc>
        <w:tc>
          <w:tcPr>
            <w:tcW w:w="1823" w:type="dxa"/>
            <w:gridSpan w:val="2"/>
            <w:vAlign w:val="center"/>
          </w:tcPr>
          <w:p w14:paraId="6FBE35D0">
            <w:pPr>
              <w:rPr>
                <w:rFonts w:hint="default" w:eastAsia="宋体"/>
                <w:szCs w:val="21"/>
                <w:lang w:val="en-US" w:eastAsia="zh-CN"/>
              </w:rPr>
            </w:pPr>
            <w:r>
              <w:rPr>
                <w:rFonts w:hint="eastAsia"/>
                <w:szCs w:val="21"/>
              </w:rPr>
              <w:t>139</w:t>
            </w:r>
            <w:r>
              <w:rPr>
                <w:rFonts w:hint="eastAsia"/>
                <w:szCs w:val="21"/>
                <w:lang w:val="en-US" w:eastAsia="zh-CN"/>
              </w:rPr>
              <w:t>07026253</w:t>
            </w:r>
          </w:p>
        </w:tc>
      </w:tr>
      <w:tr w14:paraId="1047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trPr>
        <w:tc>
          <w:tcPr>
            <w:tcW w:w="827" w:type="dxa"/>
            <w:vMerge w:val="restart"/>
            <w:textDirection w:val="tbRlV"/>
            <w:vAlign w:val="center"/>
          </w:tcPr>
          <w:p w14:paraId="6E26E6D3">
            <w:pPr>
              <w:spacing w:line="360" w:lineRule="exact"/>
              <w:jc w:val="center"/>
              <w:rPr>
                <w:spacing w:val="140"/>
                <w:szCs w:val="21"/>
              </w:rPr>
            </w:pPr>
            <w:r>
              <w:rPr>
                <w:rFonts w:hint="eastAsia"/>
              </w:rPr>
              <w:t>主  要  人  员  情  况  （含第一负责人）</w:t>
            </w:r>
          </w:p>
        </w:tc>
        <w:tc>
          <w:tcPr>
            <w:tcW w:w="793" w:type="dxa"/>
            <w:vAlign w:val="center"/>
          </w:tcPr>
          <w:p w14:paraId="43FA32F7">
            <w:pPr>
              <w:jc w:val="center"/>
              <w:rPr>
                <w:szCs w:val="21"/>
              </w:rPr>
            </w:pPr>
            <w:r>
              <w:rPr>
                <w:rFonts w:hint="eastAsia"/>
                <w:szCs w:val="21"/>
              </w:rPr>
              <w:t>序号</w:t>
            </w:r>
          </w:p>
        </w:tc>
        <w:tc>
          <w:tcPr>
            <w:tcW w:w="1260" w:type="dxa"/>
            <w:gridSpan w:val="3"/>
            <w:vAlign w:val="center"/>
          </w:tcPr>
          <w:p w14:paraId="64ADB819">
            <w:pPr>
              <w:jc w:val="center"/>
              <w:rPr>
                <w:szCs w:val="21"/>
              </w:rPr>
            </w:pPr>
            <w:r>
              <w:rPr>
                <w:rFonts w:hint="eastAsia"/>
                <w:szCs w:val="21"/>
              </w:rPr>
              <w:t>姓名</w:t>
            </w:r>
          </w:p>
        </w:tc>
        <w:tc>
          <w:tcPr>
            <w:tcW w:w="596" w:type="dxa"/>
            <w:gridSpan w:val="2"/>
            <w:vAlign w:val="center"/>
          </w:tcPr>
          <w:p w14:paraId="26C05C93">
            <w:pPr>
              <w:jc w:val="center"/>
              <w:rPr>
                <w:szCs w:val="21"/>
              </w:rPr>
            </w:pPr>
            <w:r>
              <w:rPr>
                <w:rFonts w:hint="eastAsia"/>
                <w:szCs w:val="21"/>
              </w:rPr>
              <w:t>性别</w:t>
            </w:r>
          </w:p>
        </w:tc>
        <w:tc>
          <w:tcPr>
            <w:tcW w:w="484" w:type="dxa"/>
            <w:vAlign w:val="center"/>
          </w:tcPr>
          <w:p w14:paraId="088771DD">
            <w:pPr>
              <w:jc w:val="center"/>
              <w:rPr>
                <w:szCs w:val="21"/>
              </w:rPr>
            </w:pPr>
            <w:r>
              <w:rPr>
                <w:rFonts w:hint="eastAsia"/>
                <w:szCs w:val="21"/>
              </w:rPr>
              <w:t>年龄</w:t>
            </w:r>
          </w:p>
        </w:tc>
        <w:tc>
          <w:tcPr>
            <w:tcW w:w="1080" w:type="dxa"/>
            <w:gridSpan w:val="4"/>
            <w:vAlign w:val="center"/>
          </w:tcPr>
          <w:p w14:paraId="72644E9C">
            <w:pPr>
              <w:jc w:val="center"/>
              <w:rPr>
                <w:szCs w:val="21"/>
              </w:rPr>
            </w:pPr>
            <w:r>
              <w:rPr>
                <w:rFonts w:hint="eastAsia"/>
                <w:szCs w:val="21"/>
              </w:rPr>
              <w:t>技术职称</w:t>
            </w:r>
          </w:p>
        </w:tc>
        <w:tc>
          <w:tcPr>
            <w:tcW w:w="1080" w:type="dxa"/>
            <w:gridSpan w:val="4"/>
            <w:vAlign w:val="center"/>
          </w:tcPr>
          <w:p w14:paraId="43C6DCED">
            <w:pPr>
              <w:jc w:val="center"/>
              <w:rPr>
                <w:szCs w:val="21"/>
              </w:rPr>
            </w:pPr>
            <w:r>
              <w:rPr>
                <w:rFonts w:hint="eastAsia"/>
                <w:szCs w:val="21"/>
              </w:rPr>
              <w:t>从事专业</w:t>
            </w:r>
          </w:p>
        </w:tc>
        <w:tc>
          <w:tcPr>
            <w:tcW w:w="1634" w:type="dxa"/>
            <w:gridSpan w:val="4"/>
            <w:vAlign w:val="center"/>
          </w:tcPr>
          <w:p w14:paraId="7AFE7B96">
            <w:pPr>
              <w:ind w:firstLine="105" w:firstLineChars="50"/>
              <w:jc w:val="center"/>
              <w:rPr>
                <w:szCs w:val="21"/>
              </w:rPr>
            </w:pPr>
            <w:r>
              <w:rPr>
                <w:rFonts w:hint="eastAsia"/>
                <w:szCs w:val="21"/>
              </w:rPr>
              <w:t>单　位</w:t>
            </w:r>
          </w:p>
        </w:tc>
        <w:tc>
          <w:tcPr>
            <w:tcW w:w="1023" w:type="dxa"/>
            <w:vAlign w:val="center"/>
          </w:tcPr>
          <w:p w14:paraId="7B7A4DB6">
            <w:pPr>
              <w:jc w:val="center"/>
              <w:rPr>
                <w:szCs w:val="21"/>
              </w:rPr>
            </w:pPr>
            <w:r>
              <w:rPr>
                <w:rFonts w:hint="eastAsia"/>
                <w:szCs w:val="21"/>
              </w:rPr>
              <w:t>课题分工</w:t>
            </w:r>
          </w:p>
        </w:tc>
        <w:tc>
          <w:tcPr>
            <w:tcW w:w="800" w:type="dxa"/>
            <w:vAlign w:val="center"/>
          </w:tcPr>
          <w:p w14:paraId="0B260037">
            <w:pPr>
              <w:jc w:val="center"/>
              <w:rPr>
                <w:szCs w:val="21"/>
              </w:rPr>
            </w:pPr>
            <w:r>
              <w:rPr>
                <w:rFonts w:hint="eastAsia"/>
                <w:szCs w:val="21"/>
              </w:rPr>
              <w:t>签字</w:t>
            </w:r>
          </w:p>
        </w:tc>
      </w:tr>
      <w:tr w14:paraId="7233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827" w:type="dxa"/>
            <w:vMerge w:val="continue"/>
            <w:vAlign w:val="center"/>
          </w:tcPr>
          <w:p w14:paraId="12070DD8"/>
        </w:tc>
        <w:tc>
          <w:tcPr>
            <w:tcW w:w="793" w:type="dxa"/>
          </w:tcPr>
          <w:p w14:paraId="6F0A339A">
            <w:pPr>
              <w:jc w:val="center"/>
            </w:pPr>
            <w:r>
              <w:rPr>
                <w:rFonts w:hint="eastAsia"/>
              </w:rPr>
              <w:t>1</w:t>
            </w:r>
          </w:p>
        </w:tc>
        <w:tc>
          <w:tcPr>
            <w:tcW w:w="1260" w:type="dxa"/>
            <w:gridSpan w:val="3"/>
          </w:tcPr>
          <w:p w14:paraId="259F363B">
            <w:pPr>
              <w:jc w:val="center"/>
              <w:rPr>
                <w:rFonts w:hint="eastAsia" w:eastAsia="宋体"/>
                <w:lang w:eastAsia="zh-CN"/>
              </w:rPr>
            </w:pPr>
            <w:r>
              <w:rPr>
                <w:rFonts w:hint="eastAsia"/>
                <w:lang w:val="en-US" w:eastAsia="zh-CN"/>
              </w:rPr>
              <w:t>黄  华</w:t>
            </w:r>
          </w:p>
        </w:tc>
        <w:tc>
          <w:tcPr>
            <w:tcW w:w="596" w:type="dxa"/>
            <w:gridSpan w:val="2"/>
          </w:tcPr>
          <w:p w14:paraId="3352424F">
            <w:pPr>
              <w:jc w:val="center"/>
            </w:pPr>
            <w:r>
              <w:rPr>
                <w:rFonts w:hint="eastAsia"/>
              </w:rPr>
              <w:t>男</w:t>
            </w:r>
          </w:p>
        </w:tc>
        <w:tc>
          <w:tcPr>
            <w:tcW w:w="484" w:type="dxa"/>
          </w:tcPr>
          <w:p w14:paraId="3DD15284">
            <w:pPr>
              <w:rPr>
                <w:rFonts w:hint="eastAsia" w:eastAsia="宋体"/>
                <w:lang w:eastAsia="zh-CN"/>
              </w:rPr>
            </w:pPr>
            <w:r>
              <w:rPr>
                <w:rFonts w:hint="eastAsia"/>
              </w:rPr>
              <w:t>4</w:t>
            </w:r>
            <w:r>
              <w:rPr>
                <w:rFonts w:hint="eastAsia"/>
                <w:lang w:val="en-US" w:eastAsia="zh-CN"/>
              </w:rPr>
              <w:t>9</w:t>
            </w:r>
          </w:p>
        </w:tc>
        <w:tc>
          <w:tcPr>
            <w:tcW w:w="1080" w:type="dxa"/>
            <w:gridSpan w:val="4"/>
          </w:tcPr>
          <w:p w14:paraId="3D6B24F0">
            <w:r>
              <w:rPr>
                <w:rFonts w:hint="eastAsia"/>
              </w:rPr>
              <w:t>主任医师</w:t>
            </w:r>
          </w:p>
        </w:tc>
        <w:tc>
          <w:tcPr>
            <w:tcW w:w="1080" w:type="dxa"/>
            <w:gridSpan w:val="4"/>
          </w:tcPr>
          <w:p w14:paraId="74357037">
            <w:pPr>
              <w:rPr>
                <w:rFonts w:hint="eastAsia" w:eastAsia="宋体"/>
                <w:lang w:val="en-US" w:eastAsia="zh-CN"/>
              </w:rPr>
            </w:pPr>
            <w:r>
              <w:rPr>
                <w:rFonts w:hint="eastAsia"/>
              </w:rPr>
              <w:t>临床</w:t>
            </w:r>
            <w:r>
              <w:rPr>
                <w:rFonts w:hint="eastAsia"/>
                <w:lang w:val="en-US" w:eastAsia="zh-CN"/>
              </w:rPr>
              <w:t>医学</w:t>
            </w:r>
          </w:p>
        </w:tc>
        <w:tc>
          <w:tcPr>
            <w:tcW w:w="1634" w:type="dxa"/>
            <w:gridSpan w:val="4"/>
          </w:tcPr>
          <w:p w14:paraId="3AAE9DC2">
            <w:pPr>
              <w:rPr>
                <w:rFonts w:hint="default" w:eastAsia="宋体"/>
                <w:lang w:val="en-US" w:eastAsia="zh-CN"/>
              </w:rPr>
            </w:pPr>
            <w:r>
              <w:rPr>
                <w:rFonts w:hint="eastAsia"/>
                <w:lang w:val="en-US" w:eastAsia="zh-CN"/>
              </w:rPr>
              <w:t>九江市第三人民医院</w:t>
            </w:r>
          </w:p>
        </w:tc>
        <w:tc>
          <w:tcPr>
            <w:tcW w:w="1023" w:type="dxa"/>
          </w:tcPr>
          <w:p w14:paraId="6D8C9BD9">
            <w:pPr>
              <w:rPr>
                <w:rFonts w:hint="eastAsia" w:eastAsia="宋体"/>
                <w:lang w:eastAsia="zh-CN"/>
              </w:rPr>
            </w:pPr>
            <w:r>
              <w:rPr>
                <w:rFonts w:hint="eastAsia"/>
                <w:lang w:eastAsia="zh-CN"/>
              </w:rPr>
              <w:t>主持课题设计、临床统筹与质量控制</w:t>
            </w:r>
          </w:p>
        </w:tc>
        <w:tc>
          <w:tcPr>
            <w:tcW w:w="800" w:type="dxa"/>
          </w:tcPr>
          <w:p w14:paraId="00B47CEA"/>
        </w:tc>
      </w:tr>
      <w:tr w14:paraId="3CFF0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827" w:type="dxa"/>
            <w:vMerge w:val="continue"/>
            <w:vAlign w:val="center"/>
          </w:tcPr>
          <w:p w14:paraId="55CCA0CC"/>
        </w:tc>
        <w:tc>
          <w:tcPr>
            <w:tcW w:w="793" w:type="dxa"/>
          </w:tcPr>
          <w:p w14:paraId="00F3A11B">
            <w:pPr>
              <w:jc w:val="center"/>
            </w:pPr>
            <w:r>
              <w:rPr>
                <w:rFonts w:hint="eastAsia"/>
              </w:rPr>
              <w:t>2</w:t>
            </w:r>
          </w:p>
        </w:tc>
        <w:tc>
          <w:tcPr>
            <w:tcW w:w="1260" w:type="dxa"/>
            <w:gridSpan w:val="3"/>
          </w:tcPr>
          <w:p w14:paraId="4FA4D41A">
            <w:pPr>
              <w:jc w:val="center"/>
              <w:rPr>
                <w:rFonts w:hint="eastAsia" w:eastAsia="宋体"/>
                <w:lang w:eastAsia="zh-CN"/>
              </w:rPr>
            </w:pPr>
            <w:r>
              <w:rPr>
                <w:rFonts w:hint="eastAsia"/>
                <w:lang w:val="en-US" w:eastAsia="zh-CN"/>
              </w:rPr>
              <w:t>阮英玲</w:t>
            </w:r>
          </w:p>
        </w:tc>
        <w:tc>
          <w:tcPr>
            <w:tcW w:w="596" w:type="dxa"/>
            <w:gridSpan w:val="2"/>
          </w:tcPr>
          <w:p w14:paraId="37146409">
            <w:pPr>
              <w:jc w:val="center"/>
            </w:pPr>
            <w:r>
              <w:rPr>
                <w:rFonts w:hint="eastAsia"/>
              </w:rPr>
              <w:t xml:space="preserve"> 女</w:t>
            </w:r>
          </w:p>
        </w:tc>
        <w:tc>
          <w:tcPr>
            <w:tcW w:w="484" w:type="dxa"/>
          </w:tcPr>
          <w:p w14:paraId="23927942">
            <w:pPr>
              <w:rPr>
                <w:rFonts w:hint="eastAsia" w:eastAsia="宋体"/>
                <w:lang w:eastAsia="zh-CN"/>
              </w:rPr>
            </w:pPr>
            <w:r>
              <w:rPr>
                <w:rFonts w:hint="eastAsia"/>
              </w:rPr>
              <w:t>3</w:t>
            </w:r>
            <w:r>
              <w:rPr>
                <w:rFonts w:hint="eastAsia"/>
                <w:lang w:val="en-US" w:eastAsia="zh-CN"/>
              </w:rPr>
              <w:t>3</w:t>
            </w:r>
          </w:p>
        </w:tc>
        <w:tc>
          <w:tcPr>
            <w:tcW w:w="1080" w:type="dxa"/>
            <w:gridSpan w:val="4"/>
          </w:tcPr>
          <w:p w14:paraId="429C532E">
            <w:pPr>
              <w:rPr>
                <w:rFonts w:hint="default" w:eastAsia="宋体"/>
                <w:lang w:val="en-US" w:eastAsia="zh-CN"/>
              </w:rPr>
            </w:pPr>
            <w:r>
              <w:rPr>
                <w:rFonts w:hint="eastAsia"/>
                <w:lang w:val="en-US" w:eastAsia="zh-CN"/>
              </w:rPr>
              <w:t>主治医师</w:t>
            </w:r>
          </w:p>
        </w:tc>
        <w:tc>
          <w:tcPr>
            <w:tcW w:w="1080" w:type="dxa"/>
            <w:gridSpan w:val="4"/>
          </w:tcPr>
          <w:p w14:paraId="1855D389">
            <w:pPr>
              <w:rPr>
                <w:rFonts w:hint="default" w:eastAsia="宋体"/>
                <w:lang w:val="en-US" w:eastAsia="zh-CN"/>
              </w:rPr>
            </w:pPr>
            <w:r>
              <w:rPr>
                <w:rFonts w:hint="eastAsia"/>
                <w:lang w:val="en-US" w:eastAsia="zh-CN"/>
              </w:rPr>
              <w:t>临床医学</w:t>
            </w:r>
          </w:p>
        </w:tc>
        <w:tc>
          <w:tcPr>
            <w:tcW w:w="1634" w:type="dxa"/>
            <w:gridSpan w:val="4"/>
          </w:tcPr>
          <w:p w14:paraId="71D40E1F">
            <w:r>
              <w:rPr>
                <w:rFonts w:hint="eastAsia"/>
                <w:lang w:val="en-US" w:eastAsia="zh-CN"/>
              </w:rPr>
              <w:t>九江市第三人民医院</w:t>
            </w:r>
          </w:p>
        </w:tc>
        <w:tc>
          <w:tcPr>
            <w:tcW w:w="1023" w:type="dxa"/>
          </w:tcPr>
          <w:p w14:paraId="0D459F0C">
            <w:pPr>
              <w:rPr>
                <w:rFonts w:hint="eastAsia" w:eastAsia="宋体"/>
                <w:lang w:eastAsia="zh-CN"/>
              </w:rPr>
            </w:pPr>
            <w:r>
              <w:rPr>
                <w:rFonts w:hint="eastAsia"/>
                <w:lang w:eastAsia="zh-CN"/>
              </w:rPr>
              <w:t>病例入组、资料收集与数据整理</w:t>
            </w:r>
          </w:p>
        </w:tc>
        <w:tc>
          <w:tcPr>
            <w:tcW w:w="800" w:type="dxa"/>
          </w:tcPr>
          <w:p w14:paraId="4B4D208E"/>
        </w:tc>
      </w:tr>
      <w:tr w14:paraId="52C6A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827" w:type="dxa"/>
            <w:vMerge w:val="continue"/>
            <w:vAlign w:val="center"/>
          </w:tcPr>
          <w:p w14:paraId="38901A53"/>
        </w:tc>
        <w:tc>
          <w:tcPr>
            <w:tcW w:w="793" w:type="dxa"/>
          </w:tcPr>
          <w:p w14:paraId="1200EBF6">
            <w:pPr>
              <w:jc w:val="center"/>
            </w:pPr>
            <w:r>
              <w:rPr>
                <w:rFonts w:hint="eastAsia"/>
              </w:rPr>
              <w:t>3</w:t>
            </w:r>
          </w:p>
        </w:tc>
        <w:tc>
          <w:tcPr>
            <w:tcW w:w="1260" w:type="dxa"/>
            <w:gridSpan w:val="3"/>
          </w:tcPr>
          <w:p w14:paraId="7209B50D">
            <w:pPr>
              <w:jc w:val="center"/>
              <w:rPr>
                <w:rFonts w:hint="eastAsia" w:eastAsia="宋体"/>
                <w:lang w:val="en-US" w:eastAsia="zh-CN"/>
              </w:rPr>
            </w:pPr>
            <w:r>
              <w:rPr>
                <w:rFonts w:hint="eastAsia"/>
                <w:lang w:val="en-US" w:eastAsia="zh-CN"/>
              </w:rPr>
              <w:t>张羽</w:t>
            </w:r>
          </w:p>
        </w:tc>
        <w:tc>
          <w:tcPr>
            <w:tcW w:w="596" w:type="dxa"/>
            <w:gridSpan w:val="2"/>
          </w:tcPr>
          <w:p w14:paraId="08A3AB7A">
            <w:pPr>
              <w:jc w:val="center"/>
              <w:rPr>
                <w:rFonts w:hint="default" w:eastAsia="宋体"/>
                <w:lang w:val="en-US" w:eastAsia="zh-CN"/>
              </w:rPr>
            </w:pPr>
            <w:r>
              <w:rPr>
                <w:rFonts w:hint="eastAsia"/>
                <w:lang w:val="en-US" w:eastAsia="zh-CN"/>
              </w:rPr>
              <w:t>男</w:t>
            </w:r>
          </w:p>
        </w:tc>
        <w:tc>
          <w:tcPr>
            <w:tcW w:w="484" w:type="dxa"/>
          </w:tcPr>
          <w:p w14:paraId="0401506E">
            <w:pPr>
              <w:rPr>
                <w:rFonts w:hint="default" w:eastAsia="宋体"/>
                <w:lang w:val="en-US" w:eastAsia="zh-CN"/>
              </w:rPr>
            </w:pPr>
            <w:r>
              <w:rPr>
                <w:rFonts w:hint="eastAsia"/>
                <w:lang w:val="en-US" w:eastAsia="zh-CN"/>
              </w:rPr>
              <w:t>36</w:t>
            </w:r>
          </w:p>
        </w:tc>
        <w:tc>
          <w:tcPr>
            <w:tcW w:w="1080" w:type="dxa"/>
            <w:gridSpan w:val="4"/>
          </w:tcPr>
          <w:p w14:paraId="6D7661E2">
            <w:pPr>
              <w:rPr>
                <w:rFonts w:hint="eastAsia" w:eastAsia="宋体"/>
                <w:lang w:val="en-US" w:eastAsia="zh-CN"/>
              </w:rPr>
            </w:pPr>
            <w:r>
              <w:rPr>
                <w:rFonts w:hint="eastAsia"/>
                <w:lang w:val="en-US" w:eastAsia="zh-CN"/>
              </w:rPr>
              <w:t>主治医师</w:t>
            </w:r>
          </w:p>
        </w:tc>
        <w:tc>
          <w:tcPr>
            <w:tcW w:w="1080" w:type="dxa"/>
            <w:gridSpan w:val="4"/>
          </w:tcPr>
          <w:p w14:paraId="55A5EE7E">
            <w:pPr>
              <w:rPr>
                <w:rFonts w:hint="eastAsia" w:eastAsia="宋体"/>
                <w:lang w:val="en-US" w:eastAsia="zh-CN"/>
              </w:rPr>
            </w:pPr>
            <w:r>
              <w:rPr>
                <w:rFonts w:hint="eastAsia"/>
                <w:lang w:val="en-US" w:eastAsia="zh-CN"/>
              </w:rPr>
              <w:t>临床医学</w:t>
            </w:r>
          </w:p>
        </w:tc>
        <w:tc>
          <w:tcPr>
            <w:tcW w:w="1634" w:type="dxa"/>
            <w:gridSpan w:val="4"/>
          </w:tcPr>
          <w:p w14:paraId="6F2F3D84">
            <w:r>
              <w:rPr>
                <w:rFonts w:hint="eastAsia"/>
                <w:lang w:val="en-US" w:eastAsia="zh-CN"/>
              </w:rPr>
              <w:t>九江市第三人民医院</w:t>
            </w:r>
          </w:p>
        </w:tc>
        <w:tc>
          <w:tcPr>
            <w:tcW w:w="1023" w:type="dxa"/>
          </w:tcPr>
          <w:p w14:paraId="131447B6">
            <w:pPr>
              <w:rPr>
                <w:rFonts w:hint="eastAsia" w:eastAsia="宋体"/>
                <w:lang w:eastAsia="zh-CN"/>
              </w:rPr>
            </w:pPr>
            <w:r>
              <w:rPr>
                <w:rFonts w:hint="eastAsia"/>
                <w:lang w:eastAsia="zh-CN"/>
              </w:rPr>
              <w:t>病例入组、资料收集与数据整理</w:t>
            </w:r>
          </w:p>
        </w:tc>
        <w:tc>
          <w:tcPr>
            <w:tcW w:w="800" w:type="dxa"/>
          </w:tcPr>
          <w:p w14:paraId="3B358A4B"/>
        </w:tc>
      </w:tr>
      <w:tr w14:paraId="5E6B6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827" w:type="dxa"/>
            <w:vMerge w:val="continue"/>
            <w:vAlign w:val="center"/>
          </w:tcPr>
          <w:p w14:paraId="2FC9CA2E"/>
        </w:tc>
        <w:tc>
          <w:tcPr>
            <w:tcW w:w="793" w:type="dxa"/>
          </w:tcPr>
          <w:p w14:paraId="6055B09A">
            <w:pPr>
              <w:jc w:val="center"/>
            </w:pPr>
            <w:r>
              <w:rPr>
                <w:rFonts w:hint="eastAsia"/>
              </w:rPr>
              <w:t>4</w:t>
            </w:r>
          </w:p>
        </w:tc>
        <w:tc>
          <w:tcPr>
            <w:tcW w:w="1260" w:type="dxa"/>
            <w:gridSpan w:val="3"/>
            <w:vAlign w:val="top"/>
          </w:tcPr>
          <w:p w14:paraId="0E066E00">
            <w:pPr>
              <w:jc w:val="center"/>
              <w:rPr>
                <w:rFonts w:hint="eastAsia" w:eastAsia="宋体"/>
                <w:lang w:val="en-US" w:eastAsia="zh-CN"/>
              </w:rPr>
            </w:pPr>
            <w:r>
              <w:rPr>
                <w:rFonts w:hint="eastAsia"/>
                <w:lang w:val="en-US" w:eastAsia="zh-CN"/>
              </w:rPr>
              <w:t>罗雯</w:t>
            </w:r>
          </w:p>
        </w:tc>
        <w:tc>
          <w:tcPr>
            <w:tcW w:w="596" w:type="dxa"/>
            <w:gridSpan w:val="2"/>
            <w:vAlign w:val="top"/>
          </w:tcPr>
          <w:p w14:paraId="2E72FA82">
            <w:pPr>
              <w:jc w:val="center"/>
              <w:rPr>
                <w:rFonts w:hint="eastAsia" w:eastAsia="宋体"/>
                <w:lang w:val="en-US" w:eastAsia="zh-CN"/>
              </w:rPr>
            </w:pPr>
            <w:r>
              <w:rPr>
                <w:rFonts w:hint="eastAsia"/>
                <w:lang w:val="en-US" w:eastAsia="zh-CN"/>
              </w:rPr>
              <w:t>女</w:t>
            </w:r>
          </w:p>
        </w:tc>
        <w:tc>
          <w:tcPr>
            <w:tcW w:w="484" w:type="dxa"/>
            <w:vAlign w:val="top"/>
          </w:tcPr>
          <w:p w14:paraId="08BFBC67">
            <w:pPr>
              <w:rPr>
                <w:rFonts w:hint="default" w:eastAsia="宋体"/>
                <w:lang w:val="en-US" w:eastAsia="zh-CN"/>
              </w:rPr>
            </w:pPr>
            <w:r>
              <w:rPr>
                <w:rFonts w:hint="eastAsia"/>
                <w:lang w:val="en-US" w:eastAsia="zh-CN"/>
              </w:rPr>
              <w:t>34</w:t>
            </w:r>
          </w:p>
        </w:tc>
        <w:tc>
          <w:tcPr>
            <w:tcW w:w="1080" w:type="dxa"/>
            <w:gridSpan w:val="4"/>
            <w:vAlign w:val="top"/>
          </w:tcPr>
          <w:p w14:paraId="297A43F6">
            <w:pPr>
              <w:rPr>
                <w:rFonts w:hint="eastAsia" w:eastAsia="宋体"/>
                <w:lang w:val="en-US" w:eastAsia="zh-CN"/>
              </w:rPr>
            </w:pPr>
            <w:r>
              <w:rPr>
                <w:rFonts w:hint="eastAsia"/>
                <w:lang w:val="en-US" w:eastAsia="zh-CN"/>
              </w:rPr>
              <w:t>主治医师</w:t>
            </w:r>
          </w:p>
        </w:tc>
        <w:tc>
          <w:tcPr>
            <w:tcW w:w="1080" w:type="dxa"/>
            <w:gridSpan w:val="4"/>
            <w:vAlign w:val="top"/>
          </w:tcPr>
          <w:p w14:paraId="22506928">
            <w:pPr>
              <w:rPr>
                <w:rFonts w:hint="eastAsia" w:eastAsia="宋体"/>
                <w:lang w:val="en-US" w:eastAsia="zh-CN"/>
              </w:rPr>
            </w:pPr>
            <w:r>
              <w:rPr>
                <w:rFonts w:hint="eastAsia"/>
                <w:lang w:val="en-US" w:eastAsia="zh-CN"/>
              </w:rPr>
              <w:t>临床医学</w:t>
            </w:r>
          </w:p>
        </w:tc>
        <w:tc>
          <w:tcPr>
            <w:tcW w:w="1634" w:type="dxa"/>
            <w:gridSpan w:val="4"/>
            <w:vAlign w:val="top"/>
          </w:tcPr>
          <w:p w14:paraId="20141801">
            <w:r>
              <w:rPr>
                <w:rFonts w:hint="eastAsia"/>
                <w:lang w:val="en-US" w:eastAsia="zh-CN"/>
              </w:rPr>
              <w:t>九江市第三人民医院</w:t>
            </w:r>
          </w:p>
        </w:tc>
        <w:tc>
          <w:tcPr>
            <w:tcW w:w="1023" w:type="dxa"/>
          </w:tcPr>
          <w:p w14:paraId="423B59F0">
            <w:pPr>
              <w:rPr>
                <w:rFonts w:hint="default" w:eastAsia="宋体"/>
                <w:lang w:val="en-US" w:eastAsia="zh-CN"/>
              </w:rPr>
            </w:pPr>
            <w:r>
              <w:rPr>
                <w:rFonts w:hint="eastAsia"/>
                <w:lang w:val="en-US" w:eastAsia="zh-CN"/>
              </w:rPr>
              <w:t>临床资料收集、肺结核诊断与结局核查</w:t>
            </w:r>
          </w:p>
        </w:tc>
        <w:tc>
          <w:tcPr>
            <w:tcW w:w="800" w:type="dxa"/>
          </w:tcPr>
          <w:p w14:paraId="5D464F44"/>
        </w:tc>
      </w:tr>
      <w:tr w14:paraId="0EDB3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827" w:type="dxa"/>
            <w:vMerge w:val="continue"/>
            <w:vAlign w:val="center"/>
          </w:tcPr>
          <w:p w14:paraId="183091B7"/>
        </w:tc>
        <w:tc>
          <w:tcPr>
            <w:tcW w:w="793" w:type="dxa"/>
          </w:tcPr>
          <w:p w14:paraId="34199E4C">
            <w:pPr>
              <w:jc w:val="center"/>
            </w:pPr>
            <w:r>
              <w:rPr>
                <w:rFonts w:hint="eastAsia"/>
              </w:rPr>
              <w:t>5</w:t>
            </w:r>
          </w:p>
        </w:tc>
        <w:tc>
          <w:tcPr>
            <w:tcW w:w="1260" w:type="dxa"/>
            <w:gridSpan w:val="3"/>
            <w:vAlign w:val="top"/>
          </w:tcPr>
          <w:p w14:paraId="08598DDF">
            <w:pPr>
              <w:jc w:val="center"/>
              <w:rPr>
                <w:rFonts w:hint="default" w:eastAsia="宋体"/>
                <w:lang w:val="en-US" w:eastAsia="zh-CN"/>
              </w:rPr>
            </w:pPr>
            <w:r>
              <w:rPr>
                <w:rFonts w:hint="eastAsia"/>
                <w:lang w:val="en-US" w:eastAsia="zh-CN"/>
              </w:rPr>
              <w:t>王卫华</w:t>
            </w:r>
          </w:p>
        </w:tc>
        <w:tc>
          <w:tcPr>
            <w:tcW w:w="596" w:type="dxa"/>
            <w:gridSpan w:val="2"/>
            <w:vAlign w:val="top"/>
          </w:tcPr>
          <w:p w14:paraId="2CE625D5">
            <w:pPr>
              <w:jc w:val="center"/>
              <w:rPr>
                <w:rFonts w:hint="eastAsia" w:eastAsia="宋体"/>
                <w:lang w:val="en-US" w:eastAsia="zh-CN"/>
              </w:rPr>
            </w:pPr>
            <w:r>
              <w:rPr>
                <w:rFonts w:hint="eastAsia"/>
                <w:lang w:val="en-US" w:eastAsia="zh-CN"/>
              </w:rPr>
              <w:t>男</w:t>
            </w:r>
          </w:p>
        </w:tc>
        <w:tc>
          <w:tcPr>
            <w:tcW w:w="484" w:type="dxa"/>
            <w:vAlign w:val="top"/>
          </w:tcPr>
          <w:p w14:paraId="6494139F">
            <w:pPr>
              <w:rPr>
                <w:rFonts w:hint="default" w:eastAsia="宋体"/>
                <w:lang w:val="en-US" w:eastAsia="zh-CN"/>
              </w:rPr>
            </w:pPr>
            <w:r>
              <w:rPr>
                <w:rFonts w:hint="eastAsia"/>
                <w:lang w:val="en-US" w:eastAsia="zh-CN"/>
              </w:rPr>
              <w:t>44</w:t>
            </w:r>
          </w:p>
        </w:tc>
        <w:tc>
          <w:tcPr>
            <w:tcW w:w="1080" w:type="dxa"/>
            <w:gridSpan w:val="4"/>
            <w:vAlign w:val="top"/>
          </w:tcPr>
          <w:p w14:paraId="0312D2C0">
            <w:pPr>
              <w:rPr>
                <w:rFonts w:hint="default" w:eastAsia="宋体"/>
                <w:lang w:val="en-US" w:eastAsia="zh-CN"/>
              </w:rPr>
            </w:pPr>
            <w:r>
              <w:rPr>
                <w:rFonts w:hint="eastAsia"/>
                <w:lang w:val="en-US" w:eastAsia="zh-CN"/>
              </w:rPr>
              <w:t>主任医师</w:t>
            </w:r>
          </w:p>
        </w:tc>
        <w:tc>
          <w:tcPr>
            <w:tcW w:w="1080" w:type="dxa"/>
            <w:gridSpan w:val="4"/>
            <w:vAlign w:val="top"/>
          </w:tcPr>
          <w:p w14:paraId="5AF7A60C">
            <w:pPr>
              <w:rPr>
                <w:rFonts w:hint="eastAsia" w:eastAsia="宋体"/>
                <w:lang w:val="en-US" w:eastAsia="zh-CN"/>
              </w:rPr>
            </w:pPr>
            <w:r>
              <w:rPr>
                <w:rFonts w:hint="eastAsia"/>
                <w:lang w:val="en-US" w:eastAsia="zh-CN"/>
              </w:rPr>
              <w:t>临床医学</w:t>
            </w:r>
          </w:p>
        </w:tc>
        <w:tc>
          <w:tcPr>
            <w:tcW w:w="1634" w:type="dxa"/>
            <w:gridSpan w:val="4"/>
            <w:vAlign w:val="top"/>
          </w:tcPr>
          <w:p w14:paraId="167C4CD5">
            <w:pPr>
              <w:rPr>
                <w:rFonts w:hint="eastAsia" w:eastAsia="宋体"/>
                <w:lang w:val="en-US" w:eastAsia="zh-CN"/>
              </w:rPr>
            </w:pPr>
            <w:r>
              <w:rPr>
                <w:rFonts w:hint="eastAsia"/>
                <w:lang w:val="en-US" w:eastAsia="zh-CN"/>
              </w:rPr>
              <w:t>九江市第三人民医院</w:t>
            </w:r>
          </w:p>
        </w:tc>
        <w:tc>
          <w:tcPr>
            <w:tcW w:w="1023" w:type="dxa"/>
            <w:shd w:val="clear" w:color="auto" w:fill="auto"/>
            <w:vAlign w:val="top"/>
          </w:tcPr>
          <w:p w14:paraId="5441FF67">
            <w:pPr>
              <w:rPr>
                <w:rFonts w:hint="default" w:ascii="Calibri" w:hAnsi="Calibri" w:eastAsia="宋体" w:cs="宋体"/>
                <w:kern w:val="2"/>
                <w:sz w:val="21"/>
                <w:szCs w:val="24"/>
                <w:lang w:val="en-US" w:eastAsia="zh-CN" w:bidi="ar-SA"/>
              </w:rPr>
            </w:pPr>
            <w:r>
              <w:rPr>
                <w:rFonts w:hint="eastAsia"/>
                <w:lang w:val="en-US" w:eastAsia="zh-CN"/>
              </w:rPr>
              <w:t>研究对象筛选与治疗过程管理</w:t>
            </w:r>
          </w:p>
        </w:tc>
        <w:tc>
          <w:tcPr>
            <w:tcW w:w="800" w:type="dxa"/>
            <w:shd w:val="clear" w:color="auto" w:fill="auto"/>
            <w:vAlign w:val="top"/>
          </w:tcPr>
          <w:p w14:paraId="07FB4D25">
            <w:pPr>
              <w:rPr>
                <w:rFonts w:ascii="Calibri" w:hAnsi="Calibri" w:eastAsia="宋体" w:cs="宋体"/>
                <w:kern w:val="2"/>
                <w:sz w:val="21"/>
                <w:szCs w:val="24"/>
                <w:lang w:val="en-US" w:eastAsia="zh-CN" w:bidi="ar-SA"/>
              </w:rPr>
            </w:pPr>
          </w:p>
        </w:tc>
      </w:tr>
      <w:tr w14:paraId="7628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827" w:type="dxa"/>
            <w:vMerge w:val="continue"/>
            <w:vAlign w:val="center"/>
          </w:tcPr>
          <w:p w14:paraId="512714B3"/>
        </w:tc>
        <w:tc>
          <w:tcPr>
            <w:tcW w:w="793" w:type="dxa"/>
          </w:tcPr>
          <w:p w14:paraId="07DBF8AB">
            <w:pPr>
              <w:jc w:val="center"/>
            </w:pPr>
            <w:r>
              <w:rPr>
                <w:rFonts w:hint="eastAsia"/>
              </w:rPr>
              <w:t>6</w:t>
            </w:r>
          </w:p>
        </w:tc>
        <w:tc>
          <w:tcPr>
            <w:tcW w:w="1260" w:type="dxa"/>
            <w:gridSpan w:val="3"/>
            <w:vAlign w:val="top"/>
          </w:tcPr>
          <w:p w14:paraId="21DC57EE">
            <w:pPr>
              <w:jc w:val="center"/>
              <w:rPr>
                <w:rFonts w:hint="default" w:eastAsia="宋体"/>
                <w:lang w:val="en-US" w:eastAsia="zh-CN"/>
              </w:rPr>
            </w:pPr>
            <w:r>
              <w:rPr>
                <w:rFonts w:hint="eastAsia"/>
                <w:lang w:val="en-US" w:eastAsia="zh-CN"/>
              </w:rPr>
              <w:t>柯云霞</w:t>
            </w:r>
          </w:p>
        </w:tc>
        <w:tc>
          <w:tcPr>
            <w:tcW w:w="596" w:type="dxa"/>
            <w:gridSpan w:val="2"/>
            <w:vAlign w:val="top"/>
          </w:tcPr>
          <w:p w14:paraId="6D96BB0F">
            <w:pPr>
              <w:jc w:val="center"/>
              <w:rPr>
                <w:rFonts w:hint="eastAsia" w:eastAsia="宋体"/>
                <w:lang w:val="en-US" w:eastAsia="zh-CN"/>
              </w:rPr>
            </w:pPr>
            <w:r>
              <w:rPr>
                <w:rFonts w:hint="eastAsia"/>
                <w:lang w:val="en-US" w:eastAsia="zh-CN"/>
              </w:rPr>
              <w:t>女</w:t>
            </w:r>
          </w:p>
        </w:tc>
        <w:tc>
          <w:tcPr>
            <w:tcW w:w="484" w:type="dxa"/>
            <w:vAlign w:val="top"/>
          </w:tcPr>
          <w:p w14:paraId="6C4ED6A1">
            <w:pPr>
              <w:rPr>
                <w:rFonts w:hint="default" w:eastAsia="宋体"/>
                <w:lang w:val="en-US" w:eastAsia="zh-CN"/>
              </w:rPr>
            </w:pPr>
            <w:r>
              <w:rPr>
                <w:rFonts w:hint="eastAsia"/>
                <w:lang w:val="en-US" w:eastAsia="zh-CN"/>
              </w:rPr>
              <w:t>43</w:t>
            </w:r>
          </w:p>
        </w:tc>
        <w:tc>
          <w:tcPr>
            <w:tcW w:w="1080" w:type="dxa"/>
            <w:gridSpan w:val="4"/>
            <w:vAlign w:val="top"/>
          </w:tcPr>
          <w:p w14:paraId="65A557D8">
            <w:pPr>
              <w:rPr>
                <w:rFonts w:hint="eastAsia" w:eastAsia="宋体"/>
                <w:lang w:val="en-US" w:eastAsia="zh-CN"/>
              </w:rPr>
            </w:pPr>
            <w:r>
              <w:rPr>
                <w:rFonts w:hint="eastAsia"/>
                <w:lang w:val="en-US" w:eastAsia="zh-CN"/>
              </w:rPr>
              <w:t>副主任技师</w:t>
            </w:r>
          </w:p>
        </w:tc>
        <w:tc>
          <w:tcPr>
            <w:tcW w:w="1080" w:type="dxa"/>
            <w:gridSpan w:val="4"/>
            <w:vAlign w:val="top"/>
          </w:tcPr>
          <w:p w14:paraId="400C00B3">
            <w:pPr>
              <w:rPr>
                <w:rFonts w:hint="eastAsia" w:eastAsia="宋体"/>
                <w:lang w:val="en-US" w:eastAsia="zh-CN"/>
              </w:rPr>
            </w:pPr>
            <w:r>
              <w:rPr>
                <w:rFonts w:hint="eastAsia"/>
                <w:lang w:val="en-US" w:eastAsia="zh-CN"/>
              </w:rPr>
              <w:t>医学检验</w:t>
            </w:r>
          </w:p>
        </w:tc>
        <w:tc>
          <w:tcPr>
            <w:tcW w:w="1634" w:type="dxa"/>
            <w:gridSpan w:val="4"/>
            <w:vAlign w:val="top"/>
          </w:tcPr>
          <w:p w14:paraId="09586364">
            <w:pPr>
              <w:rPr>
                <w:rFonts w:hint="eastAsia" w:eastAsia="宋体"/>
                <w:lang w:val="en-US" w:eastAsia="zh-CN"/>
              </w:rPr>
            </w:pPr>
            <w:r>
              <w:rPr>
                <w:rFonts w:hint="eastAsia"/>
                <w:lang w:val="en-US" w:eastAsia="zh-CN"/>
              </w:rPr>
              <w:t>九江市第三人民医院</w:t>
            </w:r>
          </w:p>
        </w:tc>
        <w:tc>
          <w:tcPr>
            <w:tcW w:w="1023" w:type="dxa"/>
          </w:tcPr>
          <w:p w14:paraId="39C47E8E">
            <w:pPr>
              <w:rPr>
                <w:rFonts w:hint="default" w:eastAsia="宋体"/>
                <w:lang w:val="en-US" w:eastAsia="zh-CN"/>
              </w:rPr>
            </w:pPr>
            <w:r>
              <w:rPr>
                <w:rFonts w:hint="eastAsia"/>
                <w:lang w:val="en-US" w:eastAsia="zh-CN"/>
              </w:rPr>
              <w:t>样本处理、IL-6/hs-CRP检测与质控</w:t>
            </w:r>
          </w:p>
        </w:tc>
        <w:tc>
          <w:tcPr>
            <w:tcW w:w="800" w:type="dxa"/>
          </w:tcPr>
          <w:p w14:paraId="00A112AC"/>
        </w:tc>
      </w:tr>
      <w:tr w14:paraId="3106A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7" w:hRule="atLeast"/>
        </w:trPr>
        <w:tc>
          <w:tcPr>
            <w:tcW w:w="827" w:type="dxa"/>
            <w:vMerge w:val="continue"/>
            <w:vAlign w:val="center"/>
          </w:tcPr>
          <w:p w14:paraId="2B36F4C7"/>
        </w:tc>
        <w:tc>
          <w:tcPr>
            <w:tcW w:w="793" w:type="dxa"/>
          </w:tcPr>
          <w:p w14:paraId="372DDF11">
            <w:pPr>
              <w:jc w:val="center"/>
              <w:rPr>
                <w:rFonts w:hint="eastAsia" w:eastAsia="宋体"/>
                <w:lang w:val="en-US" w:eastAsia="zh-CN"/>
              </w:rPr>
            </w:pPr>
            <w:r>
              <w:rPr>
                <w:rFonts w:hint="eastAsia"/>
                <w:lang w:val="en-US" w:eastAsia="zh-CN"/>
              </w:rPr>
              <w:t>7</w:t>
            </w:r>
          </w:p>
        </w:tc>
        <w:tc>
          <w:tcPr>
            <w:tcW w:w="1260" w:type="dxa"/>
            <w:gridSpan w:val="3"/>
          </w:tcPr>
          <w:p w14:paraId="5C8A69D5">
            <w:pPr>
              <w:jc w:val="center"/>
              <w:rPr>
                <w:rFonts w:hint="default" w:eastAsia="宋体"/>
                <w:lang w:val="en-US" w:eastAsia="zh-CN"/>
              </w:rPr>
            </w:pPr>
            <w:r>
              <w:rPr>
                <w:rFonts w:hint="eastAsia"/>
                <w:lang w:val="en-US" w:eastAsia="zh-CN"/>
              </w:rPr>
              <w:t>黄洁</w:t>
            </w:r>
          </w:p>
        </w:tc>
        <w:tc>
          <w:tcPr>
            <w:tcW w:w="596" w:type="dxa"/>
            <w:gridSpan w:val="2"/>
          </w:tcPr>
          <w:p w14:paraId="706373C9">
            <w:pPr>
              <w:jc w:val="center"/>
              <w:rPr>
                <w:rFonts w:hint="eastAsia" w:eastAsia="宋体"/>
                <w:lang w:val="en-US" w:eastAsia="zh-CN"/>
              </w:rPr>
            </w:pPr>
            <w:r>
              <w:rPr>
                <w:rFonts w:hint="eastAsia"/>
                <w:lang w:val="en-US" w:eastAsia="zh-CN"/>
              </w:rPr>
              <w:t>女</w:t>
            </w:r>
          </w:p>
        </w:tc>
        <w:tc>
          <w:tcPr>
            <w:tcW w:w="484" w:type="dxa"/>
          </w:tcPr>
          <w:p w14:paraId="3E76ECF0">
            <w:pPr>
              <w:rPr>
                <w:rFonts w:hint="default" w:eastAsia="宋体"/>
                <w:lang w:val="en-US" w:eastAsia="zh-CN"/>
              </w:rPr>
            </w:pPr>
            <w:r>
              <w:rPr>
                <w:rFonts w:hint="eastAsia"/>
                <w:lang w:val="en-US" w:eastAsia="zh-CN"/>
              </w:rPr>
              <w:t>37</w:t>
            </w:r>
          </w:p>
        </w:tc>
        <w:tc>
          <w:tcPr>
            <w:tcW w:w="1080" w:type="dxa"/>
            <w:gridSpan w:val="4"/>
          </w:tcPr>
          <w:p w14:paraId="46BE16EE">
            <w:pPr>
              <w:rPr>
                <w:rFonts w:hint="default" w:eastAsia="宋体"/>
                <w:lang w:val="en-US" w:eastAsia="zh-CN"/>
              </w:rPr>
            </w:pPr>
            <w:r>
              <w:rPr>
                <w:rFonts w:hint="eastAsia"/>
                <w:lang w:val="en-US" w:eastAsia="zh-CN"/>
              </w:rPr>
              <w:t>副主任技师</w:t>
            </w:r>
          </w:p>
        </w:tc>
        <w:tc>
          <w:tcPr>
            <w:tcW w:w="1080" w:type="dxa"/>
            <w:gridSpan w:val="4"/>
          </w:tcPr>
          <w:p w14:paraId="36FB94BB">
            <w:pPr>
              <w:rPr>
                <w:rFonts w:hint="eastAsia" w:eastAsia="宋体"/>
                <w:lang w:val="en-US" w:eastAsia="zh-CN"/>
              </w:rPr>
            </w:pPr>
            <w:r>
              <w:rPr>
                <w:rFonts w:hint="eastAsia"/>
                <w:lang w:val="en-US" w:eastAsia="zh-CN"/>
              </w:rPr>
              <w:t>医学检验</w:t>
            </w:r>
          </w:p>
        </w:tc>
        <w:tc>
          <w:tcPr>
            <w:tcW w:w="1634" w:type="dxa"/>
            <w:gridSpan w:val="4"/>
          </w:tcPr>
          <w:p w14:paraId="5885BD0C">
            <w:pPr>
              <w:rPr>
                <w:rFonts w:hint="eastAsia" w:eastAsia="宋体"/>
                <w:lang w:val="en-US" w:eastAsia="zh-CN"/>
              </w:rPr>
            </w:pPr>
            <w:r>
              <w:rPr>
                <w:rFonts w:hint="eastAsia"/>
                <w:lang w:val="en-US" w:eastAsia="zh-CN"/>
              </w:rPr>
              <w:t>九江市第三人民医院</w:t>
            </w:r>
          </w:p>
        </w:tc>
        <w:tc>
          <w:tcPr>
            <w:tcW w:w="1023" w:type="dxa"/>
          </w:tcPr>
          <w:p w14:paraId="7A6A5CF8">
            <w:r>
              <w:rPr>
                <w:rFonts w:hint="eastAsia"/>
                <w:lang w:val="en-US" w:eastAsia="zh-CN"/>
              </w:rPr>
              <w:t>样本处理、IL-6/hs-CRP检测与质控</w:t>
            </w:r>
          </w:p>
        </w:tc>
        <w:tc>
          <w:tcPr>
            <w:tcW w:w="800" w:type="dxa"/>
          </w:tcPr>
          <w:p w14:paraId="28369D58"/>
        </w:tc>
      </w:tr>
      <w:tr w14:paraId="4D111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2" w:hRule="atLeast"/>
        </w:trPr>
        <w:tc>
          <w:tcPr>
            <w:tcW w:w="827" w:type="dxa"/>
            <w:vMerge w:val="continue"/>
            <w:vAlign w:val="center"/>
          </w:tcPr>
          <w:p w14:paraId="77E7A00C"/>
        </w:tc>
        <w:tc>
          <w:tcPr>
            <w:tcW w:w="1569" w:type="dxa"/>
            <w:gridSpan w:val="3"/>
          </w:tcPr>
          <w:p w14:paraId="6C69C592">
            <w:pPr>
              <w:jc w:val="center"/>
            </w:pPr>
            <w:r>
              <w:rPr>
                <w:rFonts w:hint="eastAsia"/>
              </w:rPr>
              <w:t>总人数</w:t>
            </w:r>
          </w:p>
        </w:tc>
        <w:tc>
          <w:tcPr>
            <w:tcW w:w="844" w:type="dxa"/>
            <w:gridSpan w:val="2"/>
          </w:tcPr>
          <w:p w14:paraId="08501452">
            <w:pPr>
              <w:jc w:val="center"/>
            </w:pPr>
            <w:r>
              <w:rPr>
                <w:rFonts w:hint="eastAsia"/>
              </w:rPr>
              <w:t>高级</w:t>
            </w:r>
          </w:p>
        </w:tc>
        <w:tc>
          <w:tcPr>
            <w:tcW w:w="900" w:type="dxa"/>
            <w:gridSpan w:val="3"/>
          </w:tcPr>
          <w:p w14:paraId="7955EAC3">
            <w:pPr>
              <w:jc w:val="center"/>
            </w:pPr>
            <w:r>
              <w:rPr>
                <w:rFonts w:hint="eastAsia"/>
              </w:rPr>
              <w:t>中级</w:t>
            </w:r>
          </w:p>
        </w:tc>
        <w:tc>
          <w:tcPr>
            <w:tcW w:w="900" w:type="dxa"/>
            <w:gridSpan w:val="3"/>
          </w:tcPr>
          <w:p w14:paraId="5D9A01CB">
            <w:pPr>
              <w:jc w:val="center"/>
            </w:pPr>
            <w:r>
              <w:rPr>
                <w:rFonts w:hint="eastAsia"/>
              </w:rPr>
              <w:t>初级</w:t>
            </w:r>
          </w:p>
        </w:tc>
        <w:tc>
          <w:tcPr>
            <w:tcW w:w="1080" w:type="dxa"/>
            <w:gridSpan w:val="4"/>
          </w:tcPr>
          <w:p w14:paraId="3EE9D275">
            <w:pPr>
              <w:jc w:val="center"/>
            </w:pPr>
            <w:r>
              <w:rPr>
                <w:rFonts w:hint="eastAsia"/>
              </w:rPr>
              <w:t>辅助人员</w:t>
            </w:r>
          </w:p>
        </w:tc>
        <w:tc>
          <w:tcPr>
            <w:tcW w:w="1274" w:type="dxa"/>
            <w:gridSpan w:val="3"/>
          </w:tcPr>
          <w:p w14:paraId="05F506AA">
            <w:pPr>
              <w:jc w:val="center"/>
            </w:pPr>
            <w:r>
              <w:rPr>
                <w:rFonts w:hint="eastAsia"/>
              </w:rPr>
              <w:t>研究生</w:t>
            </w:r>
          </w:p>
        </w:tc>
        <w:tc>
          <w:tcPr>
            <w:tcW w:w="2183" w:type="dxa"/>
            <w:gridSpan w:val="3"/>
          </w:tcPr>
          <w:p w14:paraId="3C859A42">
            <w:pPr>
              <w:jc w:val="center"/>
            </w:pPr>
            <w:r>
              <w:rPr>
                <w:rFonts w:hint="eastAsia"/>
              </w:rPr>
              <w:t>合作或协作单位数</w:t>
            </w:r>
          </w:p>
        </w:tc>
      </w:tr>
      <w:tr w14:paraId="03A51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827" w:type="dxa"/>
            <w:vMerge w:val="continue"/>
            <w:vAlign w:val="center"/>
          </w:tcPr>
          <w:p w14:paraId="431AB062"/>
        </w:tc>
        <w:tc>
          <w:tcPr>
            <w:tcW w:w="1569" w:type="dxa"/>
            <w:gridSpan w:val="3"/>
          </w:tcPr>
          <w:p w14:paraId="2764BDF5">
            <w:pPr>
              <w:jc w:val="center"/>
              <w:rPr>
                <w:rFonts w:hint="eastAsia" w:eastAsia="宋体"/>
                <w:lang w:val="en-US" w:eastAsia="zh-CN"/>
              </w:rPr>
            </w:pPr>
            <w:r>
              <w:rPr>
                <w:rFonts w:hint="eastAsia"/>
                <w:lang w:val="en-US" w:eastAsia="zh-CN"/>
              </w:rPr>
              <w:t>7</w:t>
            </w:r>
          </w:p>
        </w:tc>
        <w:tc>
          <w:tcPr>
            <w:tcW w:w="844" w:type="dxa"/>
            <w:gridSpan w:val="2"/>
          </w:tcPr>
          <w:p w14:paraId="141F827F">
            <w:pPr>
              <w:jc w:val="center"/>
              <w:rPr>
                <w:rFonts w:hint="eastAsia" w:eastAsia="宋体"/>
                <w:lang w:val="en-US" w:eastAsia="zh-CN"/>
              </w:rPr>
            </w:pPr>
            <w:r>
              <w:rPr>
                <w:rFonts w:hint="eastAsia"/>
                <w:lang w:val="en-US" w:eastAsia="zh-CN"/>
              </w:rPr>
              <w:t>4</w:t>
            </w:r>
          </w:p>
        </w:tc>
        <w:tc>
          <w:tcPr>
            <w:tcW w:w="900" w:type="dxa"/>
            <w:gridSpan w:val="3"/>
          </w:tcPr>
          <w:p w14:paraId="1250BD07">
            <w:pPr>
              <w:jc w:val="center"/>
              <w:rPr>
                <w:rFonts w:hint="eastAsia" w:eastAsia="宋体"/>
                <w:lang w:val="en-US" w:eastAsia="zh-CN"/>
              </w:rPr>
            </w:pPr>
            <w:r>
              <w:rPr>
                <w:rFonts w:hint="eastAsia"/>
                <w:lang w:val="en-US" w:eastAsia="zh-CN"/>
              </w:rPr>
              <w:t>3</w:t>
            </w:r>
          </w:p>
        </w:tc>
        <w:tc>
          <w:tcPr>
            <w:tcW w:w="900" w:type="dxa"/>
            <w:gridSpan w:val="3"/>
          </w:tcPr>
          <w:p w14:paraId="79C2D0AC">
            <w:pPr>
              <w:jc w:val="center"/>
              <w:rPr>
                <w:rFonts w:hint="default" w:eastAsia="宋体"/>
                <w:lang w:val="en-US" w:eastAsia="zh-CN"/>
              </w:rPr>
            </w:pPr>
            <w:r>
              <w:rPr>
                <w:rFonts w:hint="eastAsia"/>
                <w:lang w:val="en-US" w:eastAsia="zh-CN"/>
              </w:rPr>
              <w:t>0</w:t>
            </w:r>
          </w:p>
        </w:tc>
        <w:tc>
          <w:tcPr>
            <w:tcW w:w="1080" w:type="dxa"/>
            <w:gridSpan w:val="4"/>
          </w:tcPr>
          <w:p w14:paraId="37555AB9">
            <w:pPr>
              <w:jc w:val="center"/>
              <w:rPr>
                <w:rFonts w:hint="eastAsia" w:eastAsia="宋体"/>
                <w:lang w:val="en-US" w:eastAsia="zh-CN"/>
              </w:rPr>
            </w:pPr>
            <w:r>
              <w:rPr>
                <w:rFonts w:hint="eastAsia"/>
                <w:lang w:val="en-US" w:eastAsia="zh-CN"/>
              </w:rPr>
              <w:t>0</w:t>
            </w:r>
          </w:p>
        </w:tc>
        <w:tc>
          <w:tcPr>
            <w:tcW w:w="1274" w:type="dxa"/>
            <w:gridSpan w:val="3"/>
          </w:tcPr>
          <w:p w14:paraId="2EF6F804">
            <w:pPr>
              <w:jc w:val="center"/>
              <w:rPr>
                <w:rFonts w:hint="eastAsia" w:eastAsia="宋体"/>
                <w:lang w:val="en-US" w:eastAsia="zh-CN"/>
              </w:rPr>
            </w:pPr>
            <w:r>
              <w:rPr>
                <w:rFonts w:hint="eastAsia"/>
                <w:lang w:val="en-US" w:eastAsia="zh-CN"/>
              </w:rPr>
              <w:t>3</w:t>
            </w:r>
          </w:p>
        </w:tc>
        <w:tc>
          <w:tcPr>
            <w:tcW w:w="2183" w:type="dxa"/>
            <w:gridSpan w:val="3"/>
          </w:tcPr>
          <w:p w14:paraId="6AF370B4">
            <w:pPr>
              <w:jc w:val="center"/>
              <w:rPr>
                <w:rFonts w:hint="default" w:eastAsia="宋体"/>
                <w:lang w:val="en-US" w:eastAsia="zh-CN"/>
              </w:rPr>
            </w:pPr>
            <w:r>
              <w:rPr>
                <w:rFonts w:hint="eastAsia"/>
                <w:lang w:val="en-US" w:eastAsia="zh-CN"/>
              </w:rPr>
              <w:t>0</w:t>
            </w:r>
          </w:p>
        </w:tc>
      </w:tr>
    </w:tbl>
    <w:p w14:paraId="626DDFE0">
      <w:pPr>
        <w:jc w:val="center"/>
        <w:rPr>
          <w:b/>
          <w:spacing w:val="160"/>
          <w:sz w:val="32"/>
          <w:szCs w:val="32"/>
        </w:rPr>
      </w:pPr>
    </w:p>
    <w:p w14:paraId="0EFC9451">
      <w:pPr>
        <w:jc w:val="both"/>
        <w:rPr>
          <w:b/>
          <w:spacing w:val="160"/>
          <w:sz w:val="32"/>
          <w:szCs w:val="32"/>
        </w:rPr>
      </w:pPr>
    </w:p>
    <w:p w14:paraId="0876A995">
      <w:pPr>
        <w:jc w:val="both"/>
        <w:rPr>
          <w:b/>
          <w:spacing w:val="160"/>
          <w:szCs w:val="32"/>
        </w:rPr>
      </w:pPr>
    </w:p>
    <w:tbl>
      <w:tblPr>
        <w:tblStyle w:val="4"/>
        <w:tblW w:w="924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4"/>
      </w:tblGrid>
      <w:tr w14:paraId="290D2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2" w:hRule="atLeast"/>
        </w:trPr>
        <w:tc>
          <w:tcPr>
            <w:tcW w:w="9244" w:type="dxa"/>
          </w:tcPr>
          <w:p w14:paraId="2267C3B0">
            <w:pPr>
              <w:ind w:firstLine="562" w:firstLineChars="200"/>
            </w:pPr>
            <w:r>
              <w:rPr>
                <w:rFonts w:hint="eastAsia"/>
                <w:b/>
                <w:bCs/>
                <w:sz w:val="28"/>
              </w:rPr>
              <w:t>二、申报单位意见</w:t>
            </w:r>
            <w:r>
              <w:rPr>
                <w:rFonts w:hint="eastAsia"/>
              </w:rPr>
              <w:t>（对本课题的意义、实施方案可行性、负责人现承担的各类科技计划项目情况，负责人和主要研究人员的素质与水平以及本单位支持措施签署具体意见）</w:t>
            </w:r>
          </w:p>
          <w:p w14:paraId="6E76F53D">
            <w:pPr>
              <w:ind w:firstLine="420"/>
              <w:rPr>
                <w:rFonts w:hint="eastAsia"/>
              </w:rPr>
            </w:pPr>
          </w:p>
          <w:p w14:paraId="141F759E">
            <w:pPr>
              <w:rPr>
                <w:rFonts w:hint="eastAsia"/>
              </w:rPr>
            </w:pPr>
          </w:p>
          <w:p w14:paraId="54DB4856">
            <w:pPr>
              <w:spacing w:line="340" w:lineRule="exact"/>
              <w:ind w:firstLine="420" w:firstLineChars="200"/>
              <w:rPr>
                <w:rFonts w:hint="eastAsia"/>
                <w:lang w:val="zh-CN"/>
              </w:rPr>
            </w:pPr>
            <w:r>
              <w:rPr>
                <w:rFonts w:hint="eastAsia"/>
                <w:lang w:val="zh-CN"/>
              </w:rPr>
              <w:t>负责人黄华，主任医师，从事传染病及结核病临床工作20余年，主持省级科研项目5项，发表相关论文20余篇，具备较好的课题组织与实施经验。课题组由结核病临床医师和医学检验人员组成，能够完成病例筛选、样本采集、实验室检测、随访和数据整理等工作，具备开展本课题的专业基础。</w:t>
            </w:r>
          </w:p>
          <w:p w14:paraId="1F0FE8C5">
            <w:pPr>
              <w:spacing w:line="340" w:lineRule="exact"/>
              <w:ind w:firstLine="420" w:firstLineChars="200"/>
              <w:rPr>
                <w:rFonts w:hint="eastAsia"/>
              </w:rPr>
            </w:pPr>
          </w:p>
          <w:p w14:paraId="079C3FF6">
            <w:pPr>
              <w:ind w:firstLine="420"/>
              <w:rPr>
                <w:rFonts w:hint="eastAsia" w:eastAsia="宋体"/>
                <w:b/>
                <w:bCs/>
                <w:color w:val="000000" w:themeColor="text1"/>
                <w:sz w:val="28"/>
                <w:szCs w:val="28"/>
                <w:lang w:eastAsia="zh-CN"/>
                <w14:textFill>
                  <w14:solidFill>
                    <w14:schemeClr w14:val="tx1"/>
                  </w14:solidFill>
                </w14:textFill>
              </w:rPr>
            </w:pPr>
            <w:r>
              <w:rPr>
                <w:rFonts w:hint="eastAsia"/>
                <w:lang w:eastAsia="zh-CN"/>
              </w:rPr>
              <w:t>九江市第三人民医院为传染病专科三级甲等医院，是当地结核病诊疗中心，具备较稳定的结核病病例来源和血液透析相关诊疗基础，拥有化学发光仪、血球分析仪、高速离心机及胸部CT等必要设备，可为本研究提供临床病例、实验检测、伦理申报和数据管理支持。课题聚焦维持性血液透析合并活动性肺结核这一高风险特殊共病人群，具有明确临床意义和应用价值，实施方案总体可行。</w:t>
            </w:r>
          </w:p>
          <w:p w14:paraId="06FA2355">
            <w:pPr>
              <w:ind w:firstLine="420"/>
              <w:rPr>
                <w:rFonts w:hint="eastAsia"/>
                <w:b/>
                <w:bCs/>
                <w:color w:val="000000" w:themeColor="text1"/>
                <w:sz w:val="28"/>
                <w:szCs w:val="28"/>
                <w14:textFill>
                  <w14:solidFill>
                    <w14:schemeClr w14:val="tx1"/>
                  </w14:solidFill>
                </w14:textFill>
              </w:rPr>
            </w:pPr>
          </w:p>
          <w:p w14:paraId="2540C4C7">
            <w:pPr>
              <w:ind w:firstLine="560" w:firstLineChars="200"/>
              <w:rPr>
                <w:rFonts w:hint="eastAsia"/>
                <w:sz w:val="28"/>
                <w:szCs w:val="28"/>
              </w:rPr>
            </w:pPr>
          </w:p>
          <w:p w14:paraId="0DCAB873"/>
          <w:p w14:paraId="2FD9A810"/>
          <w:p w14:paraId="1B57D707"/>
          <w:p w14:paraId="6DF7B81E"/>
          <w:p w14:paraId="083F24C3"/>
          <w:p w14:paraId="1E2D7FCE"/>
          <w:p w14:paraId="15513C48"/>
          <w:p w14:paraId="1E25FFBD">
            <w:pPr>
              <w:jc w:val="right"/>
            </w:pPr>
          </w:p>
          <w:p w14:paraId="4FEEF105">
            <w:pPr>
              <w:jc w:val="right"/>
            </w:pPr>
          </w:p>
          <w:p w14:paraId="3F20FE56">
            <w:pPr>
              <w:jc w:val="right"/>
            </w:pPr>
          </w:p>
          <w:p w14:paraId="4EFC7EAB">
            <w:pPr>
              <w:jc w:val="right"/>
            </w:pPr>
          </w:p>
          <w:p w14:paraId="35C04891">
            <w:pPr>
              <w:jc w:val="right"/>
            </w:pPr>
            <w:r>
              <w:rPr>
                <w:rFonts w:hint="eastAsia"/>
              </w:rPr>
              <w:t>年　　月　　日（盖章）</w:t>
            </w:r>
          </w:p>
        </w:tc>
      </w:tr>
      <w:tr w14:paraId="42DDF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2" w:hRule="atLeast"/>
        </w:trPr>
        <w:tc>
          <w:tcPr>
            <w:tcW w:w="9244" w:type="dxa"/>
          </w:tcPr>
          <w:p w14:paraId="10EA9E23">
            <w:pPr>
              <w:rPr>
                <w:b/>
                <w:bCs/>
                <w:sz w:val="28"/>
              </w:rPr>
            </w:pPr>
            <w:r>
              <w:rPr>
                <w:rFonts w:hint="eastAsia"/>
                <w:b/>
                <w:bCs/>
                <w:sz w:val="28"/>
              </w:rPr>
              <w:t>　　三、江西省结核病重点实验室审核意见</w:t>
            </w:r>
          </w:p>
          <w:p w14:paraId="51806972"/>
          <w:p w14:paraId="49F48B6C"/>
          <w:p w14:paraId="4662EA93"/>
          <w:p w14:paraId="3896C27D"/>
          <w:p w14:paraId="58A3D192"/>
          <w:p w14:paraId="37645417"/>
          <w:p w14:paraId="22B7F201"/>
          <w:p w14:paraId="17968C68"/>
          <w:p w14:paraId="58F7807C"/>
          <w:p w14:paraId="23EF9BF5">
            <w:pPr>
              <w:jc w:val="right"/>
            </w:pPr>
          </w:p>
          <w:p w14:paraId="02049E15">
            <w:pPr>
              <w:jc w:val="right"/>
            </w:pPr>
          </w:p>
          <w:p w14:paraId="50B2747D">
            <w:pPr>
              <w:jc w:val="right"/>
            </w:pPr>
          </w:p>
          <w:p w14:paraId="68967A18">
            <w:pPr>
              <w:jc w:val="right"/>
            </w:pPr>
          </w:p>
          <w:p w14:paraId="22F9C0E3">
            <w:pPr>
              <w:jc w:val="right"/>
            </w:pPr>
          </w:p>
          <w:p w14:paraId="78C8BB61">
            <w:pPr>
              <w:jc w:val="right"/>
            </w:pPr>
          </w:p>
          <w:p w14:paraId="1BEDFB17">
            <w:pPr>
              <w:jc w:val="right"/>
            </w:pPr>
          </w:p>
          <w:p w14:paraId="59E38604">
            <w:pPr>
              <w:jc w:val="right"/>
            </w:pPr>
          </w:p>
          <w:p w14:paraId="6FA82FF4">
            <w:pPr>
              <w:jc w:val="right"/>
            </w:pPr>
          </w:p>
          <w:p w14:paraId="6FAA3F3E">
            <w:pPr>
              <w:jc w:val="right"/>
            </w:pPr>
          </w:p>
          <w:p w14:paraId="2A1E3107">
            <w:pPr>
              <w:jc w:val="right"/>
            </w:pPr>
            <w:r>
              <w:rPr>
                <w:rFonts w:hint="eastAsia"/>
              </w:rPr>
              <w:t>年　　月　　日（盖章）</w:t>
            </w:r>
          </w:p>
          <w:p w14:paraId="42AEAD73">
            <w:pPr>
              <w:jc w:val="right"/>
            </w:pPr>
          </w:p>
        </w:tc>
      </w:tr>
    </w:tbl>
    <w:p w14:paraId="39304200">
      <w:pPr>
        <w:jc w:val="center"/>
        <w:rPr>
          <w:b/>
          <w:spacing w:val="160"/>
          <w:szCs w:val="32"/>
        </w:rPr>
      </w:pPr>
      <w:r>
        <w:rPr>
          <w:b/>
          <w:spacing w:val="160"/>
          <w:sz w:val="32"/>
          <w:szCs w:val="32"/>
        </w:rPr>
        <w:br w:type="page"/>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4621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tcPr>
          <w:p w14:paraId="19AC42FC">
            <w:pPr>
              <w:numPr>
                <w:ilvl w:val="0"/>
                <w:numId w:val="0"/>
              </w:numPr>
              <w:ind w:left="491" w:leftChars="0" w:firstLine="0" w:firstLineChars="0"/>
            </w:pPr>
            <w:r>
              <w:rPr>
                <w:rFonts w:hint="eastAsia" w:ascii="宋体" w:hAnsi="宋体" w:eastAsia="宋体" w:cstheme="minorEastAsia"/>
                <w:b/>
                <w:bCs/>
                <w:kern w:val="2"/>
                <w:sz w:val="28"/>
                <w:szCs w:val="28"/>
                <w:lang w:val="en-US" w:eastAsia="zh-CN" w:bidi="ar-SA"/>
              </w:rPr>
              <w:t>四、</w:t>
            </w:r>
            <w:r>
              <w:rPr>
                <w:rFonts w:hint="eastAsia"/>
                <w:b/>
                <w:bCs/>
                <w:sz w:val="28"/>
              </w:rPr>
              <w:t>立题依据</w:t>
            </w:r>
            <w:r>
              <w:rPr>
                <w:rFonts w:hint="eastAsia"/>
              </w:rPr>
              <w:t>（包括科技意义和应用前景，国内外研究情况、水平和发展趋势，本课题的特色或创新之处。如系引进技术还需说明其来源并附有关技术资料）</w:t>
            </w:r>
          </w:p>
          <w:p w14:paraId="4188142A">
            <w:pPr>
              <w:ind w:left="491"/>
            </w:pPr>
            <w:r>
              <w:rPr>
                <w:rFonts w:hint="eastAsia"/>
              </w:rPr>
              <w:t xml:space="preserve"> </w:t>
            </w:r>
          </w:p>
          <w:p w14:paraId="0A23B446">
            <w:pPr>
              <w:numPr>
                <w:ilvl w:val="0"/>
                <w:numId w:val="0"/>
              </w:numPr>
              <w:ind w:left="491" w:leftChars="0" w:firstLine="0" w:firstLineChars="0"/>
              <w:rPr>
                <w:rFonts w:hint="eastAsia"/>
              </w:rPr>
            </w:pPr>
            <w:r>
              <w:rPr>
                <w:rFonts w:hint="eastAsia"/>
                <w:lang w:val="en-US" w:eastAsia="zh-CN"/>
              </w:rPr>
              <w:t>4.1</w:t>
            </w:r>
            <w:r>
              <w:rPr>
                <w:rFonts w:hint="eastAsia"/>
              </w:rPr>
              <w:t>科技意义和应用前景</w:t>
            </w:r>
            <w:r>
              <w:rPr>
                <w:rFonts w:hint="eastAsia"/>
                <w:lang w:val="en-US" w:eastAsia="zh-CN"/>
              </w:rPr>
              <w:t xml:space="preserve">   </w:t>
            </w:r>
          </w:p>
          <w:p w14:paraId="19DFE85F">
            <w:pPr>
              <w:numPr>
                <w:ilvl w:val="0"/>
                <w:numId w:val="0"/>
              </w:numPr>
              <w:ind w:left="491" w:leftChars="0" w:firstLine="0" w:firstLineChars="0"/>
              <w:rPr>
                <w:rFonts w:hint="default"/>
                <w:lang w:val="en-US" w:eastAsia="zh-CN"/>
              </w:rPr>
            </w:pPr>
            <w:r>
              <w:rPr>
                <w:rFonts w:hint="eastAsia"/>
                <w:lang w:val="en-US" w:eastAsia="zh-CN"/>
              </w:rPr>
              <w:t>4.1.1 维持性血液透析（MHD）患者属于结核病高风险人群，该类患者长期处于免疫功能紊乱、营养不良及慢性微炎症状态。一旦合并活动性肺结核，临床表现往往不典型，且透析基础炎症与结核活动相关炎症相互叠加，使病情识别、炎症负荷评估及疗效判断均更加困难。</w:t>
            </w:r>
          </w:p>
          <w:p w14:paraId="53E4713E">
            <w:pPr>
              <w:numPr>
                <w:ilvl w:val="0"/>
                <w:numId w:val="0"/>
              </w:numPr>
              <w:ind w:left="491" w:leftChars="0" w:firstLine="0" w:firstLineChars="0"/>
              <w:rPr>
                <w:rFonts w:hint="default"/>
                <w:lang w:val="en-US" w:eastAsia="zh-CN"/>
              </w:rPr>
            </w:pPr>
            <w:r>
              <w:rPr>
                <w:rFonts w:hint="eastAsia"/>
                <w:lang w:val="en-US" w:eastAsia="zh-CN"/>
              </w:rPr>
              <w:t>4.1.2 当前临床实践中，缺乏针对MHD合并肺结核患者的简便、可重复、可动态追踪的炎症评估工具。IL-6是炎症反应上游关键细胞因子，hs-CRP反映急性时相反应水平，二者联合检测有望更完整地反映该特殊人群的炎症级联变化，为治疗过程中的风险分层和预后提示提供依据。</w:t>
            </w:r>
          </w:p>
          <w:p w14:paraId="3593F4A1">
            <w:pPr>
              <w:numPr>
                <w:ilvl w:val="0"/>
                <w:numId w:val="0"/>
              </w:numPr>
              <w:ind w:left="491" w:leftChars="0" w:firstLine="0" w:firstLineChars="0"/>
              <w:rPr>
                <w:rFonts w:hint="default"/>
                <w:lang w:val="en-US" w:eastAsia="zh-CN"/>
              </w:rPr>
            </w:pPr>
            <w:r>
              <w:rPr>
                <w:rFonts w:hint="eastAsia"/>
                <w:lang w:val="en-US" w:eastAsia="zh-CN"/>
              </w:rPr>
              <w:t>4.1.3 本研究拟通过前瞻性动态监测IL-6与hs-CRP，探索其在区分透析基础微炎症与结核相关炎症负荷、提示治疗反应和不良结局风险中的应用价值，为后续扩大样本验证研究和临床精细化管理提供初步依据。</w:t>
            </w:r>
          </w:p>
          <w:p w14:paraId="56BEF6E0">
            <w:pPr>
              <w:numPr>
                <w:ilvl w:val="0"/>
                <w:numId w:val="0"/>
              </w:numPr>
              <w:ind w:left="491" w:leftChars="0" w:firstLine="0" w:firstLineChars="0"/>
              <w:rPr>
                <w:rFonts w:hint="eastAsia"/>
              </w:rPr>
            </w:pPr>
            <w:r>
              <w:rPr>
                <w:rFonts w:hint="eastAsia"/>
                <w:lang w:val="en-US" w:eastAsia="zh-CN"/>
              </w:rPr>
              <w:t>4.2</w:t>
            </w:r>
            <w:r>
              <w:rPr>
                <w:rFonts w:hint="eastAsia"/>
              </w:rPr>
              <w:t>国内外研究情况、水平和发展趋势</w:t>
            </w:r>
          </w:p>
          <w:p w14:paraId="1F511060">
            <w:pPr>
              <w:numPr>
                <w:ilvl w:val="0"/>
                <w:numId w:val="0"/>
              </w:numPr>
              <w:ind w:left="491" w:leftChars="0" w:firstLine="0" w:firstLineChars="0"/>
              <w:rPr>
                <w:rFonts w:hint="default"/>
                <w:lang w:val="en-US" w:eastAsia="zh-CN"/>
              </w:rPr>
            </w:pPr>
            <w:r>
              <w:rPr>
                <w:rFonts w:hint="eastAsia"/>
                <w:lang w:val="en-US" w:eastAsia="zh-CN"/>
              </w:rPr>
              <w:t>4.2.1 血液透析患者普遍存在微炎症状态，透析过程本身亦会影响炎症因子水平。近年来，国内研究和专家共识已逐步关注成人血液透析患者结核感染风险管理，但现有工作仍主要集中于筛查和诊断，对动态炎症监测与治疗过程风险分层的证据相对不足。</w:t>
            </w:r>
          </w:p>
          <w:p w14:paraId="4F7A479D">
            <w:pPr>
              <w:numPr>
                <w:ilvl w:val="0"/>
                <w:numId w:val="0"/>
              </w:numPr>
              <w:ind w:left="491" w:leftChars="0" w:firstLine="0" w:firstLineChars="0"/>
              <w:rPr>
                <w:rFonts w:hint="default"/>
                <w:lang w:val="en-US" w:eastAsia="zh-CN"/>
              </w:rPr>
            </w:pPr>
            <w:r>
              <w:rPr>
                <w:rFonts w:hint="eastAsia"/>
                <w:lang w:val="en-US" w:eastAsia="zh-CN"/>
              </w:rPr>
              <w:t>4.2.2 在透析及慢性肾病领域，IL-6和CRP与不良结局之间的关联已获得较多研究支持；在活动性肺结核领域，炎症指标对疾病活动度评估亦具有潜在价值。然而，针对“维持性血液透析合并活动性肺结核”这一特殊共病场景，仍缺乏以前瞻性动态监测为核心的系统研究。</w:t>
            </w:r>
          </w:p>
          <w:p w14:paraId="1462100C">
            <w:pPr>
              <w:numPr>
                <w:ilvl w:val="0"/>
                <w:numId w:val="0"/>
              </w:numPr>
              <w:ind w:left="491" w:leftChars="0" w:firstLine="0" w:firstLineChars="0"/>
              <w:rPr>
                <w:rFonts w:hint="default"/>
                <w:lang w:val="en-US" w:eastAsia="zh-CN"/>
              </w:rPr>
            </w:pPr>
            <w:r>
              <w:rPr>
                <w:rFonts w:hint="eastAsia"/>
                <w:lang w:val="en-US" w:eastAsia="zh-CN"/>
              </w:rPr>
              <w:t>4.2.3 当前相关研究的发展趋势，正从单次测量走向动态轨迹评估，从单指标判断走向联合指标分析，从一般人群外推走向高风险特殊人群精准分层。本课题顺应这一趋势，具有一定的新意和现实需求。</w:t>
            </w:r>
          </w:p>
          <w:p w14:paraId="2BACB217">
            <w:pPr>
              <w:numPr>
                <w:ilvl w:val="0"/>
                <w:numId w:val="0"/>
              </w:numPr>
              <w:ind w:left="491" w:leftChars="0" w:firstLine="0" w:firstLineChars="0"/>
              <w:rPr>
                <w:rFonts w:hint="default"/>
                <w:lang w:val="en-US" w:eastAsia="zh-CN"/>
              </w:rPr>
            </w:pPr>
            <w:r>
              <w:rPr>
                <w:rFonts w:hint="default"/>
                <w:lang w:val="en-US" w:eastAsia="zh-CN"/>
              </w:rPr>
              <w:t>在单纯结核病领域，国际研究证实活动性肺结核患者存在显著的炎症参数改变。也门一项针对活动性肺结核患者的研究发现，包括IL-6在内的多种炎症指标显著升高，提示其在判断疾病活动性中具有价值 </w:t>
            </w:r>
            <w:r>
              <w:rPr>
                <w:rFonts w:hint="default"/>
                <w:vertAlign w:val="superscript"/>
                <w:lang w:val="en-US" w:eastAsia="zh-CN"/>
              </w:rPr>
              <w:t>[</w:t>
            </w:r>
            <w:r>
              <w:rPr>
                <w:rFonts w:hint="eastAsia"/>
                <w:vertAlign w:val="superscript"/>
                <w:lang w:val="en-US" w:eastAsia="zh-CN"/>
              </w:rPr>
              <w:t>3</w:t>
            </w:r>
            <w:r>
              <w:rPr>
                <w:rFonts w:hint="default"/>
                <w:vertAlign w:val="superscript"/>
                <w:lang w:val="en-US" w:eastAsia="zh-CN"/>
              </w:rPr>
              <w:t>]</w:t>
            </w:r>
            <w:r>
              <w:rPr>
                <w:rFonts w:hint="default"/>
                <w:lang w:val="en-US" w:eastAsia="zh-CN"/>
              </w:rPr>
              <w:t>。在透析领域，炎症标志物的预后价值已获高级别证据支持。Chen等 [</w:t>
            </w:r>
            <w:r>
              <w:rPr>
                <w:rFonts w:hint="eastAsia"/>
                <w:lang w:val="en-US" w:eastAsia="zh-CN"/>
              </w:rPr>
              <w:t>6</w:t>
            </w:r>
            <w:r>
              <w:rPr>
                <w:rFonts w:hint="default"/>
                <w:lang w:val="en-US" w:eastAsia="zh-CN"/>
              </w:rPr>
              <w:t>] 的荟萃分析明确指出，血清IL-6水平可有效估算透析患者的心血管及全因死亡风险。Abdel-Rahman等</w:t>
            </w:r>
            <w:r>
              <w:rPr>
                <w:rFonts w:hint="default"/>
                <w:vertAlign w:val="superscript"/>
                <w:lang w:val="en-US" w:eastAsia="zh-CN"/>
              </w:rPr>
              <w:t xml:space="preserve"> [</w:t>
            </w:r>
            <w:r>
              <w:rPr>
                <w:rFonts w:hint="eastAsia"/>
                <w:vertAlign w:val="superscript"/>
                <w:lang w:val="en-US" w:eastAsia="zh-CN"/>
              </w:rPr>
              <w:t>5</w:t>
            </w:r>
            <w:r>
              <w:rPr>
                <w:rFonts w:hint="default"/>
                <w:vertAlign w:val="superscript"/>
                <w:lang w:val="en-US" w:eastAsia="zh-CN"/>
              </w:rPr>
              <w:t>]</w:t>
            </w:r>
            <w:r>
              <w:rPr>
                <w:rFonts w:hint="default"/>
                <w:lang w:val="en-US" w:eastAsia="zh-CN"/>
              </w:rPr>
              <w:t> 的最新系统综述与荟萃分析进一步强化了IL-6与CRP在CKD进展及不良结局预测中的核心作用，证实二者联合评估优于单一指标。卢春丽等</w:t>
            </w:r>
            <w:r>
              <w:rPr>
                <w:rFonts w:hint="default"/>
                <w:vertAlign w:val="superscript"/>
                <w:lang w:val="en-US" w:eastAsia="zh-CN"/>
              </w:rPr>
              <w:t xml:space="preserve"> [</w:t>
            </w:r>
            <w:r>
              <w:rPr>
                <w:rFonts w:hint="eastAsia"/>
                <w:vertAlign w:val="superscript"/>
                <w:lang w:val="en-US" w:eastAsia="zh-CN"/>
              </w:rPr>
              <w:t>9</w:t>
            </w:r>
            <w:r>
              <w:rPr>
                <w:rFonts w:hint="default"/>
                <w:vertAlign w:val="superscript"/>
                <w:lang w:val="en-US" w:eastAsia="zh-CN"/>
              </w:rPr>
              <w:t>]</w:t>
            </w:r>
            <w:r>
              <w:rPr>
                <w:rFonts w:hint="default"/>
                <w:lang w:val="en-US" w:eastAsia="zh-CN"/>
              </w:rPr>
              <w:t> 关于口服营养补充对MHD合并肺结核患者影响的研究，也印证了综合干预和整体评估的重要性</w:t>
            </w:r>
            <w:r>
              <w:rPr>
                <w:rFonts w:hint="eastAsia"/>
                <w:lang w:val="en-US" w:eastAsia="zh-CN"/>
              </w:rPr>
              <w:t>。</w:t>
            </w:r>
          </w:p>
          <w:p w14:paraId="245340EF">
            <w:pPr>
              <w:numPr>
                <w:ilvl w:val="0"/>
                <w:numId w:val="0"/>
              </w:numPr>
              <w:ind w:left="491" w:leftChars="0" w:firstLine="0" w:firstLineChars="0"/>
              <w:rPr>
                <w:rFonts w:hint="eastAsia"/>
              </w:rPr>
            </w:pPr>
            <w:r>
              <w:rPr>
                <w:rFonts w:hint="eastAsia"/>
                <w:lang w:val="en-US" w:eastAsia="zh-CN"/>
              </w:rPr>
              <w:t>4.3</w:t>
            </w:r>
            <w:r>
              <w:rPr>
                <w:rFonts w:hint="eastAsia"/>
              </w:rPr>
              <w:t>本课题的特色或创新之处</w:t>
            </w:r>
          </w:p>
          <w:p w14:paraId="6CDE30C3">
            <w:pPr>
              <w:numPr>
                <w:ilvl w:val="0"/>
                <w:numId w:val="0"/>
              </w:numPr>
              <w:ind w:left="491" w:leftChars="0" w:firstLine="0" w:firstLineChars="0"/>
              <w:rPr>
                <w:rFonts w:hint="default"/>
                <w:lang w:val="en-US" w:eastAsia="zh-CN"/>
              </w:rPr>
            </w:pPr>
            <w:r>
              <w:rPr>
                <w:rFonts w:hint="eastAsia"/>
                <w:lang w:val="en-US" w:eastAsia="zh-CN"/>
              </w:rPr>
              <w:t>4.3.1 聚焦特殊共病人群：针对“维持性血液透析+活动性肺结核”这一临床处理复杂、炎症背景混杂、预后较差的人群开展研究，具有较强的问题导向。</w:t>
            </w:r>
          </w:p>
          <w:p w14:paraId="2C29C2BD">
            <w:pPr>
              <w:numPr>
                <w:ilvl w:val="0"/>
                <w:numId w:val="0"/>
              </w:numPr>
              <w:ind w:left="491" w:leftChars="0" w:firstLine="0" w:firstLineChars="0"/>
              <w:rPr>
                <w:rFonts w:hint="eastAsia"/>
              </w:rPr>
            </w:pPr>
            <w:r>
              <w:rPr>
                <w:rFonts w:hint="eastAsia"/>
                <w:lang w:val="en-US" w:eastAsia="zh-CN"/>
              </w:rPr>
              <w:t>4.3.2 引入动态联合监测：不同于单次、单指标检测，本研究将在基线、治疗强化期结束时及治疗阶段性完成时进行联合检测，重点观察IL-6与hs-CRP的变化轨迹。</w:t>
            </w:r>
          </w:p>
          <w:p w14:paraId="0BE820F1">
            <w:pPr>
              <w:numPr>
                <w:ilvl w:val="0"/>
                <w:numId w:val="0"/>
              </w:numPr>
              <w:ind w:left="491" w:leftChars="0" w:firstLine="0" w:firstLineChars="0"/>
              <w:rPr>
                <w:rFonts w:hint="eastAsia"/>
                <w:lang w:val="en-US" w:eastAsia="zh-CN"/>
              </w:rPr>
            </w:pPr>
            <w:r>
              <w:rPr>
                <w:rFonts w:hint="eastAsia"/>
                <w:lang w:val="en-US" w:eastAsia="zh-CN"/>
              </w:rPr>
              <w:t>参考文献：</w:t>
            </w:r>
          </w:p>
          <w:p w14:paraId="3108641B">
            <w:pPr>
              <w:numPr>
                <w:ilvl w:val="0"/>
                <w:numId w:val="0"/>
              </w:numPr>
              <w:ind w:left="491" w:leftChars="0" w:firstLine="0" w:firstLineChars="0"/>
              <w:rPr>
                <w:rFonts w:hint="eastAsia"/>
                <w:lang w:val="en-US" w:eastAsia="zh-CN"/>
              </w:rPr>
            </w:pPr>
            <w:r>
              <w:rPr>
                <w:rFonts w:hint="default"/>
                <w:lang w:val="en-US" w:eastAsia="zh-CN"/>
              </w:rPr>
              <w:t>[1]</w:t>
            </w:r>
            <w:r>
              <w:rPr>
                <w:rFonts w:hint="eastAsia"/>
                <w:lang w:val="en-US" w:eastAsia="zh-CN"/>
              </w:rPr>
              <w:t>麻世靖,魏起超,吴文丽,等.血液透析联合血液灌流对慢性肾衰竭尿毒症患者微炎症状态及CVC发生的影响[J].医学临床研究,2025,42(11):1887-1890.</w:t>
            </w:r>
          </w:p>
          <w:p w14:paraId="3AB4C947">
            <w:pPr>
              <w:numPr>
                <w:ilvl w:val="0"/>
                <w:numId w:val="0"/>
              </w:numPr>
              <w:ind w:left="491" w:leftChars="0" w:firstLine="0" w:firstLineChars="0"/>
              <w:rPr>
                <w:rFonts w:hint="eastAsia"/>
                <w:lang w:val="en-US" w:eastAsia="zh-CN"/>
              </w:rPr>
            </w:pPr>
            <w:r>
              <w:rPr>
                <w:rFonts w:hint="eastAsia"/>
                <w:lang w:val="en-US" w:eastAsia="zh-CN"/>
              </w:rPr>
              <w:t>[2]沈鑫,丁小强.成人血液透析患者结核感染风险管理专家共识[J/OL].上海医学,1-20[2026-03-13].https://link.cnki.net/urlid/31.1366.R.20250213.1037.002.</w:t>
            </w:r>
          </w:p>
          <w:p w14:paraId="1363C604">
            <w:pPr>
              <w:numPr>
                <w:ilvl w:val="0"/>
                <w:numId w:val="0"/>
              </w:numPr>
              <w:ind w:left="491" w:leftChars="0" w:firstLine="0" w:firstLineChars="0"/>
              <w:rPr>
                <w:rFonts w:hint="eastAsia"/>
                <w:lang w:val="en-US" w:eastAsia="zh-CN"/>
              </w:rPr>
            </w:pPr>
            <w:r>
              <w:rPr>
                <w:rFonts w:hint="default"/>
                <w:lang w:val="en-US" w:eastAsia="zh-CN"/>
              </w:rPr>
              <w:t>[3]Al-Ofairi BA, Al-Jahrani MA, Esmail A, Abdulkareem AM, Saeed MK. Assessment of some hematological and inflammatory parameters among patients with active pulmonary tuberculosis in Ibb governorate, Yemen. BMC Infect Dis. 2025 Dec 12;26(1):473. doi: 10.1186/s12879-025-12261-y. PMID: 41388519; PMCID: PMC12951905.</w:t>
            </w:r>
          </w:p>
          <w:p w14:paraId="00B3125D">
            <w:pPr>
              <w:numPr>
                <w:ilvl w:val="0"/>
                <w:numId w:val="0"/>
              </w:numPr>
              <w:ind w:left="491" w:leftChars="0" w:firstLine="0" w:firstLineChars="0"/>
              <w:rPr>
                <w:rFonts w:hint="eastAsia"/>
              </w:rPr>
            </w:pPr>
            <w:r>
              <w:rPr>
                <w:rFonts w:hint="eastAsia"/>
                <w:lang w:val="en-US" w:eastAsia="zh-CN"/>
              </w:rPr>
              <w:t>[4]杨婷婷,李建锋.维持性血液透析患者肌少症患病情况及相关因素分析[J].延边大学医学学报，2025,48(02):92-95.DOI:10.16068/j.1000-1824.2025.02.025.）</w:t>
            </w:r>
          </w:p>
          <w:p w14:paraId="2AB35DC4">
            <w:pPr>
              <w:numPr>
                <w:ilvl w:val="0"/>
                <w:numId w:val="0"/>
              </w:numPr>
              <w:ind w:left="491" w:leftChars="0" w:firstLine="0" w:firstLineChars="0"/>
              <w:rPr>
                <w:rFonts w:hint="default"/>
              </w:rPr>
            </w:pPr>
            <w:r>
              <w:rPr>
                <w:rFonts w:hint="eastAsia"/>
                <w:lang w:val="en-US" w:eastAsia="zh-CN"/>
              </w:rPr>
              <w:t>[5]</w:t>
            </w:r>
            <w:r>
              <w:rPr>
                <w:rFonts w:hint="default"/>
              </w:rPr>
              <w:t>Abdel-Rahman SM, Ozbek L, Narin AE, Fidan DG, Yilmaz ZY, Orak HI, Guldan M, Kanbay M. Association between interleukin-6, C-reactive protein and chronic kidney disease outcomes: A systematic review and meta-analysis. Eur J Intern Med. 2026 Mar;145:106669. doi: 10.1016/j.ejim.2025.106669. Epub 2025 Dec 24. PMID: 41449012.</w:t>
            </w:r>
          </w:p>
          <w:p w14:paraId="5EC61FAA">
            <w:pPr>
              <w:numPr>
                <w:ilvl w:val="0"/>
                <w:numId w:val="0"/>
              </w:numPr>
              <w:ind w:left="491" w:leftChars="0" w:firstLine="0" w:firstLineChars="0"/>
              <w:rPr>
                <w:rFonts w:hint="default"/>
              </w:rPr>
            </w:pPr>
            <w:r>
              <w:rPr>
                <w:rFonts w:hint="default"/>
                <w:lang w:val="en-US" w:eastAsia="zh-CN"/>
              </w:rPr>
              <w:t>[6]</w:t>
            </w:r>
            <w:r>
              <w:rPr>
                <w:rFonts w:hint="default"/>
              </w:rPr>
              <w:t>Chen Z, Wang Y. Interleukin-6 levels can be used to estimate cardiovascular and all-cause mortality risk in dialysis patients: A meta-analysis and a systematic review. Immun Inflamm Dis. 2023 Apr;11(4):e818. doi:</w:t>
            </w:r>
          </w:p>
          <w:p w14:paraId="1903D98B">
            <w:pPr>
              <w:numPr>
                <w:ilvl w:val="0"/>
                <w:numId w:val="0"/>
              </w:numPr>
              <w:ind w:left="491" w:leftChars="0" w:firstLine="0" w:firstLineChars="0"/>
              <w:rPr>
                <w:rFonts w:hint="eastAsia"/>
              </w:rPr>
            </w:pPr>
            <w:r>
              <w:rPr>
                <w:rFonts w:hint="eastAsia"/>
                <w:lang w:val="en-US" w:eastAsia="zh-CN"/>
              </w:rPr>
              <w:t>[7]</w:t>
            </w:r>
            <w:r>
              <w:rPr>
                <w:rFonts w:hint="eastAsia"/>
              </w:rPr>
              <w:t>漆映辉,曲晓璐,唐咏华,等.黄芪注射液对血液透析过程中微炎症反应的影响分析[J].中国中西医结合肾病杂志,2013,14(01):54-55</w:t>
            </w:r>
          </w:p>
          <w:p w14:paraId="5C8C868A">
            <w:pPr>
              <w:numPr>
                <w:ilvl w:val="0"/>
                <w:numId w:val="0"/>
              </w:numPr>
              <w:ind w:left="491" w:leftChars="0" w:firstLine="0" w:firstLineChars="0"/>
              <w:rPr>
                <w:rFonts w:hint="eastAsia"/>
                <w:lang w:val="en-US" w:eastAsia="zh-CN"/>
              </w:rPr>
            </w:pPr>
            <w:r>
              <w:rPr>
                <w:rFonts w:hint="eastAsia"/>
                <w:lang w:val="en-US" w:eastAsia="zh-CN"/>
              </w:rPr>
              <w:t>[8]</w:t>
            </w:r>
            <w:r>
              <w:rPr>
                <w:rFonts w:hint="eastAsia"/>
              </w:rPr>
              <w:t>顾海霞,彭江丽,陈安欣,等.维持性血液透析合并初治结核患者临床特点及预后分析[J].昆明医科大学学报,2025,46(04):129-135</w:t>
            </w:r>
            <w:r>
              <w:rPr>
                <w:rFonts w:hint="eastAsia"/>
                <w:lang w:val="en-US" w:eastAsia="zh-CN"/>
              </w:rPr>
              <w:t>.</w:t>
            </w:r>
          </w:p>
          <w:p w14:paraId="1726CA2C">
            <w:pPr>
              <w:numPr>
                <w:ilvl w:val="0"/>
                <w:numId w:val="0"/>
              </w:numPr>
              <w:ind w:left="491" w:leftChars="0" w:firstLine="0" w:firstLineChars="0"/>
              <w:rPr>
                <w:rFonts w:hint="default" w:ascii="Arial" w:hAnsi="Arial" w:eastAsia="等线" w:cs="Arial"/>
                <w:sz w:val="22"/>
                <w:lang w:val="en-US" w:eastAsia="zh-CN"/>
              </w:rPr>
            </w:pPr>
            <w:r>
              <w:rPr>
                <w:rFonts w:hint="eastAsia"/>
                <w:lang w:val="en-US" w:eastAsia="zh-CN"/>
              </w:rPr>
              <w:t>[9]</w:t>
            </w:r>
            <w:r>
              <w:rPr>
                <w:rFonts w:hint="eastAsia"/>
              </w:rPr>
              <w:t>卢春丽,曾莉萌,黄子欣,等.口服营养补充对终末期肾病维持性血液透析合并肺结核病患者的营养状态和免疫功能的影响[J].广州医科大学学报,2026,54(01):1-8.</w:t>
            </w:r>
          </w:p>
        </w:tc>
      </w:tr>
    </w:tbl>
    <w:p w14:paraId="699D6DD9">
      <w:r>
        <w:br w:type="page"/>
      </w:r>
    </w:p>
    <w:tbl>
      <w:tblPr>
        <w:tblStyle w:val="4"/>
        <w:tblW w:w="9045" w:type="dxa"/>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5"/>
      </w:tblGrid>
      <w:tr w14:paraId="5C020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74" w:hRule="atLeast"/>
        </w:trPr>
        <w:tc>
          <w:tcPr>
            <w:tcW w:w="9045" w:type="dxa"/>
            <w:tcBorders>
              <w:top w:val="single" w:color="auto" w:sz="4" w:space="0"/>
              <w:left w:val="single" w:color="auto" w:sz="4" w:space="0"/>
              <w:bottom w:val="single" w:color="auto" w:sz="4" w:space="0"/>
              <w:right w:val="single" w:color="auto" w:sz="4" w:space="0"/>
            </w:tcBorders>
          </w:tcPr>
          <w:p w14:paraId="5F22B53E">
            <w:pPr>
              <w:numPr>
                <w:ilvl w:val="0"/>
                <w:numId w:val="0"/>
              </w:numPr>
              <w:ind w:left="491" w:leftChars="0" w:firstLine="0" w:firstLineChars="0"/>
              <w:rPr>
                <w:rFonts w:hint="eastAsia"/>
              </w:rPr>
            </w:pPr>
            <w:r>
              <w:rPr>
                <w:rFonts w:hint="eastAsia"/>
                <w:lang w:val="en-US" w:eastAsia="zh-CN"/>
              </w:rPr>
              <w:t>五、</w:t>
            </w:r>
            <w:r>
              <w:rPr>
                <w:rFonts w:hint="eastAsia"/>
              </w:rPr>
              <w:t>研究或引进技术内容和预期成果（说明具体研究或引进、推广的内容和重点解决的技术关键，预期结果和提供结果的形式。）</w:t>
            </w:r>
          </w:p>
          <w:p w14:paraId="669B9CEF">
            <w:pPr>
              <w:numPr>
                <w:ilvl w:val="0"/>
                <w:numId w:val="0"/>
              </w:numPr>
              <w:ind w:left="491" w:leftChars="0" w:firstLine="0" w:firstLineChars="0"/>
              <w:rPr>
                <w:rFonts w:hint="eastAsia"/>
              </w:rPr>
            </w:pPr>
            <w:r>
              <w:rPr>
                <w:rFonts w:hint="eastAsia"/>
                <w:lang w:val="en-US" w:eastAsia="zh-CN"/>
              </w:rPr>
              <w:t>5.1</w:t>
            </w:r>
            <w:r>
              <w:rPr>
                <w:rFonts w:hint="eastAsia"/>
              </w:rPr>
              <w:t>研究内容</w:t>
            </w:r>
          </w:p>
          <w:p w14:paraId="341965E3">
            <w:pPr>
              <w:numPr>
                <w:ilvl w:val="0"/>
                <w:numId w:val="0"/>
              </w:numPr>
              <w:ind w:left="491" w:leftChars="0" w:firstLine="0" w:firstLineChars="0"/>
              <w:rPr>
                <w:rFonts w:hint="eastAsia"/>
              </w:rPr>
            </w:pPr>
            <w:r>
              <w:rPr>
                <w:rFonts w:hint="eastAsia"/>
                <w:lang w:val="en-US" w:eastAsia="zh-CN"/>
              </w:rPr>
              <w:t>5.1.1 研究对象与分组：设置A组为维持性血液透析合并活动性肺结核组，B组为单纯维持性血液透析组，C组为单纯活动性肺结核组。首先比较三组基线IL-6及hs-CRP水平，识别共病状态下的炎症负荷特征。</w:t>
            </w:r>
          </w:p>
          <w:p w14:paraId="0D77E083">
            <w:pPr>
              <w:numPr>
                <w:ilvl w:val="0"/>
                <w:numId w:val="0"/>
              </w:numPr>
              <w:ind w:left="491" w:leftChars="0" w:firstLine="0" w:firstLineChars="0"/>
              <w:rPr>
                <w:rFonts w:hint="eastAsia"/>
              </w:rPr>
            </w:pPr>
            <w:r>
              <w:rPr>
                <w:rFonts w:hint="eastAsia"/>
                <w:lang w:val="en-US" w:eastAsia="zh-CN"/>
              </w:rPr>
              <w:t>5.1.2 动态监测内容：对A组和C组分别在基线、治疗强化期结束时和治疗阶段性完成时检测IL-6和hs-CRP；对B组在基线及随访阶段检测上述指标，用于观察透析背景炎症水平变化。正式实施时统一采样时间窗，并尽量固定检测流程。</w:t>
            </w:r>
          </w:p>
          <w:p w14:paraId="2E732918">
            <w:pPr>
              <w:numPr>
                <w:ilvl w:val="0"/>
                <w:numId w:val="0"/>
              </w:numPr>
              <w:ind w:left="491" w:leftChars="0" w:firstLine="0" w:firstLineChars="0"/>
              <w:rPr>
                <w:rFonts w:hint="eastAsia"/>
              </w:rPr>
            </w:pPr>
            <w:r>
              <w:rPr>
                <w:rFonts w:hint="eastAsia"/>
                <w:lang w:val="en-US" w:eastAsia="zh-CN"/>
              </w:rPr>
              <w:t>5.1.3 预后探索内容：前瞻性随访A组患者，记录死亡、治疗失败、严重不良反应导致方案中断或调整、结核复发等不良结局，探索基线指标及其动态变化与预后的关联。</w:t>
            </w:r>
          </w:p>
          <w:p w14:paraId="4EA49171">
            <w:pPr>
              <w:numPr>
                <w:ilvl w:val="0"/>
                <w:numId w:val="0"/>
              </w:numPr>
              <w:ind w:left="491" w:leftChars="0" w:firstLine="0" w:firstLineChars="0"/>
              <w:rPr>
                <w:rFonts w:hint="eastAsia"/>
              </w:rPr>
            </w:pPr>
            <w:r>
              <w:rPr>
                <w:rFonts w:hint="eastAsia"/>
                <w:lang w:val="en-US" w:eastAsia="zh-CN"/>
              </w:rPr>
              <w:t>5.2</w:t>
            </w:r>
            <w:r>
              <w:rPr>
                <w:rFonts w:hint="eastAsia"/>
              </w:rPr>
              <w:t>重点解决的技术关键</w:t>
            </w:r>
          </w:p>
          <w:p w14:paraId="43442419">
            <w:pPr>
              <w:numPr>
                <w:ilvl w:val="0"/>
                <w:numId w:val="0"/>
              </w:numPr>
              <w:ind w:left="491" w:leftChars="0" w:firstLine="0" w:firstLineChars="0"/>
              <w:rPr>
                <w:rFonts w:hint="eastAsia"/>
              </w:rPr>
            </w:pPr>
            <w:r>
              <w:rPr>
                <w:rFonts w:hint="eastAsia"/>
                <w:lang w:val="en-US" w:eastAsia="zh-CN"/>
              </w:rPr>
              <w:t>5.2.1 排除干扰因素：统一在透析前采血，记录采血时点、临床状态及合并事件，尽量减少透析过程、急性炎症及操作差异对结果的影响。</w:t>
            </w:r>
          </w:p>
          <w:p w14:paraId="27FD544E">
            <w:pPr>
              <w:numPr>
                <w:ilvl w:val="0"/>
                <w:numId w:val="0"/>
              </w:numPr>
              <w:ind w:left="491" w:leftChars="0" w:firstLine="0" w:firstLineChars="0"/>
              <w:rPr>
                <w:rFonts w:hint="eastAsia"/>
              </w:rPr>
            </w:pPr>
            <w:r>
              <w:rPr>
                <w:rFonts w:hint="eastAsia"/>
                <w:lang w:val="en-US" w:eastAsia="zh-CN"/>
              </w:rPr>
              <w:t>5.2.2 标准化动态监测：统一样本采集、处理、保存、检测及质控流程，保证不同时间点结果具有纵向可比性。</w:t>
            </w:r>
          </w:p>
          <w:p w14:paraId="684C52D2">
            <w:pPr>
              <w:numPr>
                <w:ilvl w:val="0"/>
                <w:numId w:val="0"/>
              </w:numPr>
              <w:ind w:left="491" w:leftChars="0" w:firstLine="0" w:firstLineChars="0"/>
              <w:rPr>
                <w:rFonts w:hint="eastAsia"/>
              </w:rPr>
            </w:pPr>
            <w:r>
              <w:rPr>
                <w:rFonts w:hint="eastAsia"/>
                <w:lang w:val="en-US" w:eastAsia="zh-CN"/>
              </w:rPr>
              <w:t>5.3</w:t>
            </w:r>
            <w:r>
              <w:rPr>
                <w:rFonts w:hint="eastAsia"/>
              </w:rPr>
              <w:t>预期成果及形式</w:t>
            </w:r>
          </w:p>
          <w:p w14:paraId="4D1CB65F">
            <w:pPr>
              <w:numPr>
                <w:ilvl w:val="0"/>
                <w:numId w:val="0"/>
              </w:numPr>
              <w:ind w:left="491" w:leftChars="0" w:firstLine="0" w:firstLineChars="0"/>
              <w:rPr>
                <w:rFonts w:hint="eastAsia"/>
              </w:rPr>
            </w:pPr>
            <w:r>
              <w:rPr>
                <w:rFonts w:hint="eastAsia"/>
                <w:lang w:val="en-US" w:eastAsia="zh-CN"/>
              </w:rPr>
              <w:t>5.3.1 形成血液透析合并肺结核患者IL-6与hs-CRP动态监测数据库和研究报告，阐明其在炎症负荷评估及不良结局风险提示中的初步价值。</w:t>
            </w:r>
          </w:p>
          <w:p w14:paraId="470B2D43">
            <w:pPr>
              <w:numPr>
                <w:ilvl w:val="0"/>
                <w:numId w:val="0"/>
              </w:numPr>
              <w:ind w:left="491" w:leftChars="0" w:firstLine="0" w:firstLineChars="0"/>
              <w:rPr>
                <w:rFonts w:hint="eastAsia"/>
                <w:lang w:eastAsia="zh-CN"/>
              </w:rPr>
            </w:pPr>
            <w:r>
              <w:rPr>
                <w:rFonts w:hint="eastAsia"/>
                <w:lang w:val="en-US" w:eastAsia="zh-CN"/>
              </w:rPr>
              <w:t>5.3.2 发表相关论文1篇，并为后续扩大样本验证研究提供设计依据。</w:t>
            </w:r>
          </w:p>
        </w:tc>
      </w:tr>
    </w:tbl>
    <w:p w14:paraId="1A3F5FC0"/>
    <w:tbl>
      <w:tblPr>
        <w:tblStyle w:val="4"/>
        <w:tblW w:w="9128" w:type="dxa"/>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8"/>
      </w:tblGrid>
      <w:tr w14:paraId="59891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80" w:hRule="atLeast"/>
        </w:trPr>
        <w:tc>
          <w:tcPr>
            <w:tcW w:w="9128" w:type="dxa"/>
            <w:tcBorders>
              <w:top w:val="single" w:color="auto" w:sz="4" w:space="0"/>
              <w:left w:val="single" w:color="auto" w:sz="4" w:space="0"/>
              <w:bottom w:val="single" w:color="auto" w:sz="4" w:space="0"/>
              <w:right w:val="single" w:color="auto" w:sz="4" w:space="0"/>
            </w:tcBorders>
          </w:tcPr>
          <w:p w14:paraId="1EAD393E">
            <w:pPr>
              <w:numPr>
                <w:ilvl w:val="0"/>
                <w:numId w:val="0"/>
              </w:numPr>
              <w:ind w:left="491" w:leftChars="0" w:firstLine="0" w:firstLineChars="0"/>
            </w:pPr>
            <w:r>
              <w:rPr>
                <w:rFonts w:hint="eastAsia" w:ascii="宋体" w:hAnsi="宋体" w:cstheme="minorEastAsia"/>
                <w:b/>
                <w:bCs/>
                <w:kern w:val="2"/>
                <w:sz w:val="28"/>
                <w:szCs w:val="28"/>
                <w:lang w:val="en-US" w:eastAsia="zh-CN" w:bidi="ar-SA"/>
              </w:rPr>
              <w:t>六</w:t>
            </w:r>
            <w:r>
              <w:rPr>
                <w:rFonts w:hint="eastAsia" w:ascii="宋体" w:hAnsi="宋体" w:eastAsia="宋体" w:cstheme="minorEastAsia"/>
                <w:b/>
                <w:bCs/>
                <w:kern w:val="2"/>
                <w:sz w:val="28"/>
                <w:szCs w:val="28"/>
                <w:lang w:val="en-US" w:eastAsia="zh-CN" w:bidi="ar-SA"/>
              </w:rPr>
              <w:t>、</w:t>
            </w:r>
            <w:r>
              <w:br w:type="page"/>
            </w:r>
            <w:r>
              <w:rPr>
                <w:rFonts w:hint="eastAsia"/>
                <w:b/>
                <w:bCs/>
                <w:sz w:val="28"/>
              </w:rPr>
              <w:t>研究、试验、技术方法和技术路线</w:t>
            </w:r>
            <w:r>
              <w:rPr>
                <w:rFonts w:hint="eastAsia"/>
              </w:rPr>
              <w:t xml:space="preserve">（包括工艺流程） </w:t>
            </w:r>
          </w:p>
          <w:p w14:paraId="1B76ACAB">
            <w:pPr>
              <w:numPr>
                <w:ilvl w:val="0"/>
                <w:numId w:val="0"/>
              </w:numPr>
              <w:ind w:left="491" w:leftChars="0" w:firstLine="0" w:firstLineChars="0"/>
              <w:rPr>
                <w:rFonts w:hint="eastAsia"/>
              </w:rPr>
            </w:pPr>
            <w:r>
              <w:rPr>
                <w:rFonts w:hint="eastAsia"/>
                <w:lang w:val="en-US" w:eastAsia="zh-CN"/>
              </w:rPr>
              <w:t>6.1</w:t>
            </w:r>
            <w:r>
              <w:rPr>
                <w:rFonts w:hint="eastAsia"/>
              </w:rPr>
              <w:t>研究方法</w:t>
            </w:r>
          </w:p>
          <w:p w14:paraId="5919AB8F">
            <w:pPr>
              <w:numPr>
                <w:ilvl w:val="0"/>
                <w:numId w:val="0"/>
              </w:numPr>
              <w:ind w:left="491" w:leftChars="0" w:firstLine="0" w:firstLineChars="0"/>
              <w:rPr>
                <w:rFonts w:hint="eastAsia"/>
              </w:rPr>
            </w:pPr>
            <w:r>
              <w:rPr>
                <w:rFonts w:hint="eastAsia"/>
                <w:lang w:val="en-US" w:eastAsia="zh-CN"/>
              </w:rPr>
              <w:t xml:space="preserve"> 6.1.1 研究对象选择：选取2026年4月至2027年6月在九江市第三人民医院血透室及结核科就诊、符合纳入标准且签署知情同意书的患者。</w:t>
            </w:r>
          </w:p>
          <w:p w14:paraId="34DB9980">
            <w:pPr>
              <w:numPr>
                <w:ilvl w:val="0"/>
                <w:numId w:val="0"/>
              </w:numPr>
              <w:ind w:left="491" w:leftChars="0" w:firstLine="0" w:firstLineChars="0"/>
              <w:rPr>
                <w:rFonts w:hint="eastAsia"/>
              </w:rPr>
            </w:pPr>
            <w:r>
              <w:rPr>
                <w:rFonts w:hint="eastAsia"/>
                <w:lang w:val="en-US" w:eastAsia="zh-CN"/>
              </w:rPr>
              <w:t xml:space="preserve"> 6.1.</w:t>
            </w:r>
            <w:r>
              <w:rPr>
                <w:rFonts w:hint="eastAsia"/>
              </w:rPr>
              <w:t>2. </w:t>
            </w:r>
            <w:r>
              <w:rPr>
                <w:rFonts w:hint="eastAsia"/>
                <w:lang w:val="en-US" w:eastAsia="zh-CN"/>
              </w:rPr>
              <w:t>纳排标准</w:t>
            </w:r>
            <w:r>
              <w:rPr>
                <w:rFonts w:hint="eastAsia"/>
              </w:rPr>
              <w:t>：</w:t>
            </w:r>
          </w:p>
          <w:p w14:paraId="484022EE">
            <w:pPr>
              <w:numPr>
                <w:ilvl w:val="0"/>
                <w:numId w:val="0"/>
              </w:numPr>
              <w:ind w:left="491" w:leftChars="0" w:firstLine="0" w:firstLineChars="0"/>
              <w:rPr>
                <w:rFonts w:hint="default"/>
                <w:lang w:val="en-US" w:eastAsia="zh-CN"/>
              </w:rPr>
            </w:pPr>
            <w:r>
              <w:rPr>
                <w:rFonts w:hint="eastAsia"/>
                <w:lang w:val="en-US" w:eastAsia="zh-CN"/>
              </w:rPr>
              <w:t>纳入标准：</w:t>
            </w:r>
          </w:p>
          <w:p w14:paraId="78EBC0C8">
            <w:pPr>
              <w:numPr>
                <w:ilvl w:val="0"/>
                <w:numId w:val="0"/>
              </w:numPr>
              <w:ind w:left="491" w:leftChars="0" w:firstLine="0" w:firstLineChars="0"/>
              <w:rPr>
                <w:rFonts w:hint="eastAsia" w:eastAsia="宋体"/>
                <w:lang w:eastAsia="zh-CN"/>
              </w:rPr>
            </w:pPr>
            <w:r>
              <w:rPr>
                <w:rFonts w:hint="eastAsia"/>
                <w:lang w:val="en-US" w:eastAsia="zh-CN"/>
              </w:rPr>
              <w:t xml:space="preserve">  </w:t>
            </w:r>
            <w:r>
              <w:rPr>
                <w:rFonts w:hint="eastAsia"/>
                <w:lang w:eastAsia="zh-CN"/>
              </w:rPr>
              <w:t>A组：年龄18-80岁；维持性血液透析至少3个月；符合活动性肺结核诊断标准（微生物学确诊或临床诊断并已启动抗结核治疗）；能够接受随访。</w:t>
            </w:r>
          </w:p>
          <w:p w14:paraId="2E8E7F02">
            <w:pPr>
              <w:numPr>
                <w:ilvl w:val="0"/>
                <w:numId w:val="0"/>
              </w:numPr>
              <w:ind w:left="491" w:leftChars="0" w:firstLine="0" w:firstLineChars="0"/>
              <w:rPr>
                <w:rFonts w:hint="eastAsia" w:eastAsia="宋体"/>
                <w:lang w:eastAsia="zh-CN"/>
              </w:rPr>
            </w:pPr>
            <w:r>
              <w:rPr>
                <w:rFonts w:hint="eastAsia"/>
                <w:lang w:val="en-US" w:eastAsia="zh-CN"/>
              </w:rPr>
              <w:t xml:space="preserve"> </w:t>
            </w:r>
            <w:r>
              <w:rPr>
                <w:rFonts w:hint="eastAsia"/>
                <w:lang w:eastAsia="zh-CN"/>
              </w:rPr>
              <w:t>B组：年龄18-80岁；维持性血液透析至少3个月；无活动性结核证据；与A组在年龄、性别及透析龄方面尽量保持可比。</w:t>
            </w:r>
          </w:p>
          <w:p w14:paraId="3EAF4340">
            <w:pPr>
              <w:numPr>
                <w:ilvl w:val="0"/>
                <w:numId w:val="0"/>
              </w:numPr>
              <w:ind w:left="491" w:leftChars="0" w:firstLine="0" w:firstLineChars="0"/>
              <w:rPr>
                <w:rFonts w:hint="eastAsia" w:eastAsia="宋体"/>
                <w:lang w:eastAsia="zh-CN"/>
              </w:rPr>
            </w:pPr>
            <w:r>
              <w:rPr>
                <w:rFonts w:hint="eastAsia"/>
              </w:rPr>
              <w:t xml:space="preserve"> </w:t>
            </w:r>
            <w:r>
              <w:rPr>
                <w:rFonts w:hint="eastAsia"/>
                <w:lang w:eastAsia="zh-CN"/>
              </w:rPr>
              <w:t>C组：年龄18-80岁；新诊断活动性肺结核；无维持性血液透析治疗史；与A组在年龄、性别方面尽量保持可比。</w:t>
            </w:r>
          </w:p>
          <w:p w14:paraId="3D9EB060">
            <w:pPr>
              <w:numPr>
                <w:ilvl w:val="0"/>
                <w:numId w:val="0"/>
              </w:numPr>
              <w:ind w:left="491" w:leftChars="0" w:firstLine="0" w:firstLineChars="0"/>
              <w:rPr>
                <w:rFonts w:hint="eastAsia"/>
              </w:rPr>
            </w:pPr>
            <w:r>
              <w:rPr>
                <w:rFonts w:hint="eastAsia"/>
                <w:lang w:val="en-US" w:eastAsia="zh-CN"/>
              </w:rPr>
              <w:t>三组患者均需签署知情同意书。活动性肺结核最终诊断流程和匹配策略在正式实施前由课题组进一步统一。[需PI确认]</w:t>
            </w:r>
          </w:p>
          <w:p w14:paraId="6AC4A945">
            <w:pPr>
              <w:numPr>
                <w:ilvl w:val="0"/>
                <w:numId w:val="0"/>
              </w:numPr>
              <w:ind w:left="491" w:leftChars="0" w:firstLine="0" w:firstLineChars="0"/>
              <w:rPr>
                <w:rFonts w:hint="eastAsia" w:eastAsia="宋体"/>
                <w:lang w:eastAsia="zh-CN"/>
              </w:rPr>
            </w:pPr>
            <w:r>
              <w:rPr>
                <w:rFonts w:hint="eastAsia"/>
                <w:lang w:eastAsia="zh-CN"/>
              </w:rPr>
              <w:t>排除标准：合并其他明确活动性感染、自身免疫性疾病活动期或免疫抑制治疗、活动期恶性肿瘤、近1个月重大手术或急性心脑血管事件，以及研究者判断无法完成随访者。</w:t>
            </w:r>
          </w:p>
          <w:p w14:paraId="64D84B1D">
            <w:pPr>
              <w:numPr>
                <w:ilvl w:val="0"/>
                <w:numId w:val="0"/>
              </w:numPr>
              <w:ind w:left="491" w:leftChars="0" w:firstLine="0" w:firstLineChars="0"/>
              <w:rPr>
                <w:rFonts w:hint="eastAsia"/>
              </w:rPr>
            </w:pPr>
            <w:r>
              <w:rPr>
                <w:rFonts w:hint="eastAsia"/>
                <w:lang w:val="en-US" w:eastAsia="zh-CN"/>
              </w:rPr>
              <w:t xml:space="preserve"> 6.1.3 检测方法：采用化学发光法检测血清IL-6水平，采用免疫比浊法检测hs-CRP，同时记录血常规、白蛋白及必要的结核病相关临床资料。</w:t>
            </w:r>
          </w:p>
          <w:p w14:paraId="018E39EA">
            <w:pPr>
              <w:numPr>
                <w:ilvl w:val="0"/>
                <w:numId w:val="0"/>
              </w:numPr>
              <w:ind w:left="491" w:leftChars="0" w:firstLine="0" w:firstLineChars="0"/>
              <w:rPr>
                <w:rFonts w:hint="eastAsia" w:eastAsia="宋体"/>
                <w:lang w:eastAsia="zh-CN"/>
              </w:rPr>
            </w:pPr>
            <w:r>
              <w:rPr>
                <w:rFonts w:hint="eastAsia"/>
                <w:lang w:eastAsia="zh-CN"/>
              </w:rPr>
              <w:t>样本采集原则上统一在透析前进行，并记录采样日期、距离上次透析时间、是否存在发热或其他急性事件。非透析患者尽量在固定时间段采样，以减少检测波动。</w:t>
            </w:r>
          </w:p>
          <w:p w14:paraId="374D51BE">
            <w:pPr>
              <w:numPr>
                <w:ilvl w:val="0"/>
                <w:numId w:val="0"/>
              </w:numPr>
              <w:ind w:left="491" w:leftChars="0" w:firstLine="0" w:firstLineChars="0"/>
              <w:rPr>
                <w:rFonts w:hint="eastAsia"/>
                <w:lang w:val="en-US" w:eastAsia="zh-CN"/>
              </w:rPr>
            </w:pPr>
            <w:r>
              <w:rPr>
                <w:rFonts w:hint="eastAsia"/>
                <w:lang w:val="en-US" w:eastAsia="zh-CN"/>
              </w:rPr>
              <w:t>6.1.4.分组对照：</w:t>
            </w:r>
          </w:p>
          <w:p w14:paraId="50F89BBA">
            <w:pPr>
              <w:numPr>
                <w:ilvl w:val="0"/>
                <w:numId w:val="0"/>
              </w:numPr>
              <w:ind w:left="491" w:leftChars="0" w:firstLine="0" w:firstLineChars="0"/>
              <w:rPr>
                <w:rFonts w:hint="default" w:eastAsia="宋体"/>
                <w:lang w:val="en-US" w:eastAsia="zh-CN"/>
              </w:rPr>
            </w:pPr>
            <w:r>
              <w:rPr>
                <w:rFonts w:hint="eastAsia"/>
                <w:lang w:val="en-US" w:eastAsia="zh-CN"/>
              </w:rPr>
              <w:t>本研究拟纳入共病组（MHD+TB）60例、单纯MHD组60例、单纯TB组60例。鉴于目前尚未形成完整样本量计算依据，本课题定位为探索性研究，上述例数主要用于可行性评估和初步关联分析。[需统计师确认]</w:t>
            </w:r>
          </w:p>
          <w:p w14:paraId="7266A8E3">
            <w:pPr>
              <w:numPr>
                <w:ilvl w:val="0"/>
                <w:numId w:val="0"/>
              </w:numPr>
              <w:ind w:left="491" w:leftChars="0" w:firstLine="0" w:firstLineChars="0"/>
              <w:rPr>
                <w:rFonts w:hint="eastAsia"/>
                <w:lang w:val="en-US" w:eastAsia="zh-CN"/>
              </w:rPr>
            </w:pPr>
            <w:r>
              <w:rPr>
                <w:rFonts w:hint="eastAsia"/>
                <w:lang w:val="en-US" w:eastAsia="zh-CN"/>
              </w:rPr>
              <w:t>6.1.5质量控制:</w:t>
            </w:r>
          </w:p>
          <w:p w14:paraId="7F3320BC">
            <w:pPr>
              <w:numPr>
                <w:ilvl w:val="0"/>
                <w:numId w:val="0"/>
              </w:numPr>
              <w:ind w:left="491" w:leftChars="0" w:firstLine="0" w:firstLineChars="0"/>
              <w:rPr>
                <w:rFonts w:hint="default"/>
                <w:lang w:val="en-US" w:eastAsia="zh-CN"/>
              </w:rPr>
            </w:pPr>
            <w:bookmarkStart w:id="0" w:name="_GoBack"/>
            <w:bookmarkEnd w:id="0"/>
            <w:r>
              <w:rPr>
                <w:rFonts w:hint="eastAsia"/>
                <w:lang w:val="en-US" w:eastAsia="zh-CN"/>
              </w:rPr>
              <w:t>质量控制参照结核病实验室相关技术标准和本院检验质控要求执行，并建立病例报告表、关键变量核对、实验室批次记录和结局事件核实流程。</w:t>
            </w:r>
          </w:p>
          <w:p w14:paraId="69B08699">
            <w:pPr>
              <w:numPr>
                <w:ilvl w:val="0"/>
                <w:numId w:val="0"/>
              </w:numPr>
              <w:ind w:left="491" w:leftChars="0" w:firstLine="0" w:firstLineChars="0"/>
              <w:rPr>
                <w:rFonts w:hint="eastAsia"/>
              </w:rPr>
            </w:pPr>
            <w:r>
              <w:rPr>
                <w:rFonts w:hint="eastAsia"/>
                <w:lang w:val="en-US" w:eastAsia="zh-CN"/>
              </w:rPr>
              <w:t>6.1.6 统计学分析：采用SPSS 26.0或其他适宜软件进行分析。三组基线比较根据资料类型选择合适统计方法；纵向数据可采用重复测量分析或混合效应模型；A组预后探索可采用Logistic回归、Cox回归及ROC曲线等方法。所有结果以探索性解释为主。[需统计师确认]</w:t>
            </w:r>
          </w:p>
          <w:p w14:paraId="73A29D41">
            <w:pPr>
              <w:numPr>
                <w:ilvl w:val="0"/>
                <w:numId w:val="0"/>
              </w:numPr>
              <w:ind w:left="491" w:leftChars="0" w:firstLine="0" w:firstLineChars="0"/>
              <w:rPr>
                <w:rFonts w:hint="eastAsia"/>
              </w:rPr>
            </w:pPr>
            <w:r>
              <w:rPr>
                <w:rFonts w:hint="eastAsia"/>
                <w:lang w:val="en-US" w:eastAsia="zh-CN"/>
              </w:rPr>
              <w:t>6.2</w:t>
            </w:r>
            <w:r>
              <w:rPr>
                <w:rFonts w:hint="eastAsia"/>
              </w:rPr>
              <w:t>技术路线</w:t>
            </w:r>
          </w:p>
          <w:p w14:paraId="75FE505A">
            <w:pPr>
              <w:numPr>
                <w:ilvl w:val="0"/>
                <w:numId w:val="0"/>
              </w:numPr>
              <w:ind w:left="491" w:leftChars="0" w:firstLine="0" w:firstLineChars="0"/>
              <w:rPr>
                <w:rFonts w:hint="eastAsia"/>
              </w:rPr>
            </w:pPr>
            <w:r>
              <w:rPr>
                <w:rFonts w:hint="eastAsia"/>
                <w:lang w:val="en-US" w:eastAsia="zh-CN"/>
              </w:rPr>
              <w:t>6.2.1 筛选入组：严格按纳入和排除标准筛选研究对象，完成知情同意。</w:t>
            </w:r>
          </w:p>
          <w:p w14:paraId="0F46F43C">
            <w:pPr>
              <w:numPr>
                <w:ilvl w:val="0"/>
                <w:numId w:val="0"/>
              </w:numPr>
              <w:ind w:left="491" w:leftChars="0" w:firstLine="0" w:firstLineChars="0"/>
              <w:rPr>
                <w:rFonts w:hint="eastAsia"/>
              </w:rPr>
            </w:pPr>
            <w:r>
              <w:rPr>
                <w:rFonts w:hint="eastAsia"/>
                <w:lang w:val="en-US" w:eastAsia="zh-CN"/>
              </w:rPr>
              <w:t>6.2.2 基线数据采集：入组时采集血样检测IL-6和hs-CRP，并记录人口学资料、透析相关资料、结核病诊断资料及基础实验室指标。</w:t>
            </w:r>
          </w:p>
          <w:p w14:paraId="450637EF">
            <w:pPr>
              <w:numPr>
                <w:ilvl w:val="0"/>
                <w:numId w:val="0"/>
              </w:numPr>
              <w:ind w:left="491" w:leftChars="0" w:firstLine="0" w:firstLineChars="0"/>
              <w:rPr>
                <w:rFonts w:hint="eastAsia"/>
              </w:rPr>
            </w:pPr>
            <w:r>
              <w:rPr>
                <w:rFonts w:hint="eastAsia"/>
                <w:lang w:val="en-US" w:eastAsia="zh-CN"/>
              </w:rPr>
              <w:t>6.2.3 临床管理与随访：A组和C组按临床规范接受抗结核治疗，A组同时接受常规透析治疗；研究不额外改变标准诊疗路径。</w:t>
            </w:r>
          </w:p>
          <w:p w14:paraId="4BB95AAD">
            <w:pPr>
              <w:numPr>
                <w:ilvl w:val="0"/>
                <w:numId w:val="0"/>
              </w:numPr>
              <w:ind w:left="491" w:leftChars="0" w:firstLine="0" w:firstLineChars="0"/>
              <w:rPr>
                <w:rFonts w:hint="eastAsia"/>
              </w:rPr>
            </w:pPr>
            <w:r>
              <w:rPr>
                <w:rFonts w:hint="eastAsia"/>
                <w:lang w:val="en-US" w:eastAsia="zh-CN"/>
              </w:rPr>
              <w:t>6.2.4 动态监测：在基线、治疗强化期结束时和治疗阶段性完成时再次检测IL-6和hs-CRP，统一允许窗口期和采样流程。[需PI确认]</w:t>
            </w:r>
          </w:p>
          <w:p w14:paraId="1C49B63E">
            <w:pPr>
              <w:numPr>
                <w:ilvl w:val="0"/>
                <w:numId w:val="0"/>
              </w:numPr>
              <w:ind w:left="491" w:leftChars="0" w:firstLine="0" w:firstLineChars="0"/>
              <w:rPr>
                <w:rFonts w:hint="eastAsia"/>
              </w:rPr>
            </w:pPr>
            <w:r>
              <w:rPr>
                <w:rFonts w:hint="eastAsia"/>
                <w:lang w:val="en-US" w:eastAsia="zh-CN"/>
              </w:rPr>
              <w:t>6.2.5 终点判断：重点记录A组患者的全因死亡、治疗失败、严重不良反应导致方案中断或调整、结核复发等不良结局，并同步记录痰菌阴转、影像吸收等过程性指标。主要复合终点构成由课题组最终确认。[需PI确认]</w:t>
            </w:r>
          </w:p>
          <w:p w14:paraId="4D62F93F">
            <w:pPr>
              <w:numPr>
                <w:ilvl w:val="0"/>
                <w:numId w:val="0"/>
              </w:numPr>
              <w:ind w:left="491" w:leftChars="0" w:firstLine="0" w:firstLineChars="0"/>
              <w:rPr>
                <w:rFonts w:hint="default" w:eastAsia="宋体"/>
                <w:sz w:val="28"/>
                <w:szCs w:val="28"/>
                <w:lang w:val="en-US" w:eastAsia="zh-CN"/>
              </w:rPr>
            </w:pPr>
            <w:r>
              <w:rPr>
                <w:rFonts w:hint="eastAsia"/>
                <w:lang w:eastAsia="zh-CN"/>
              </w:rPr>
              <w:t>6.2.6 统计分析：绘制IL-6和hs-CRP随时间变化曲线，分析其与临床结局之间的关系，并比较单一指标与联合指标的风险提示能力。</w:t>
            </w:r>
            <w:r>
              <w:rPr>
                <w:rFonts w:hint="eastAsia"/>
                <w:lang w:val="en-US" w:eastAsia="zh-CN"/>
              </w:rPr>
              <w:t xml:space="preserve">  </w:t>
            </w:r>
          </w:p>
          <w:p w14:paraId="1C002A03">
            <w:pPr>
              <w:ind w:firstLine="560" w:firstLineChars="200"/>
              <w:rPr>
                <w:rFonts w:hint="eastAsia"/>
                <w:sz w:val="28"/>
                <w:szCs w:val="28"/>
              </w:rPr>
            </w:pPr>
          </w:p>
          <w:p w14:paraId="09A8D3DA">
            <w:pPr>
              <w:ind w:firstLine="560" w:firstLineChars="200"/>
              <w:rPr>
                <w:rFonts w:hint="eastAsia"/>
                <w:sz w:val="28"/>
                <w:szCs w:val="28"/>
              </w:rPr>
            </w:pPr>
          </w:p>
          <w:p w14:paraId="34CFA19D">
            <w:pPr>
              <w:ind w:firstLine="560" w:firstLineChars="200"/>
              <w:rPr>
                <w:rFonts w:hint="eastAsia"/>
                <w:sz w:val="28"/>
                <w:szCs w:val="28"/>
              </w:rPr>
            </w:pPr>
          </w:p>
          <w:p w14:paraId="53B0AB56">
            <w:pPr>
              <w:ind w:firstLine="560" w:firstLineChars="200"/>
              <w:rPr>
                <w:rFonts w:hint="eastAsia"/>
                <w:sz w:val="28"/>
                <w:szCs w:val="28"/>
              </w:rPr>
            </w:pPr>
          </w:p>
          <w:p w14:paraId="40E7C2E1">
            <w:pPr>
              <w:ind w:firstLine="560" w:firstLineChars="200"/>
              <w:rPr>
                <w:rFonts w:hint="eastAsia"/>
                <w:sz w:val="28"/>
                <w:szCs w:val="28"/>
              </w:rPr>
            </w:pPr>
          </w:p>
          <w:p w14:paraId="2E22C2D7">
            <w:pPr>
              <w:ind w:firstLine="560" w:firstLineChars="200"/>
              <w:rPr>
                <w:rFonts w:hint="eastAsia"/>
                <w:sz w:val="28"/>
                <w:szCs w:val="28"/>
              </w:rPr>
            </w:pPr>
          </w:p>
          <w:p w14:paraId="61D81DAC">
            <w:pPr>
              <w:ind w:firstLine="480" w:firstLineChars="200"/>
              <w:rPr>
                <w:rFonts w:hint="eastAsia"/>
                <w:sz w:val="28"/>
                <w:szCs w:val="28"/>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47625</wp:posOffset>
                  </wp:positionH>
                  <wp:positionV relativeFrom="paragraph">
                    <wp:posOffset>355600</wp:posOffset>
                  </wp:positionV>
                  <wp:extent cx="5476240" cy="7745095"/>
                  <wp:effectExtent l="0" t="0" r="10160" b="8255"/>
                  <wp:wrapNone/>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4"/>
                          <a:srcRect b="16310"/>
                          <a:stretch>
                            <a:fillRect/>
                          </a:stretch>
                        </pic:blipFill>
                        <pic:spPr>
                          <a:xfrm>
                            <a:off x="0" y="0"/>
                            <a:ext cx="5476240" cy="7745095"/>
                          </a:xfrm>
                          <a:prstGeom prst="rect">
                            <a:avLst/>
                          </a:prstGeom>
                          <a:noFill/>
                          <a:ln w="9525">
                            <a:noFill/>
                          </a:ln>
                        </pic:spPr>
                      </pic:pic>
                    </a:graphicData>
                  </a:graphic>
                </wp:anchor>
              </w:drawing>
            </w:r>
          </w:p>
          <w:p w14:paraId="2B178EA2">
            <w:pPr>
              <w:ind w:firstLine="560" w:firstLineChars="200"/>
              <w:rPr>
                <w:rFonts w:hint="eastAsia"/>
                <w:sz w:val="28"/>
                <w:szCs w:val="28"/>
              </w:rPr>
            </w:pPr>
          </w:p>
          <w:p w14:paraId="22814640">
            <w:pPr>
              <w:ind w:firstLine="560" w:firstLineChars="200"/>
              <w:rPr>
                <w:rFonts w:hint="eastAsia"/>
                <w:sz w:val="28"/>
                <w:szCs w:val="28"/>
              </w:rPr>
            </w:pPr>
          </w:p>
          <w:p w14:paraId="32E1BFD8">
            <w:pPr>
              <w:ind w:firstLine="560" w:firstLineChars="200"/>
              <w:rPr>
                <w:rFonts w:hint="eastAsia"/>
                <w:sz w:val="28"/>
                <w:szCs w:val="28"/>
              </w:rPr>
            </w:pPr>
          </w:p>
          <w:p w14:paraId="57A6AE8F">
            <w:pPr>
              <w:ind w:firstLine="560" w:firstLineChars="200"/>
              <w:rPr>
                <w:rFonts w:hint="eastAsia"/>
                <w:sz w:val="28"/>
                <w:szCs w:val="28"/>
              </w:rPr>
            </w:pPr>
          </w:p>
          <w:p w14:paraId="2DD73388">
            <w:pPr>
              <w:ind w:firstLine="560" w:firstLineChars="200"/>
              <w:rPr>
                <w:rFonts w:hint="eastAsia"/>
                <w:sz w:val="28"/>
                <w:szCs w:val="28"/>
              </w:rPr>
            </w:pPr>
          </w:p>
          <w:p w14:paraId="32EE8D9F">
            <w:pPr>
              <w:ind w:firstLine="560" w:firstLineChars="200"/>
              <w:rPr>
                <w:rFonts w:hint="eastAsia"/>
                <w:sz w:val="28"/>
                <w:szCs w:val="28"/>
              </w:rPr>
            </w:pPr>
          </w:p>
          <w:p w14:paraId="3E8A6AB6">
            <w:pPr>
              <w:ind w:firstLine="560" w:firstLineChars="200"/>
              <w:rPr>
                <w:rFonts w:hint="eastAsia"/>
                <w:sz w:val="28"/>
                <w:szCs w:val="28"/>
              </w:rPr>
            </w:pPr>
          </w:p>
          <w:p w14:paraId="16737658">
            <w:pPr>
              <w:ind w:firstLine="560" w:firstLineChars="200"/>
              <w:rPr>
                <w:rFonts w:hint="eastAsia"/>
                <w:sz w:val="28"/>
                <w:szCs w:val="28"/>
              </w:rPr>
            </w:pPr>
          </w:p>
          <w:p w14:paraId="5BB6D009">
            <w:pPr>
              <w:ind w:firstLine="560" w:firstLineChars="200"/>
              <w:rPr>
                <w:rFonts w:hint="eastAsia"/>
                <w:sz w:val="28"/>
                <w:szCs w:val="28"/>
              </w:rPr>
            </w:pPr>
          </w:p>
          <w:p w14:paraId="5C640101">
            <w:pPr>
              <w:ind w:firstLine="560" w:firstLineChars="200"/>
              <w:rPr>
                <w:rFonts w:hint="eastAsia"/>
                <w:sz w:val="28"/>
                <w:szCs w:val="28"/>
              </w:rPr>
            </w:pPr>
          </w:p>
          <w:p w14:paraId="4031E5D4">
            <w:pPr>
              <w:ind w:firstLine="560" w:firstLineChars="200"/>
              <w:rPr>
                <w:rFonts w:hint="eastAsia" w:eastAsia="宋体"/>
                <w:sz w:val="28"/>
                <w:szCs w:val="28"/>
                <w:lang w:eastAsia="zh-CN"/>
              </w:rPr>
            </w:pPr>
          </w:p>
          <w:p w14:paraId="78A36666">
            <w:pPr>
              <w:ind w:left="525" w:leftChars="150" w:hanging="210" w:hangingChars="100"/>
              <w:rPr>
                <w:rFonts w:hint="eastAsia" w:eastAsia="宋体"/>
                <w:lang w:eastAsia="zh-CN"/>
              </w:rPr>
            </w:pPr>
          </w:p>
        </w:tc>
      </w:tr>
    </w:tbl>
    <w:p w14:paraId="4744B9D4"/>
    <w:p w14:paraId="02358A57">
      <w:r>
        <w:br w:type="page"/>
      </w:r>
    </w:p>
    <w:tbl>
      <w:tblPr>
        <w:tblStyle w:val="4"/>
        <w:tblW w:w="9128" w:type="dxa"/>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8"/>
      </w:tblGrid>
      <w:tr w14:paraId="4B25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8" w:hRule="atLeast"/>
        </w:trPr>
        <w:tc>
          <w:tcPr>
            <w:tcW w:w="9128" w:type="dxa"/>
            <w:tcBorders>
              <w:top w:val="single" w:color="auto" w:sz="4" w:space="0"/>
              <w:left w:val="single" w:color="auto" w:sz="4" w:space="0"/>
              <w:bottom w:val="single" w:color="auto" w:sz="4" w:space="0"/>
              <w:right w:val="single" w:color="auto" w:sz="4" w:space="0"/>
            </w:tcBorders>
          </w:tcPr>
          <w:p w14:paraId="5DA1FFFE">
            <w:pPr>
              <w:numPr>
                <w:ilvl w:val="0"/>
                <w:numId w:val="0"/>
              </w:numPr>
              <w:ind w:left="491" w:leftChars="0" w:firstLine="0" w:firstLineChars="0"/>
            </w:pPr>
            <w:r>
              <w:rPr>
                <w:rFonts w:hint="eastAsia" w:ascii="宋体" w:hAnsi="宋体" w:cstheme="minorEastAsia"/>
                <w:b/>
                <w:bCs/>
                <w:kern w:val="2"/>
                <w:sz w:val="28"/>
                <w:szCs w:val="28"/>
                <w:lang w:val="en-US" w:eastAsia="zh-CN" w:bidi="ar-SA"/>
              </w:rPr>
              <w:t>七</w:t>
            </w:r>
            <w:r>
              <w:rPr>
                <w:rFonts w:hint="eastAsia" w:ascii="宋体" w:hAnsi="宋体" w:eastAsia="宋体" w:cstheme="minorEastAsia"/>
                <w:b/>
                <w:bCs/>
                <w:kern w:val="2"/>
                <w:sz w:val="28"/>
                <w:szCs w:val="28"/>
                <w:lang w:val="en-US" w:eastAsia="zh-CN" w:bidi="ar-SA"/>
              </w:rPr>
              <w:t>、</w:t>
            </w:r>
            <w:r>
              <w:rPr>
                <w:rFonts w:hint="eastAsia"/>
                <w:b/>
                <w:bCs/>
                <w:sz w:val="28"/>
              </w:rPr>
              <w:t>年进度计划及考核指标</w:t>
            </w:r>
            <w:r>
              <w:rPr>
                <w:rFonts w:hint="eastAsia"/>
              </w:rPr>
              <w:t>（阶段目标）</w:t>
            </w:r>
          </w:p>
          <w:p w14:paraId="453BADB2">
            <w:pPr>
              <w:numPr>
                <w:ilvl w:val="0"/>
                <w:numId w:val="0"/>
              </w:numPr>
              <w:ind w:left="491" w:leftChars="0" w:firstLine="0" w:firstLineChars="0"/>
              <w:rPr>
                <w:rFonts w:hint="eastAsia"/>
                <w:lang w:val="en-US" w:eastAsia="zh-CN"/>
              </w:rPr>
            </w:pPr>
            <w:r>
              <w:rPr>
                <w:rFonts w:hint="eastAsia"/>
                <w:lang w:val="en-US" w:eastAsia="zh-CN"/>
              </w:rPr>
              <w:t>7.1.2026年4月-2026年6月：完成伦理申报、研究人员培训、病例报告表设计及检测流程优化。</w:t>
            </w:r>
          </w:p>
          <w:p w14:paraId="6CD7BB7B">
            <w:pPr>
              <w:numPr>
                <w:ilvl w:val="0"/>
                <w:numId w:val="0"/>
              </w:numPr>
              <w:ind w:left="491" w:leftChars="0" w:firstLine="0" w:firstLineChars="0"/>
              <w:rPr>
                <w:rFonts w:hint="eastAsia"/>
                <w:lang w:val="en-US" w:eastAsia="zh-CN"/>
              </w:rPr>
            </w:pPr>
            <w:r>
              <w:rPr>
                <w:rFonts w:hint="eastAsia"/>
                <w:lang w:val="en-US" w:eastAsia="zh-CN"/>
              </w:rPr>
              <w:t xml:space="preserve">  7.2.2026年7月-2027年3月：开展病例入组和基线检测，完成阶段性随访及样本采集。考核指标：完成共病组阶段性入组及8周随访。</w:t>
            </w:r>
          </w:p>
          <w:p w14:paraId="1EFF78C9">
            <w:pPr>
              <w:numPr>
                <w:ilvl w:val="0"/>
                <w:numId w:val="0"/>
              </w:numPr>
              <w:ind w:left="491" w:leftChars="0" w:firstLine="0" w:firstLineChars="0"/>
              <w:rPr>
                <w:rFonts w:hint="eastAsia"/>
                <w:lang w:val="en-US" w:eastAsia="zh-CN"/>
              </w:rPr>
            </w:pPr>
            <w:r>
              <w:rPr>
                <w:rFonts w:hint="eastAsia"/>
                <w:lang w:val="en-US" w:eastAsia="zh-CN"/>
              </w:rPr>
              <w:t xml:space="preserve">  7.3.2027年4月-2027年9月：完成剩余病例随访、数据库整理和统计分析。考核指标：完成全部实验室检测、数据录入和关键结局核查。</w:t>
            </w:r>
          </w:p>
          <w:p w14:paraId="25A7109D">
            <w:pPr>
              <w:numPr>
                <w:ilvl w:val="0"/>
                <w:numId w:val="0"/>
              </w:numPr>
              <w:ind w:left="491" w:leftChars="0" w:firstLine="0" w:firstLineChars="0"/>
              <w:rPr>
                <w:rFonts w:hint="eastAsia"/>
                <w:lang w:val="en-US" w:eastAsia="zh-CN"/>
              </w:rPr>
            </w:pPr>
            <w:r>
              <w:rPr>
                <w:rFonts w:hint="eastAsia"/>
                <w:lang w:val="en-US" w:eastAsia="zh-CN"/>
              </w:rPr>
              <w:t>7.4.2027年10月-2027年12月：完成研究总结、论文撰写和结题材料提交。考核指标：投稿论文1篇，提交结题报告。</w:t>
            </w:r>
          </w:p>
          <w:p w14:paraId="49AB7104">
            <w:pPr>
              <w:ind w:firstLine="210" w:firstLineChars="100"/>
            </w:pPr>
          </w:p>
        </w:tc>
      </w:tr>
      <w:tr w14:paraId="6D2B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5" w:hRule="atLeast"/>
        </w:trPr>
        <w:tc>
          <w:tcPr>
            <w:tcW w:w="9128" w:type="dxa"/>
            <w:tcBorders>
              <w:top w:val="single" w:color="auto" w:sz="4" w:space="0"/>
              <w:left w:val="single" w:color="auto" w:sz="4" w:space="0"/>
              <w:bottom w:val="single" w:color="auto" w:sz="4" w:space="0"/>
              <w:right w:val="single" w:color="auto" w:sz="4" w:space="0"/>
            </w:tcBorders>
          </w:tcPr>
          <w:p w14:paraId="25AF4FF4">
            <w:pPr>
              <w:numPr>
                <w:ilvl w:val="0"/>
                <w:numId w:val="0"/>
              </w:numPr>
              <w:ind w:left="491" w:leftChars="0" w:firstLine="0" w:firstLineChars="0"/>
              <w:rPr>
                <w:b/>
                <w:bCs/>
                <w:sz w:val="28"/>
              </w:rPr>
            </w:pPr>
            <w:r>
              <w:rPr>
                <w:rFonts w:hint="eastAsia" w:ascii="宋体" w:hAnsi="宋体" w:cstheme="minorEastAsia"/>
                <w:b/>
                <w:bCs/>
                <w:kern w:val="2"/>
                <w:sz w:val="28"/>
                <w:szCs w:val="28"/>
                <w:lang w:val="en-US" w:eastAsia="zh-CN" w:bidi="ar-SA"/>
              </w:rPr>
              <w:t>八</w:t>
            </w:r>
            <w:r>
              <w:rPr>
                <w:rFonts w:hint="eastAsia" w:ascii="宋体" w:hAnsi="宋体" w:eastAsia="宋体" w:cstheme="minorEastAsia"/>
                <w:b/>
                <w:bCs/>
                <w:kern w:val="2"/>
                <w:sz w:val="28"/>
                <w:szCs w:val="28"/>
                <w:lang w:val="en-US" w:eastAsia="zh-CN" w:bidi="ar-SA"/>
              </w:rPr>
              <w:t>、</w:t>
            </w:r>
            <w:r>
              <w:rPr>
                <w:rFonts w:hint="eastAsia"/>
                <w:b/>
                <w:bCs/>
                <w:sz w:val="28"/>
              </w:rPr>
              <w:t>最终目标</w:t>
            </w:r>
          </w:p>
          <w:p w14:paraId="5694B915">
            <w:pPr>
              <w:numPr>
                <w:ilvl w:val="0"/>
                <w:numId w:val="0"/>
              </w:numPr>
              <w:ind w:left="491" w:leftChars="0" w:firstLine="0" w:firstLineChars="0"/>
              <w:rPr>
                <w:rFonts w:hint="eastAsia"/>
                <w:lang w:val="en-US" w:eastAsia="zh-CN"/>
              </w:rPr>
            </w:pPr>
            <w:r>
              <w:rPr>
                <w:rFonts w:hint="eastAsia"/>
                <w:lang w:val="en-US" w:eastAsia="zh-CN"/>
              </w:rPr>
              <w:t xml:space="preserve"> 8.1明确维持性血液透析合并活动性肺结核患者的炎症负荷特征及IL-6联合hs-CRP的动态变化规律；</w:t>
            </w:r>
          </w:p>
          <w:p w14:paraId="0ED236A1">
            <w:pPr>
              <w:numPr>
                <w:ilvl w:val="0"/>
                <w:numId w:val="0"/>
              </w:numPr>
              <w:ind w:left="491" w:leftChars="0" w:firstLine="0" w:firstLineChars="0"/>
              <w:rPr>
                <w:rFonts w:hint="eastAsia"/>
                <w:lang w:val="en-US" w:eastAsia="zh-CN"/>
              </w:rPr>
            </w:pPr>
            <w:r>
              <w:rPr>
                <w:rFonts w:hint="eastAsia"/>
                <w:lang w:val="en-US" w:eastAsia="zh-CN"/>
              </w:rPr>
              <w:t>8.2探索IL-6联合hs-CRP动态监测在提示治疗反应和不良结局风险中的应用价值，并为后续验证研究提供初步依据；</w:t>
            </w:r>
          </w:p>
          <w:p w14:paraId="2229A7FD">
            <w:pPr>
              <w:numPr>
                <w:ilvl w:val="0"/>
                <w:numId w:val="0"/>
              </w:numPr>
              <w:ind w:left="491" w:leftChars="0" w:firstLine="0" w:firstLineChars="0"/>
              <w:rPr>
                <w:rFonts w:hint="eastAsia" w:eastAsia="宋体"/>
                <w:sz w:val="28"/>
                <w:szCs w:val="28"/>
                <w:lang w:val="en-US" w:eastAsia="zh-CN"/>
              </w:rPr>
            </w:pPr>
            <w:r>
              <w:rPr>
                <w:rFonts w:hint="eastAsia"/>
                <w:lang w:val="en-US" w:eastAsia="zh-CN"/>
              </w:rPr>
              <w:t>8.3发表论文1篇，形成该特殊人群炎症评估的初步研究基础。</w:t>
            </w:r>
          </w:p>
        </w:tc>
      </w:tr>
      <w:tr w14:paraId="7AD6E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6" w:hRule="atLeast"/>
        </w:trPr>
        <w:tc>
          <w:tcPr>
            <w:tcW w:w="9128" w:type="dxa"/>
            <w:tcBorders>
              <w:top w:val="single" w:color="auto" w:sz="4" w:space="0"/>
              <w:left w:val="single" w:color="auto" w:sz="4" w:space="0"/>
              <w:bottom w:val="single" w:color="auto" w:sz="4" w:space="0"/>
              <w:right w:val="single" w:color="auto" w:sz="4" w:space="0"/>
            </w:tcBorders>
          </w:tcPr>
          <w:p w14:paraId="3F58A537">
            <w:pPr>
              <w:numPr>
                <w:ilvl w:val="0"/>
                <w:numId w:val="0"/>
              </w:numPr>
              <w:ind w:left="491" w:leftChars="0" w:firstLine="0" w:firstLineChars="0"/>
              <w:rPr>
                <w:rFonts w:cs="Calibri"/>
                <w:szCs w:val="21"/>
              </w:rPr>
            </w:pPr>
            <w:r>
              <w:rPr>
                <w:rFonts w:hint="eastAsia" w:ascii="宋体" w:hAnsi="宋体" w:cstheme="minorEastAsia"/>
                <w:b/>
                <w:bCs/>
                <w:kern w:val="2"/>
                <w:sz w:val="28"/>
                <w:szCs w:val="28"/>
                <w:lang w:val="en-US" w:eastAsia="zh-CN" w:bidi="ar-SA"/>
              </w:rPr>
              <w:t>九</w:t>
            </w:r>
            <w:r>
              <w:rPr>
                <w:rFonts w:hint="eastAsia" w:ascii="宋体" w:hAnsi="宋体" w:eastAsia="宋体" w:cstheme="minorEastAsia"/>
                <w:b/>
                <w:bCs/>
                <w:kern w:val="2"/>
                <w:sz w:val="28"/>
                <w:szCs w:val="28"/>
                <w:lang w:val="en-US" w:eastAsia="zh-CN" w:bidi="ar-SA"/>
              </w:rPr>
              <w:t>、</w:t>
            </w:r>
            <w:r>
              <w:rPr>
                <w:rFonts w:hint="eastAsia"/>
                <w:b/>
                <w:bCs/>
                <w:sz w:val="28"/>
              </w:rPr>
              <w:t>预期社会效益和经济效益</w:t>
            </w:r>
            <w:r>
              <w:rPr>
                <w:rFonts w:cs="Calibri"/>
                <w:szCs w:val="21"/>
              </w:rPr>
              <w:t xml:space="preserve"> </w:t>
            </w:r>
          </w:p>
          <w:p w14:paraId="4EFB6A91">
            <w:pPr>
              <w:numPr>
                <w:ilvl w:val="0"/>
                <w:numId w:val="0"/>
              </w:numPr>
              <w:ind w:left="491" w:leftChars="0" w:firstLine="0" w:firstLineChars="0"/>
              <w:rPr>
                <w:rFonts w:hint="eastAsia"/>
              </w:rPr>
            </w:pPr>
            <w:r>
              <w:rPr>
                <w:rFonts w:hint="eastAsia"/>
                <w:lang w:val="en-US" w:eastAsia="zh-CN"/>
              </w:rPr>
              <w:t>9.1</w:t>
            </w:r>
            <w:r>
              <w:rPr>
                <w:rFonts w:hint="eastAsia"/>
              </w:rPr>
              <w:t>社会效益</w:t>
            </w:r>
          </w:p>
          <w:p w14:paraId="2751460F">
            <w:pPr>
              <w:numPr>
                <w:ilvl w:val="0"/>
                <w:numId w:val="0"/>
              </w:numPr>
              <w:ind w:left="491" w:leftChars="0" w:firstLine="0" w:firstLineChars="0"/>
              <w:rPr>
                <w:rFonts w:hint="eastAsia" w:eastAsia="宋体"/>
                <w:lang w:eastAsia="zh-CN"/>
              </w:rPr>
            </w:pPr>
            <w:r>
              <w:rPr>
                <w:rFonts w:hint="eastAsia"/>
                <w:lang w:eastAsia="zh-CN"/>
              </w:rPr>
              <w:t>提高对维持性血液透析合并肺结核这一高风险特殊人群的识别、评估和随访管理水平，为区域结核病防治和慢病合并感染管理提供本地临床证据。</w:t>
            </w:r>
          </w:p>
          <w:p w14:paraId="0F447F19">
            <w:pPr>
              <w:numPr>
                <w:ilvl w:val="0"/>
                <w:numId w:val="0"/>
              </w:numPr>
              <w:ind w:left="491" w:leftChars="0" w:firstLine="0" w:firstLineChars="0"/>
              <w:rPr>
                <w:rFonts w:hint="eastAsia"/>
              </w:rPr>
            </w:pPr>
            <w:r>
              <w:rPr>
                <w:rFonts w:hint="eastAsia"/>
                <w:lang w:val="en-US" w:eastAsia="zh-CN"/>
              </w:rPr>
              <w:t>9.2</w:t>
            </w:r>
            <w:r>
              <w:rPr>
                <w:rFonts w:hint="eastAsia"/>
              </w:rPr>
              <w:t>经济效益</w:t>
            </w:r>
          </w:p>
          <w:p w14:paraId="10D8AFA4">
            <w:pPr>
              <w:numPr>
                <w:ilvl w:val="0"/>
                <w:numId w:val="0"/>
              </w:numPr>
              <w:ind w:left="491" w:leftChars="0" w:firstLine="0" w:firstLineChars="0"/>
              <w:rPr>
                <w:rFonts w:hint="eastAsia" w:eastAsia="宋体" w:cs="Calibri"/>
                <w:b/>
                <w:bCs/>
                <w:szCs w:val="21"/>
                <w:lang w:eastAsia="zh-CN"/>
              </w:rPr>
            </w:pPr>
            <w:r>
              <w:rPr>
                <w:rFonts w:hint="eastAsia"/>
                <w:lang w:eastAsia="zh-CN"/>
              </w:rPr>
              <w:t>IL-6和hs-CRP具有一定临床可及性。若动态监测能够帮助更早识别高风险患者、优化随访和治疗管理，则有望减少部分无效诊疗消耗和并发症带来的医疗负担。</w:t>
            </w:r>
          </w:p>
        </w:tc>
      </w:tr>
    </w:tbl>
    <w:p w14:paraId="071361DB"/>
    <w:p w14:paraId="7CE5A4B2">
      <w:r>
        <w:br w:type="page"/>
      </w:r>
    </w:p>
    <w:tbl>
      <w:tblPr>
        <w:tblStyle w:val="4"/>
        <w:tblW w:w="9112" w:type="dxa"/>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12"/>
      </w:tblGrid>
      <w:tr w14:paraId="528E3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91" w:hRule="atLeast"/>
        </w:trPr>
        <w:tc>
          <w:tcPr>
            <w:tcW w:w="9112" w:type="dxa"/>
          </w:tcPr>
          <w:p w14:paraId="38780018">
            <w:pPr>
              <w:numPr>
                <w:ilvl w:val="0"/>
                <w:numId w:val="0"/>
              </w:numPr>
              <w:ind w:left="491" w:leftChars="0" w:firstLine="0" w:firstLineChars="0"/>
            </w:pPr>
            <w:r>
              <w:rPr>
                <w:rFonts w:hint="eastAsia" w:ascii="宋体" w:hAnsi="宋体" w:cstheme="minorEastAsia"/>
                <w:b/>
                <w:bCs/>
                <w:kern w:val="2"/>
                <w:sz w:val="28"/>
                <w:szCs w:val="28"/>
                <w:lang w:val="en-US" w:eastAsia="zh-CN" w:bidi="ar-SA"/>
              </w:rPr>
              <w:t>十</w:t>
            </w:r>
            <w:r>
              <w:rPr>
                <w:rFonts w:hint="eastAsia" w:ascii="宋体" w:hAnsi="宋体" w:eastAsia="宋体" w:cstheme="minorEastAsia"/>
                <w:b/>
                <w:bCs/>
                <w:kern w:val="2"/>
                <w:sz w:val="28"/>
                <w:szCs w:val="28"/>
                <w:lang w:val="en-US" w:eastAsia="zh-CN" w:bidi="ar-SA"/>
              </w:rPr>
              <w:t>、</w:t>
            </w:r>
            <w:r>
              <w:rPr>
                <w:rFonts w:hint="eastAsia"/>
                <w:b/>
                <w:bCs/>
                <w:sz w:val="28"/>
              </w:rPr>
              <w:t>预备试验情况和结论</w:t>
            </w:r>
            <w:r>
              <w:rPr>
                <w:rFonts w:hint="eastAsia"/>
              </w:rPr>
              <w:t>（如系新技术引进项目应有重复性试验情况。）</w:t>
            </w:r>
          </w:p>
          <w:p w14:paraId="41D84311">
            <w:pPr>
              <w:numPr>
                <w:ilvl w:val="0"/>
                <w:numId w:val="0"/>
              </w:numPr>
              <w:ind w:left="491" w:leftChars="0" w:firstLine="0" w:firstLineChars="0"/>
              <w:rPr>
                <w:rFonts w:hint="eastAsia"/>
              </w:rPr>
            </w:pPr>
            <w:r>
              <w:rPr>
                <w:rFonts w:hint="eastAsia"/>
                <w:lang w:val="en-US" w:eastAsia="zh-CN"/>
              </w:rPr>
              <w:t>10.1预备试验情况:</w:t>
            </w:r>
          </w:p>
          <w:p w14:paraId="33ECE7F2">
            <w:pPr>
              <w:numPr>
                <w:ilvl w:val="0"/>
                <w:numId w:val="0"/>
              </w:numPr>
              <w:ind w:left="491" w:leftChars="0" w:firstLine="0" w:firstLineChars="0"/>
              <w:rPr>
                <w:rFonts w:hint="eastAsia" w:eastAsia="宋体"/>
                <w:lang w:val="en-US" w:eastAsia="zh-CN"/>
              </w:rPr>
            </w:pPr>
            <w:r>
              <w:rPr>
                <w:rFonts w:hint="eastAsia"/>
                <w:lang w:eastAsia="zh-CN"/>
              </w:rPr>
              <w:t>已完成5例维持性血液透析合并活动性肺结核患者的先导性观察。所有患者均完成基线、治疗2个月及治疗6个月的IL-6和hs-CRP动态监测，并记录痰菌阴转、影像学变化及不良事件。</w:t>
            </w:r>
          </w:p>
          <w:p w14:paraId="06F9AE24">
            <w:pPr>
              <w:numPr>
                <w:ilvl w:val="0"/>
                <w:numId w:val="0"/>
              </w:numPr>
              <w:ind w:left="491" w:leftChars="0" w:firstLine="0" w:firstLineChars="0"/>
              <w:rPr>
                <w:rFonts w:hint="eastAsia"/>
              </w:rPr>
            </w:pPr>
            <w:r>
              <w:rPr>
                <w:rFonts w:hint="eastAsia"/>
                <w:lang w:val="en-US" w:eastAsia="zh-CN"/>
              </w:rPr>
              <w:t xml:space="preserve">    </w:t>
            </w:r>
            <w:r>
              <w:rPr>
                <w:rFonts w:hint="default"/>
              </w:rPr>
              <w:t>10.2 初步结果</w:t>
            </w:r>
          </w:p>
          <w:p w14:paraId="644BFAFA">
            <w:pPr>
              <w:numPr>
                <w:ilvl w:val="0"/>
                <w:numId w:val="0"/>
              </w:numPr>
              <w:ind w:left="491" w:leftChars="0" w:firstLine="0" w:firstLineChars="0"/>
              <w:rPr>
                <w:rFonts w:hint="eastAsia"/>
              </w:rPr>
            </w:pPr>
            <w:r>
              <w:rPr>
                <w:rFonts w:hint="eastAsia"/>
                <w:lang w:val="en-US" w:eastAsia="zh-CN"/>
              </w:rPr>
              <w:t>10.2.1 先导观察提示，共病患者基线IL-6和hs-CRP水平均处于较高水平，支持该人群存在较重炎症负荷。</w:t>
            </w:r>
          </w:p>
          <w:p w14:paraId="00A0D23F">
            <w:pPr>
              <w:numPr>
                <w:ilvl w:val="0"/>
                <w:numId w:val="0"/>
              </w:numPr>
              <w:ind w:left="491" w:leftChars="0" w:firstLine="0" w:firstLineChars="0"/>
              <w:rPr>
                <w:rFonts w:hint="eastAsia"/>
              </w:rPr>
            </w:pPr>
            <w:r>
              <w:rPr>
                <w:rFonts w:hint="eastAsia"/>
                <w:lang w:val="en-US" w:eastAsia="zh-CN"/>
              </w:rPr>
              <w:t>10.2.2 部分患者在治疗2个月后炎症指标下降较明显，且治疗应答相对较好；另有部分患者炎症下降不明显，并出现治疗过程不良事件或结局不佳，提示动态变化可能与预后相关。由于样本量较小，上述结果仅用于支持研究可行性，不直接形成确认性阈值。</w:t>
            </w:r>
          </w:p>
          <w:p w14:paraId="7B09A048">
            <w:pPr>
              <w:numPr>
                <w:ilvl w:val="0"/>
                <w:numId w:val="0"/>
              </w:numPr>
              <w:ind w:left="491" w:leftChars="0" w:firstLine="0" w:firstLineChars="0"/>
              <w:rPr>
                <w:rFonts w:hint="default"/>
              </w:rPr>
            </w:pPr>
            <w:r>
              <w:rPr>
                <w:rFonts w:hint="default"/>
              </w:rPr>
              <w:t>10.3 结论</w:t>
            </w:r>
          </w:p>
          <w:p w14:paraId="788D1D9E">
            <w:pPr>
              <w:numPr>
                <w:ilvl w:val="0"/>
                <w:numId w:val="0"/>
              </w:numPr>
              <w:ind w:left="491" w:leftChars="0" w:firstLine="0" w:firstLineChars="0"/>
              <w:rPr>
                <w:rFonts w:hint="eastAsia" w:eastAsia="宋体"/>
                <w:lang w:eastAsia="zh-CN"/>
              </w:rPr>
            </w:pPr>
            <w:r>
              <w:rPr>
                <w:rFonts w:hint="eastAsia"/>
                <w:lang w:eastAsia="zh-CN"/>
              </w:rPr>
              <w:t>IL-6联合hs-CRP动态监测在MHD+TB患者中具有一定可行性，值得在扩大样本的前瞻性研究中进一步验证其风险提示价值。</w:t>
            </w:r>
          </w:p>
          <w:p w14:paraId="28D67B7B">
            <w:pPr>
              <w:ind w:firstLine="560"/>
            </w:pPr>
          </w:p>
        </w:tc>
      </w:tr>
    </w:tbl>
    <w:p w14:paraId="5081CC97"/>
    <w:p w14:paraId="40B471E8"/>
    <w:p w14:paraId="33A58B9E">
      <w:r>
        <w:br w:type="page"/>
      </w:r>
    </w:p>
    <w:tbl>
      <w:tblPr>
        <w:tblStyle w:val="4"/>
        <w:tblW w:w="9128" w:type="dxa"/>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6"/>
        <w:gridCol w:w="897"/>
        <w:gridCol w:w="2690"/>
        <w:gridCol w:w="3395"/>
      </w:tblGrid>
      <w:tr w14:paraId="72A2F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3" w:hRule="atLeast"/>
        </w:trPr>
        <w:tc>
          <w:tcPr>
            <w:tcW w:w="9128" w:type="dxa"/>
            <w:gridSpan w:val="4"/>
          </w:tcPr>
          <w:p w14:paraId="64293C7A">
            <w:pPr>
              <w:ind w:firstLine="420"/>
            </w:pPr>
            <w:r>
              <w:rPr>
                <w:rFonts w:hint="eastAsia"/>
                <w:b/>
                <w:bCs/>
                <w:sz w:val="28"/>
              </w:rPr>
              <w:t>十一、现有技术基础及条件</w:t>
            </w:r>
            <w:r>
              <w:rPr>
                <w:rFonts w:hint="eastAsia"/>
              </w:rPr>
              <w:t>（技术力量、仪器设备、实验动物等。）</w:t>
            </w:r>
          </w:p>
          <w:p w14:paraId="0A29A890">
            <w:pPr>
              <w:ind w:firstLine="420"/>
              <w:rPr>
                <w:rFonts w:hint="eastAsia" w:eastAsia="宋体"/>
                <w:b/>
                <w:bCs/>
                <w:color w:val="000000" w:themeColor="text1"/>
                <w:sz w:val="28"/>
                <w:szCs w:val="28"/>
                <w:lang w:eastAsia="zh-CN"/>
                <w14:textFill>
                  <w14:solidFill>
                    <w14:schemeClr w14:val="tx1"/>
                  </w14:solidFill>
                </w14:textFill>
              </w:rPr>
            </w:pPr>
            <w:r>
              <w:rPr>
                <w:rFonts w:hint="eastAsia"/>
              </w:rPr>
              <w:t>课题负责人从事</w:t>
            </w:r>
            <w:r>
              <w:rPr>
                <w:rFonts w:hint="eastAsia"/>
                <w:lang w:val="en-US" w:eastAsia="zh-CN"/>
              </w:rPr>
              <w:t>临床工作20余年</w:t>
            </w:r>
            <w:r>
              <w:rPr>
                <w:rFonts w:hint="eastAsia"/>
              </w:rPr>
              <w:t>，主持省级科研项目</w:t>
            </w:r>
            <w:r>
              <w:rPr>
                <w:rFonts w:hint="eastAsia"/>
                <w:lang w:val="en-US" w:eastAsia="zh-CN"/>
              </w:rPr>
              <w:t xml:space="preserve"> 5</w:t>
            </w:r>
            <w:r>
              <w:rPr>
                <w:rFonts w:hint="eastAsia"/>
              </w:rPr>
              <w:t>项，发表相关论文</w:t>
            </w:r>
            <w:r>
              <w:rPr>
                <w:rFonts w:hint="eastAsia"/>
                <w:lang w:val="en-US" w:eastAsia="zh-CN"/>
              </w:rPr>
              <w:t>20余</w:t>
            </w:r>
            <w:r>
              <w:rPr>
                <w:rFonts w:hint="eastAsia"/>
              </w:rPr>
              <w:t>篇；核心成员包括临床医师</w:t>
            </w:r>
            <w:r>
              <w:rPr>
                <w:rFonts w:hint="eastAsia"/>
                <w:lang w:val="en-US" w:eastAsia="zh-CN"/>
              </w:rPr>
              <w:t>4</w:t>
            </w:r>
            <w:r>
              <w:rPr>
                <w:rFonts w:hint="eastAsia"/>
              </w:rPr>
              <w:t>名（主任医师</w:t>
            </w:r>
            <w:r>
              <w:rPr>
                <w:rFonts w:hint="eastAsia"/>
                <w:lang w:val="en-US" w:eastAsia="zh-CN"/>
              </w:rPr>
              <w:t>1名、主治医师3名</w:t>
            </w:r>
            <w:r>
              <w:rPr>
                <w:rFonts w:hint="eastAsia"/>
              </w:rPr>
              <w:t>）、检验技师</w:t>
            </w:r>
            <w:r>
              <w:rPr>
                <w:rFonts w:hint="eastAsia"/>
                <w:lang w:val="en-US" w:eastAsia="zh-CN"/>
              </w:rPr>
              <w:t>2</w:t>
            </w:r>
            <w:r>
              <w:rPr>
                <w:rFonts w:hint="eastAsia"/>
              </w:rPr>
              <w:t>名（</w:t>
            </w:r>
            <w:r>
              <w:rPr>
                <w:rFonts w:hint="eastAsia"/>
                <w:lang w:val="en-US" w:eastAsia="zh-CN"/>
              </w:rPr>
              <w:t>均为副主任</w:t>
            </w:r>
            <w:r>
              <w:rPr>
                <w:rFonts w:hint="eastAsia"/>
              </w:rPr>
              <w:t>技师）</w:t>
            </w:r>
            <w:r>
              <w:rPr>
                <w:rFonts w:hint="eastAsia"/>
                <w:lang w:val="en-US" w:eastAsia="zh-CN"/>
              </w:rPr>
              <w:t>均从事</w:t>
            </w:r>
            <w:r>
              <w:rPr>
                <w:rFonts w:hint="eastAsia"/>
              </w:rPr>
              <w:t>结核病</w:t>
            </w:r>
            <w:r>
              <w:rPr>
                <w:rFonts w:hint="eastAsia"/>
                <w:lang w:val="en-US" w:eastAsia="zh-CN"/>
              </w:rPr>
              <w:t>重点实验室检测</w:t>
            </w:r>
            <w:r>
              <w:rPr>
                <w:rFonts w:hint="eastAsia"/>
              </w:rPr>
              <w:t>工作</w:t>
            </w:r>
            <w:r>
              <w:rPr>
                <w:rFonts w:hint="eastAsia"/>
                <w:lang w:val="en-US" w:eastAsia="zh-CN"/>
              </w:rPr>
              <w:t>10年以上</w:t>
            </w:r>
            <w:r>
              <w:rPr>
                <w:rFonts w:hint="eastAsia"/>
              </w:rPr>
              <w:t>，具备丰富的临床实践、实验室操作和数据分析经验。</w:t>
            </w:r>
            <w:r>
              <w:rPr>
                <w:rFonts w:hint="eastAsia"/>
                <w:lang w:eastAsia="zh-CN"/>
              </w:rPr>
              <w:t>九江市第三人民医院为传染病专科三级甲等医院，是当地结核病诊疗中心，具备较稳定的结核病病例来源和血液透析相关诊疗基础，拥有化学发光仪、血球分析仪、高速离心机及胸部CT等必要设备，可为本研究提供临床病例、实验检测、伦理申报和数据管理支持。课题聚焦维持性血液透析合并活动性肺结核这一高风险特殊共病人群，具有明确临床意义和应用价值，实施方案总体可行。</w:t>
            </w:r>
          </w:p>
          <w:p w14:paraId="6482C01D">
            <w:pPr>
              <w:ind w:firstLine="420"/>
              <w:rPr>
                <w:rFonts w:hint="eastAsia"/>
                <w:b/>
                <w:bCs/>
                <w:color w:val="000000" w:themeColor="text1"/>
                <w:sz w:val="28"/>
                <w:szCs w:val="28"/>
                <w14:textFill>
                  <w14:solidFill>
                    <w14:schemeClr w14:val="tx1"/>
                  </w14:solidFill>
                </w14:textFill>
              </w:rPr>
            </w:pPr>
          </w:p>
          <w:p w14:paraId="044252C6">
            <w:pPr>
              <w:ind w:firstLine="420"/>
              <w:rPr>
                <w:rFonts w:hint="eastAsia"/>
                <w:sz w:val="28"/>
                <w:szCs w:val="28"/>
              </w:rPr>
            </w:pPr>
          </w:p>
          <w:p w14:paraId="1B3169CE">
            <w:pPr>
              <w:ind w:firstLine="420"/>
              <w:rPr>
                <w:rFonts w:hint="eastAsia"/>
                <w:sz w:val="28"/>
                <w:szCs w:val="28"/>
              </w:rPr>
            </w:pPr>
          </w:p>
          <w:p w14:paraId="13CF1BD3">
            <w:pPr>
              <w:ind w:firstLine="420"/>
              <w:rPr>
                <w:rFonts w:hint="eastAsia"/>
                <w:sz w:val="28"/>
                <w:szCs w:val="28"/>
              </w:rPr>
            </w:pPr>
          </w:p>
          <w:p w14:paraId="75F7CE32">
            <w:pPr>
              <w:ind w:firstLine="420"/>
              <w:rPr>
                <w:rFonts w:hint="eastAsia"/>
                <w:sz w:val="28"/>
                <w:szCs w:val="28"/>
              </w:rPr>
            </w:pPr>
          </w:p>
          <w:p w14:paraId="4B025DD6">
            <w:pPr>
              <w:ind w:firstLine="420"/>
              <w:rPr>
                <w:rFonts w:hint="eastAsia"/>
                <w:sz w:val="28"/>
                <w:szCs w:val="28"/>
              </w:rPr>
            </w:pPr>
          </w:p>
        </w:tc>
      </w:tr>
      <w:tr w14:paraId="1618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46" w:type="dxa"/>
            <w:vAlign w:val="center"/>
          </w:tcPr>
          <w:p w14:paraId="20EB103E">
            <w:pPr>
              <w:jc w:val="center"/>
            </w:pPr>
            <w:r>
              <w:rPr>
                <w:rFonts w:hint="eastAsia"/>
              </w:rPr>
              <w:t>主要仪器设备名称</w:t>
            </w:r>
          </w:p>
        </w:tc>
        <w:tc>
          <w:tcPr>
            <w:tcW w:w="897" w:type="dxa"/>
            <w:vAlign w:val="center"/>
          </w:tcPr>
          <w:p w14:paraId="34043676">
            <w:pPr>
              <w:jc w:val="center"/>
            </w:pPr>
            <w:r>
              <w:rPr>
                <w:rFonts w:hint="eastAsia"/>
              </w:rPr>
              <w:t>数　量</w:t>
            </w:r>
          </w:p>
        </w:tc>
        <w:tc>
          <w:tcPr>
            <w:tcW w:w="6085" w:type="dxa"/>
            <w:gridSpan w:val="2"/>
            <w:vAlign w:val="center"/>
          </w:tcPr>
          <w:p w14:paraId="04C155FB">
            <w:pPr>
              <w:jc w:val="center"/>
            </w:pPr>
            <w:r>
              <w:rPr>
                <w:rFonts w:hint="eastAsia"/>
              </w:rPr>
              <w:t>使用情况（完好与否）</w:t>
            </w:r>
          </w:p>
        </w:tc>
      </w:tr>
      <w:tr w14:paraId="3E02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46" w:type="dxa"/>
            <w:vAlign w:val="center"/>
          </w:tcPr>
          <w:p w14:paraId="240A45BD">
            <w:pPr>
              <w:jc w:val="center"/>
              <w:rPr>
                <w:rFonts w:hint="default" w:eastAsia="宋体"/>
                <w:lang w:val="en-US" w:eastAsia="zh-CN"/>
              </w:rPr>
            </w:pPr>
            <w:r>
              <w:rPr>
                <w:rFonts w:hint="eastAsia"/>
                <w:lang w:val="en-US" w:eastAsia="zh-CN"/>
              </w:rPr>
              <w:t>化学发光仪</w:t>
            </w:r>
          </w:p>
        </w:tc>
        <w:tc>
          <w:tcPr>
            <w:tcW w:w="897" w:type="dxa"/>
            <w:vAlign w:val="center"/>
          </w:tcPr>
          <w:p w14:paraId="2C3CB174">
            <w:pPr>
              <w:jc w:val="center"/>
            </w:pPr>
            <w:r>
              <w:rPr>
                <w:rFonts w:hint="eastAsia"/>
              </w:rPr>
              <w:t>1</w:t>
            </w:r>
          </w:p>
        </w:tc>
        <w:tc>
          <w:tcPr>
            <w:tcW w:w="6085" w:type="dxa"/>
            <w:gridSpan w:val="2"/>
            <w:vAlign w:val="center"/>
          </w:tcPr>
          <w:p w14:paraId="4EF61D73">
            <w:pPr>
              <w:jc w:val="center"/>
            </w:pPr>
            <w:r>
              <w:rPr>
                <w:rFonts w:hint="eastAsia"/>
              </w:rPr>
              <w:t>完好</w:t>
            </w:r>
          </w:p>
        </w:tc>
      </w:tr>
      <w:tr w14:paraId="418C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46" w:type="dxa"/>
            <w:vAlign w:val="center"/>
          </w:tcPr>
          <w:p w14:paraId="43D2C90B">
            <w:pPr>
              <w:jc w:val="center"/>
              <w:rPr>
                <w:rFonts w:hint="default" w:eastAsia="宋体"/>
                <w:lang w:val="en-US" w:eastAsia="zh-CN"/>
              </w:rPr>
            </w:pPr>
            <w:r>
              <w:rPr>
                <w:rFonts w:hint="eastAsia"/>
                <w:lang w:val="en-US" w:eastAsia="zh-CN"/>
              </w:rPr>
              <w:t>血球分析仪</w:t>
            </w:r>
          </w:p>
        </w:tc>
        <w:tc>
          <w:tcPr>
            <w:tcW w:w="897" w:type="dxa"/>
            <w:vAlign w:val="center"/>
          </w:tcPr>
          <w:p w14:paraId="6ADEED2A">
            <w:pPr>
              <w:jc w:val="center"/>
            </w:pPr>
            <w:r>
              <w:rPr>
                <w:rFonts w:hint="eastAsia"/>
              </w:rPr>
              <w:t>1</w:t>
            </w:r>
          </w:p>
        </w:tc>
        <w:tc>
          <w:tcPr>
            <w:tcW w:w="6085" w:type="dxa"/>
            <w:gridSpan w:val="2"/>
            <w:vAlign w:val="center"/>
          </w:tcPr>
          <w:p w14:paraId="053D2444">
            <w:pPr>
              <w:jc w:val="center"/>
            </w:pPr>
            <w:r>
              <w:rPr>
                <w:rFonts w:hint="eastAsia"/>
              </w:rPr>
              <w:t>完好</w:t>
            </w:r>
          </w:p>
        </w:tc>
      </w:tr>
      <w:tr w14:paraId="2065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46" w:type="dxa"/>
            <w:vAlign w:val="center"/>
          </w:tcPr>
          <w:p w14:paraId="389E13AA">
            <w:pPr>
              <w:jc w:val="center"/>
              <w:rPr>
                <w:rFonts w:hint="default" w:eastAsia="宋体"/>
                <w:lang w:val="en-US" w:eastAsia="zh-CN"/>
              </w:rPr>
            </w:pPr>
            <w:r>
              <w:rPr>
                <w:rFonts w:hint="eastAsia"/>
                <w:lang w:val="en-US" w:eastAsia="zh-CN"/>
              </w:rPr>
              <w:t>高速离心机（最大转速15000rpm）</w:t>
            </w:r>
          </w:p>
        </w:tc>
        <w:tc>
          <w:tcPr>
            <w:tcW w:w="897" w:type="dxa"/>
            <w:vAlign w:val="center"/>
          </w:tcPr>
          <w:p w14:paraId="53032798">
            <w:pPr>
              <w:jc w:val="center"/>
              <w:rPr>
                <w:rFonts w:hint="eastAsia" w:eastAsia="宋体"/>
                <w:lang w:val="en-US" w:eastAsia="zh-CN"/>
              </w:rPr>
            </w:pPr>
            <w:r>
              <w:rPr>
                <w:rFonts w:hint="eastAsia"/>
                <w:lang w:val="en-US" w:eastAsia="zh-CN"/>
              </w:rPr>
              <w:t>1</w:t>
            </w:r>
          </w:p>
        </w:tc>
        <w:tc>
          <w:tcPr>
            <w:tcW w:w="6085" w:type="dxa"/>
            <w:gridSpan w:val="2"/>
            <w:vAlign w:val="center"/>
          </w:tcPr>
          <w:p w14:paraId="20D883A8">
            <w:pPr>
              <w:jc w:val="center"/>
            </w:pPr>
            <w:r>
              <w:rPr>
                <w:rFonts w:hint="eastAsia"/>
              </w:rPr>
              <w:t>完好</w:t>
            </w:r>
          </w:p>
        </w:tc>
      </w:tr>
      <w:tr w14:paraId="6390B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46" w:type="dxa"/>
            <w:vAlign w:val="center"/>
          </w:tcPr>
          <w:p w14:paraId="45B0275F">
            <w:pPr>
              <w:jc w:val="center"/>
              <w:rPr>
                <w:rFonts w:hint="default" w:eastAsia="宋体"/>
                <w:lang w:val="en-US" w:eastAsia="zh-CN"/>
              </w:rPr>
            </w:pPr>
            <w:r>
              <w:rPr>
                <w:rFonts w:hint="eastAsia"/>
                <w:lang w:val="en-US" w:eastAsia="zh-CN"/>
              </w:rPr>
              <w:t>美国GE optima64排CT机</w:t>
            </w:r>
          </w:p>
        </w:tc>
        <w:tc>
          <w:tcPr>
            <w:tcW w:w="897" w:type="dxa"/>
            <w:vAlign w:val="center"/>
          </w:tcPr>
          <w:p w14:paraId="0CE75F68">
            <w:pPr>
              <w:jc w:val="center"/>
              <w:rPr>
                <w:rFonts w:hint="default" w:eastAsia="宋体"/>
                <w:lang w:val="en-US" w:eastAsia="zh-CN"/>
              </w:rPr>
            </w:pPr>
            <w:r>
              <w:rPr>
                <w:rFonts w:hint="eastAsia"/>
                <w:lang w:val="en-US" w:eastAsia="zh-CN"/>
              </w:rPr>
              <w:t>1</w:t>
            </w:r>
          </w:p>
        </w:tc>
        <w:tc>
          <w:tcPr>
            <w:tcW w:w="6085" w:type="dxa"/>
            <w:gridSpan w:val="2"/>
            <w:vAlign w:val="center"/>
          </w:tcPr>
          <w:p w14:paraId="69E17D95">
            <w:pPr>
              <w:jc w:val="center"/>
            </w:pPr>
            <w:r>
              <w:rPr>
                <w:rFonts w:hint="eastAsia"/>
              </w:rPr>
              <w:t>完好</w:t>
            </w:r>
          </w:p>
        </w:tc>
      </w:tr>
      <w:tr w14:paraId="0990B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46" w:type="dxa"/>
            <w:vAlign w:val="center"/>
          </w:tcPr>
          <w:p w14:paraId="6A3D2104">
            <w:pPr>
              <w:jc w:val="center"/>
              <w:rPr>
                <w:rFonts w:hint="default" w:eastAsia="宋体"/>
                <w:lang w:val="en-US" w:eastAsia="zh-CN"/>
              </w:rPr>
            </w:pPr>
          </w:p>
        </w:tc>
        <w:tc>
          <w:tcPr>
            <w:tcW w:w="897" w:type="dxa"/>
            <w:vAlign w:val="center"/>
          </w:tcPr>
          <w:p w14:paraId="4A2E9CA6">
            <w:pPr>
              <w:jc w:val="center"/>
              <w:rPr>
                <w:rFonts w:hint="eastAsia" w:eastAsia="宋体"/>
                <w:lang w:val="en-US" w:eastAsia="zh-CN"/>
              </w:rPr>
            </w:pPr>
          </w:p>
        </w:tc>
        <w:tc>
          <w:tcPr>
            <w:tcW w:w="6085" w:type="dxa"/>
            <w:gridSpan w:val="2"/>
            <w:vAlign w:val="center"/>
          </w:tcPr>
          <w:p w14:paraId="35747620">
            <w:pPr>
              <w:jc w:val="center"/>
            </w:pPr>
          </w:p>
        </w:tc>
      </w:tr>
      <w:tr w14:paraId="09E0C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2146" w:type="dxa"/>
            <w:vAlign w:val="center"/>
          </w:tcPr>
          <w:p w14:paraId="23BA6752">
            <w:pPr>
              <w:jc w:val="center"/>
            </w:pPr>
          </w:p>
        </w:tc>
        <w:tc>
          <w:tcPr>
            <w:tcW w:w="897" w:type="dxa"/>
            <w:vAlign w:val="center"/>
          </w:tcPr>
          <w:p w14:paraId="3F2FA8D0">
            <w:pPr>
              <w:jc w:val="center"/>
            </w:pPr>
          </w:p>
        </w:tc>
        <w:tc>
          <w:tcPr>
            <w:tcW w:w="6085" w:type="dxa"/>
            <w:gridSpan w:val="2"/>
            <w:vAlign w:val="center"/>
          </w:tcPr>
          <w:p w14:paraId="081FDBE8">
            <w:pPr>
              <w:jc w:val="center"/>
            </w:pPr>
          </w:p>
        </w:tc>
      </w:tr>
      <w:tr w14:paraId="2046B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46" w:type="dxa"/>
            <w:vAlign w:val="center"/>
          </w:tcPr>
          <w:p w14:paraId="07CC8E8A">
            <w:pPr>
              <w:jc w:val="center"/>
            </w:pPr>
          </w:p>
        </w:tc>
        <w:tc>
          <w:tcPr>
            <w:tcW w:w="897" w:type="dxa"/>
            <w:vAlign w:val="center"/>
          </w:tcPr>
          <w:p w14:paraId="69E67FB1">
            <w:pPr>
              <w:jc w:val="center"/>
            </w:pPr>
          </w:p>
        </w:tc>
        <w:tc>
          <w:tcPr>
            <w:tcW w:w="6085" w:type="dxa"/>
            <w:gridSpan w:val="2"/>
            <w:vAlign w:val="center"/>
          </w:tcPr>
          <w:p w14:paraId="5BEF8160">
            <w:pPr>
              <w:jc w:val="center"/>
            </w:pPr>
          </w:p>
        </w:tc>
      </w:tr>
      <w:tr w14:paraId="1324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46" w:type="dxa"/>
            <w:vAlign w:val="center"/>
          </w:tcPr>
          <w:p w14:paraId="6BCD7692">
            <w:pPr>
              <w:jc w:val="center"/>
            </w:pPr>
            <w:r>
              <w:rPr>
                <w:rFonts w:hint="eastAsia"/>
              </w:rPr>
              <w:t>实验动物名称</w:t>
            </w:r>
          </w:p>
        </w:tc>
        <w:tc>
          <w:tcPr>
            <w:tcW w:w="897" w:type="dxa"/>
            <w:vAlign w:val="center"/>
          </w:tcPr>
          <w:p w14:paraId="0E78262D">
            <w:pPr>
              <w:jc w:val="center"/>
            </w:pPr>
            <w:r>
              <w:rPr>
                <w:rFonts w:hint="eastAsia"/>
              </w:rPr>
              <w:t>来　源</w:t>
            </w:r>
          </w:p>
        </w:tc>
        <w:tc>
          <w:tcPr>
            <w:tcW w:w="2690" w:type="dxa"/>
            <w:vAlign w:val="center"/>
          </w:tcPr>
          <w:p w14:paraId="758F3C90">
            <w:pPr>
              <w:jc w:val="center"/>
            </w:pPr>
            <w:r>
              <w:rPr>
                <w:rFonts w:hint="eastAsia"/>
              </w:rPr>
              <w:t>品　　系</w:t>
            </w:r>
          </w:p>
        </w:tc>
        <w:tc>
          <w:tcPr>
            <w:tcW w:w="3395" w:type="dxa"/>
            <w:vAlign w:val="center"/>
          </w:tcPr>
          <w:p w14:paraId="48D33A8F">
            <w:pPr>
              <w:jc w:val="center"/>
              <w:rPr>
                <w:spacing w:val="44"/>
                <w:szCs w:val="21"/>
              </w:rPr>
            </w:pPr>
            <w:r>
              <w:rPr>
                <w:rFonts w:hint="eastAsia"/>
                <w:spacing w:val="44"/>
                <w:szCs w:val="21"/>
              </w:rPr>
              <w:t>发合格证单位</w:t>
            </w:r>
          </w:p>
        </w:tc>
      </w:tr>
      <w:tr w14:paraId="5CB2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0" w:hRule="atLeast"/>
        </w:trPr>
        <w:tc>
          <w:tcPr>
            <w:tcW w:w="9128" w:type="dxa"/>
            <w:gridSpan w:val="4"/>
            <w:vAlign w:val="center"/>
          </w:tcPr>
          <w:p w14:paraId="0C18EB0C">
            <w:pPr>
              <w:jc w:val="center"/>
              <w:rPr>
                <w:rFonts w:hint="default" w:eastAsia="宋体"/>
                <w:lang w:val="en-US" w:eastAsia="zh-CN"/>
              </w:rPr>
            </w:pPr>
            <w:r>
              <w:rPr>
                <w:rFonts w:hint="eastAsia"/>
                <w:lang w:val="en-US" w:eastAsia="zh-CN"/>
              </w:rPr>
              <w:t>本课题为临床样本研究,无需实验动物</w:t>
            </w:r>
          </w:p>
        </w:tc>
      </w:tr>
    </w:tbl>
    <w:p w14:paraId="412FA046">
      <w:pPr>
        <w:jc w:val="center"/>
        <w:rPr>
          <w:b/>
          <w:bCs/>
          <w:sz w:val="28"/>
        </w:rPr>
      </w:pPr>
      <w:r>
        <w:rPr>
          <w:rFonts w:hint="eastAsia"/>
          <w:b/>
          <w:bCs/>
          <w:sz w:val="28"/>
        </w:rPr>
        <w:t>十二、申请经费预算表</w:t>
      </w:r>
    </w:p>
    <w:tbl>
      <w:tblPr>
        <w:tblStyle w:val="4"/>
        <w:tblW w:w="921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6"/>
        <w:gridCol w:w="1584"/>
        <w:gridCol w:w="900"/>
        <w:gridCol w:w="2520"/>
        <w:gridCol w:w="2011"/>
      </w:tblGrid>
      <w:tr w14:paraId="4D8F5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3" w:hRule="atLeast"/>
        </w:trPr>
        <w:tc>
          <w:tcPr>
            <w:tcW w:w="2196" w:type="dxa"/>
            <w:vMerge w:val="restart"/>
            <w:vAlign w:val="center"/>
          </w:tcPr>
          <w:p w14:paraId="17D195AD">
            <w:pPr>
              <w:spacing w:line="400" w:lineRule="exact"/>
              <w:jc w:val="center"/>
              <w:rPr>
                <w:spacing w:val="26"/>
                <w:szCs w:val="21"/>
              </w:rPr>
            </w:pPr>
          </w:p>
          <w:p w14:paraId="42FE89E9">
            <w:pPr>
              <w:spacing w:line="400" w:lineRule="exact"/>
              <w:jc w:val="center"/>
            </w:pPr>
            <w:r>
              <w:rPr>
                <w:rFonts w:hint="eastAsia"/>
                <w:spacing w:val="26"/>
                <w:szCs w:val="21"/>
              </w:rPr>
              <w:t>申请经费总额</w:t>
            </w:r>
          </w:p>
          <w:p w14:paraId="5C41AC72">
            <w:pPr>
              <w:spacing w:line="400" w:lineRule="exact"/>
              <w:jc w:val="center"/>
            </w:pPr>
            <w:r>
              <w:rPr>
                <w:rFonts w:hint="eastAsia"/>
              </w:rPr>
              <w:t>（</w:t>
            </w:r>
            <w:r>
              <w:rPr>
                <w:rFonts w:hint="eastAsia"/>
                <w:lang w:val="en-US" w:eastAsia="zh-CN"/>
              </w:rPr>
              <w:t>1</w:t>
            </w:r>
            <w:r>
              <w:rPr>
                <w:rFonts w:hint="eastAsia"/>
              </w:rPr>
              <w:t>万元）</w:t>
            </w:r>
          </w:p>
          <w:p w14:paraId="46E8D483">
            <w:pPr>
              <w:spacing w:line="400" w:lineRule="exact"/>
              <w:jc w:val="right"/>
            </w:pPr>
          </w:p>
        </w:tc>
        <w:tc>
          <w:tcPr>
            <w:tcW w:w="7015" w:type="dxa"/>
            <w:gridSpan w:val="4"/>
            <w:vAlign w:val="center"/>
          </w:tcPr>
          <w:p w14:paraId="69A3D0AE">
            <w:pPr>
              <w:spacing w:line="400" w:lineRule="exact"/>
              <w:jc w:val="center"/>
            </w:pPr>
            <w:r>
              <w:rPr>
                <w:rFonts w:hint="eastAsia"/>
              </w:rPr>
              <w:t>其　　中</w:t>
            </w:r>
          </w:p>
        </w:tc>
      </w:tr>
      <w:tr w14:paraId="18A01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5" w:hRule="atLeast"/>
        </w:trPr>
        <w:tc>
          <w:tcPr>
            <w:tcW w:w="2196" w:type="dxa"/>
            <w:vMerge w:val="continue"/>
          </w:tcPr>
          <w:p w14:paraId="604970E4">
            <w:pPr>
              <w:spacing w:line="400" w:lineRule="exact"/>
            </w:pPr>
          </w:p>
        </w:tc>
        <w:tc>
          <w:tcPr>
            <w:tcW w:w="2484" w:type="dxa"/>
            <w:gridSpan w:val="2"/>
            <w:vAlign w:val="center"/>
          </w:tcPr>
          <w:p w14:paraId="784F73EF">
            <w:pPr>
              <w:spacing w:line="400" w:lineRule="exact"/>
              <w:jc w:val="both"/>
              <w:rPr>
                <w:rFonts w:hint="default" w:eastAsia="宋体"/>
                <w:lang w:val="en-US" w:eastAsia="zh-CN"/>
              </w:rPr>
            </w:pPr>
            <w:r>
              <w:rPr>
                <w:rFonts w:hint="eastAsia"/>
                <w:lang w:val="en-US" w:eastAsia="zh-CN"/>
              </w:rPr>
              <w:t>2026</w:t>
            </w:r>
            <w:r>
              <w:rPr>
                <w:rFonts w:hint="eastAsia"/>
              </w:rPr>
              <w:t>年</w:t>
            </w:r>
            <w:r>
              <w:rPr>
                <w:rFonts w:hint="eastAsia"/>
                <w:lang w:val="en-US" w:eastAsia="zh-CN"/>
              </w:rPr>
              <w:t>4月-2027年4月</w:t>
            </w:r>
          </w:p>
        </w:tc>
        <w:tc>
          <w:tcPr>
            <w:tcW w:w="2520" w:type="dxa"/>
            <w:vAlign w:val="center"/>
          </w:tcPr>
          <w:p w14:paraId="4DEA3665">
            <w:pPr>
              <w:spacing w:line="400" w:lineRule="exact"/>
              <w:jc w:val="right"/>
              <w:rPr>
                <w:rFonts w:hint="default" w:eastAsia="宋体"/>
                <w:lang w:val="en-US" w:eastAsia="zh-CN"/>
              </w:rPr>
            </w:pPr>
            <w:r>
              <w:rPr>
                <w:rFonts w:hint="eastAsia"/>
                <w:lang w:val="en-US" w:eastAsia="zh-CN"/>
              </w:rPr>
              <w:t>2027年5月-2027</w:t>
            </w:r>
            <w:r>
              <w:rPr>
                <w:rFonts w:hint="eastAsia"/>
              </w:rPr>
              <w:t>年</w:t>
            </w:r>
            <w:r>
              <w:rPr>
                <w:rFonts w:hint="eastAsia"/>
                <w:lang w:val="en-US" w:eastAsia="zh-CN"/>
              </w:rPr>
              <w:t>8月</w:t>
            </w:r>
          </w:p>
        </w:tc>
        <w:tc>
          <w:tcPr>
            <w:tcW w:w="2011" w:type="dxa"/>
            <w:vAlign w:val="center"/>
          </w:tcPr>
          <w:p w14:paraId="4732953E">
            <w:pPr>
              <w:spacing w:line="400" w:lineRule="exact"/>
              <w:jc w:val="both"/>
              <w:rPr>
                <w:rFonts w:hint="default" w:eastAsia="宋体"/>
                <w:lang w:val="en-US" w:eastAsia="zh-CN"/>
              </w:rPr>
            </w:pPr>
            <w:r>
              <w:rPr>
                <w:rFonts w:hint="eastAsia"/>
                <w:lang w:val="en-US" w:eastAsia="zh-CN"/>
              </w:rPr>
              <w:t>2027</w:t>
            </w:r>
            <w:r>
              <w:rPr>
                <w:rFonts w:hint="eastAsia"/>
              </w:rPr>
              <w:t>年</w:t>
            </w:r>
            <w:r>
              <w:rPr>
                <w:rFonts w:hint="eastAsia"/>
                <w:lang w:val="en-US" w:eastAsia="zh-CN"/>
              </w:rPr>
              <w:t>9月-2027年12月</w:t>
            </w:r>
          </w:p>
        </w:tc>
      </w:tr>
      <w:tr w14:paraId="4EC3C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2196" w:type="dxa"/>
            <w:vMerge w:val="continue"/>
          </w:tcPr>
          <w:p w14:paraId="5CA7B182">
            <w:pPr>
              <w:spacing w:line="400" w:lineRule="exact"/>
            </w:pPr>
          </w:p>
        </w:tc>
        <w:tc>
          <w:tcPr>
            <w:tcW w:w="2484" w:type="dxa"/>
            <w:gridSpan w:val="2"/>
          </w:tcPr>
          <w:p w14:paraId="6FF6072C">
            <w:pPr>
              <w:spacing w:line="400" w:lineRule="exact"/>
              <w:jc w:val="center"/>
              <w:rPr>
                <w:rFonts w:hint="default" w:eastAsia="宋体"/>
                <w:lang w:val="en-US" w:eastAsia="zh-CN"/>
              </w:rPr>
            </w:pPr>
            <w:r>
              <w:rPr>
                <w:rFonts w:hint="eastAsia"/>
                <w:lang w:val="en-US" w:eastAsia="zh-CN"/>
              </w:rPr>
              <w:t>0.6万元</w:t>
            </w:r>
          </w:p>
        </w:tc>
        <w:tc>
          <w:tcPr>
            <w:tcW w:w="2520" w:type="dxa"/>
          </w:tcPr>
          <w:p w14:paraId="70582B33">
            <w:pPr>
              <w:spacing w:line="400" w:lineRule="exact"/>
              <w:jc w:val="center"/>
              <w:rPr>
                <w:rFonts w:hint="default" w:eastAsia="宋体"/>
                <w:lang w:val="en-US" w:eastAsia="zh-CN"/>
              </w:rPr>
            </w:pPr>
            <w:r>
              <w:rPr>
                <w:rFonts w:hint="eastAsia"/>
                <w:lang w:val="en-US" w:eastAsia="zh-CN"/>
              </w:rPr>
              <w:t>0.2万元</w:t>
            </w:r>
          </w:p>
        </w:tc>
        <w:tc>
          <w:tcPr>
            <w:tcW w:w="2011" w:type="dxa"/>
          </w:tcPr>
          <w:p w14:paraId="746C33F6">
            <w:pPr>
              <w:spacing w:line="400" w:lineRule="exact"/>
              <w:jc w:val="center"/>
            </w:pPr>
            <w:r>
              <w:rPr>
                <w:rFonts w:hint="eastAsia"/>
                <w:lang w:val="en-US" w:eastAsia="zh-CN"/>
              </w:rPr>
              <w:t>0.2万元</w:t>
            </w:r>
          </w:p>
        </w:tc>
      </w:tr>
      <w:tr w14:paraId="603CB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2196" w:type="dxa"/>
            <w:vAlign w:val="center"/>
          </w:tcPr>
          <w:p w14:paraId="3C660CFB">
            <w:pPr>
              <w:spacing w:line="400" w:lineRule="exact"/>
              <w:jc w:val="center"/>
            </w:pPr>
          </w:p>
          <w:p w14:paraId="01FAD9E4">
            <w:pPr>
              <w:spacing w:line="400" w:lineRule="exact"/>
              <w:jc w:val="center"/>
            </w:pPr>
            <w:r>
              <w:rPr>
                <w:rFonts w:hint="eastAsia"/>
              </w:rPr>
              <w:t>其它经费来源及金额</w:t>
            </w:r>
          </w:p>
          <w:p w14:paraId="59E51205">
            <w:pPr>
              <w:spacing w:line="400" w:lineRule="exact"/>
              <w:jc w:val="center"/>
            </w:pPr>
          </w:p>
        </w:tc>
        <w:tc>
          <w:tcPr>
            <w:tcW w:w="7015" w:type="dxa"/>
            <w:gridSpan w:val="4"/>
          </w:tcPr>
          <w:p w14:paraId="7C8B60B2">
            <w:pPr>
              <w:spacing w:line="400" w:lineRule="exact"/>
              <w:jc w:val="center"/>
              <w:rPr>
                <w:rFonts w:hint="eastAsia" w:eastAsia="宋体"/>
                <w:lang w:val="en-US" w:eastAsia="zh-CN"/>
              </w:rPr>
            </w:pPr>
            <w:r>
              <w:rPr>
                <w:rFonts w:hint="eastAsia"/>
                <w:lang w:val="en-US" w:eastAsia="zh-CN"/>
              </w:rPr>
              <w:t>无</w:t>
            </w:r>
          </w:p>
        </w:tc>
      </w:tr>
      <w:tr w14:paraId="55B0D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2196" w:type="dxa"/>
            <w:vAlign w:val="center"/>
          </w:tcPr>
          <w:p w14:paraId="7D68E525">
            <w:pPr>
              <w:spacing w:line="400" w:lineRule="exact"/>
              <w:jc w:val="center"/>
              <w:rPr>
                <w:spacing w:val="40"/>
                <w:szCs w:val="21"/>
              </w:rPr>
            </w:pPr>
            <w:r>
              <w:rPr>
                <w:rFonts w:hint="eastAsia"/>
                <w:spacing w:val="40"/>
                <w:szCs w:val="21"/>
              </w:rPr>
              <w:t>支出项目</w:t>
            </w:r>
          </w:p>
        </w:tc>
        <w:tc>
          <w:tcPr>
            <w:tcW w:w="1584" w:type="dxa"/>
            <w:vAlign w:val="center"/>
          </w:tcPr>
          <w:p w14:paraId="479E75D5">
            <w:pPr>
              <w:spacing w:line="400" w:lineRule="exact"/>
              <w:jc w:val="center"/>
            </w:pPr>
            <w:r>
              <w:rPr>
                <w:rFonts w:hint="eastAsia"/>
              </w:rPr>
              <w:t>金额(万元)</w:t>
            </w:r>
          </w:p>
        </w:tc>
        <w:tc>
          <w:tcPr>
            <w:tcW w:w="5431" w:type="dxa"/>
            <w:gridSpan w:val="3"/>
            <w:vAlign w:val="center"/>
          </w:tcPr>
          <w:p w14:paraId="3F1BF3BD">
            <w:pPr>
              <w:spacing w:line="400" w:lineRule="exact"/>
              <w:jc w:val="center"/>
              <w:rPr>
                <w:spacing w:val="60"/>
                <w:szCs w:val="21"/>
              </w:rPr>
            </w:pPr>
            <w:r>
              <w:rPr>
                <w:rFonts w:hint="eastAsia"/>
                <w:spacing w:val="60"/>
                <w:szCs w:val="21"/>
              </w:rPr>
              <w:t>计算根据及理由</w:t>
            </w:r>
          </w:p>
        </w:tc>
      </w:tr>
      <w:tr w14:paraId="7419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2196" w:type="dxa"/>
          </w:tcPr>
          <w:p w14:paraId="2B5738EB">
            <w:pPr>
              <w:jc w:val="center"/>
            </w:pPr>
            <w:r>
              <w:rPr>
                <w:rFonts w:hint="eastAsia"/>
                <w:lang w:val="en-US" w:eastAsia="zh-CN"/>
              </w:rPr>
              <w:t>收集资料</w:t>
            </w:r>
          </w:p>
        </w:tc>
        <w:tc>
          <w:tcPr>
            <w:tcW w:w="1584" w:type="dxa"/>
          </w:tcPr>
          <w:p w14:paraId="6C256AD9">
            <w:pPr>
              <w:jc w:val="center"/>
              <w:rPr>
                <w:rFonts w:hint="default" w:eastAsia="宋体"/>
                <w:lang w:val="en-US" w:eastAsia="zh-CN"/>
              </w:rPr>
            </w:pPr>
            <w:r>
              <w:rPr>
                <w:rFonts w:hint="eastAsia"/>
                <w:lang w:val="en-US" w:eastAsia="zh-CN"/>
              </w:rPr>
              <w:t>0.6</w:t>
            </w:r>
          </w:p>
        </w:tc>
        <w:tc>
          <w:tcPr>
            <w:tcW w:w="5431" w:type="dxa"/>
            <w:gridSpan w:val="3"/>
          </w:tcPr>
          <w:p w14:paraId="120E3B21">
            <w:r>
              <w:rPr>
                <w:rFonts w:hint="eastAsia"/>
              </w:rPr>
              <w:t xml:space="preserve"> </w:t>
            </w:r>
          </w:p>
        </w:tc>
      </w:tr>
      <w:tr w14:paraId="57A1A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2196" w:type="dxa"/>
          </w:tcPr>
          <w:p w14:paraId="2D0D85E6">
            <w:pPr>
              <w:jc w:val="center"/>
              <w:rPr>
                <w:rFonts w:hint="eastAsia" w:eastAsia="宋体"/>
                <w:lang w:val="en-US" w:eastAsia="zh-CN"/>
              </w:rPr>
            </w:pPr>
            <w:r>
              <w:rPr>
                <w:rFonts w:hint="eastAsia"/>
                <w:lang w:val="en-US" w:eastAsia="zh-CN"/>
              </w:rPr>
              <w:t>学术会议</w:t>
            </w:r>
          </w:p>
        </w:tc>
        <w:tc>
          <w:tcPr>
            <w:tcW w:w="1584" w:type="dxa"/>
          </w:tcPr>
          <w:p w14:paraId="53521852">
            <w:pPr>
              <w:jc w:val="center"/>
              <w:rPr>
                <w:rFonts w:hint="default"/>
                <w:lang w:val="en-US" w:eastAsia="zh-CN"/>
              </w:rPr>
            </w:pPr>
            <w:r>
              <w:rPr>
                <w:rFonts w:hint="eastAsia"/>
                <w:lang w:val="en-US" w:eastAsia="zh-CN"/>
              </w:rPr>
              <w:t>0.1</w:t>
            </w:r>
          </w:p>
        </w:tc>
        <w:tc>
          <w:tcPr>
            <w:tcW w:w="5431" w:type="dxa"/>
            <w:gridSpan w:val="3"/>
          </w:tcPr>
          <w:p w14:paraId="17E3929F">
            <w:pPr>
              <w:rPr>
                <w:rFonts w:hint="eastAsia"/>
                <w:lang w:eastAsia="zh-CN"/>
              </w:rPr>
            </w:pPr>
          </w:p>
        </w:tc>
      </w:tr>
      <w:tr w14:paraId="063F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196" w:type="dxa"/>
          </w:tcPr>
          <w:p w14:paraId="12F7D86E">
            <w:pPr>
              <w:rPr>
                <w:rFonts w:hint="default" w:eastAsia="宋体"/>
                <w:lang w:val="en-US" w:eastAsia="zh-CN"/>
              </w:rPr>
            </w:pPr>
            <w:r>
              <w:rPr>
                <w:rFonts w:hint="eastAsia"/>
                <w:lang w:eastAsia="zh-CN"/>
              </w:rPr>
              <w:t>数据分析与论文发表</w:t>
            </w:r>
          </w:p>
        </w:tc>
        <w:tc>
          <w:tcPr>
            <w:tcW w:w="1584" w:type="dxa"/>
          </w:tcPr>
          <w:p w14:paraId="5E115119">
            <w:pPr>
              <w:jc w:val="center"/>
              <w:rPr>
                <w:rFonts w:hint="default" w:eastAsia="宋体"/>
                <w:lang w:val="en-US" w:eastAsia="zh-CN"/>
              </w:rPr>
            </w:pPr>
            <w:r>
              <w:rPr>
                <w:rFonts w:hint="eastAsia"/>
                <w:lang w:val="en-US" w:eastAsia="zh-CN"/>
              </w:rPr>
              <w:t>0.3</w:t>
            </w:r>
          </w:p>
        </w:tc>
        <w:tc>
          <w:tcPr>
            <w:tcW w:w="5431" w:type="dxa"/>
            <w:gridSpan w:val="3"/>
          </w:tcPr>
          <w:p w14:paraId="3D839555">
            <w:pPr>
              <w:rPr>
                <w:rFonts w:hint="default" w:eastAsia="宋体"/>
                <w:lang w:val="en-US" w:eastAsia="zh-CN"/>
              </w:rPr>
            </w:pPr>
          </w:p>
        </w:tc>
      </w:tr>
      <w:tr w14:paraId="7F08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196" w:type="dxa"/>
          </w:tcPr>
          <w:p w14:paraId="2977A9C4">
            <w:pPr>
              <w:jc w:val="center"/>
              <w:rPr>
                <w:rFonts w:hint="eastAsia" w:eastAsia="宋体"/>
                <w:lang w:eastAsia="zh-CN"/>
              </w:rPr>
            </w:pPr>
          </w:p>
        </w:tc>
        <w:tc>
          <w:tcPr>
            <w:tcW w:w="1584" w:type="dxa"/>
          </w:tcPr>
          <w:p w14:paraId="5E3DD66F">
            <w:pPr>
              <w:jc w:val="center"/>
              <w:rPr>
                <w:rFonts w:hint="default" w:eastAsia="宋体"/>
                <w:lang w:val="en-US" w:eastAsia="zh-CN"/>
              </w:rPr>
            </w:pPr>
          </w:p>
        </w:tc>
        <w:tc>
          <w:tcPr>
            <w:tcW w:w="5431" w:type="dxa"/>
            <w:gridSpan w:val="3"/>
          </w:tcPr>
          <w:p w14:paraId="7F665B15"/>
        </w:tc>
      </w:tr>
      <w:tr w14:paraId="07E4D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196" w:type="dxa"/>
          </w:tcPr>
          <w:p w14:paraId="273572B7"/>
          <w:p w14:paraId="0FB3E534"/>
        </w:tc>
        <w:tc>
          <w:tcPr>
            <w:tcW w:w="1584" w:type="dxa"/>
          </w:tcPr>
          <w:p w14:paraId="6183516E"/>
        </w:tc>
        <w:tc>
          <w:tcPr>
            <w:tcW w:w="5431" w:type="dxa"/>
            <w:gridSpan w:val="3"/>
          </w:tcPr>
          <w:p w14:paraId="5972A5FA"/>
        </w:tc>
      </w:tr>
      <w:tr w14:paraId="6E411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196" w:type="dxa"/>
          </w:tcPr>
          <w:p w14:paraId="7C7C32B1"/>
          <w:p w14:paraId="26757667"/>
        </w:tc>
        <w:tc>
          <w:tcPr>
            <w:tcW w:w="1584" w:type="dxa"/>
          </w:tcPr>
          <w:p w14:paraId="4BA537B1"/>
        </w:tc>
        <w:tc>
          <w:tcPr>
            <w:tcW w:w="5431" w:type="dxa"/>
            <w:gridSpan w:val="3"/>
          </w:tcPr>
          <w:p w14:paraId="2FAD5A3F"/>
        </w:tc>
      </w:tr>
      <w:tr w14:paraId="052DE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196" w:type="dxa"/>
          </w:tcPr>
          <w:p w14:paraId="1DDBC804"/>
          <w:p w14:paraId="4877AB2E"/>
        </w:tc>
        <w:tc>
          <w:tcPr>
            <w:tcW w:w="1584" w:type="dxa"/>
          </w:tcPr>
          <w:p w14:paraId="2CEEF26A"/>
        </w:tc>
        <w:tc>
          <w:tcPr>
            <w:tcW w:w="5431" w:type="dxa"/>
            <w:gridSpan w:val="3"/>
          </w:tcPr>
          <w:p w14:paraId="34B01000"/>
        </w:tc>
      </w:tr>
      <w:tr w14:paraId="6061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196" w:type="dxa"/>
          </w:tcPr>
          <w:p w14:paraId="7847D687"/>
          <w:p w14:paraId="0A78A9A7"/>
        </w:tc>
        <w:tc>
          <w:tcPr>
            <w:tcW w:w="1584" w:type="dxa"/>
          </w:tcPr>
          <w:p w14:paraId="7E0C6CB6"/>
        </w:tc>
        <w:tc>
          <w:tcPr>
            <w:tcW w:w="5431" w:type="dxa"/>
            <w:gridSpan w:val="3"/>
          </w:tcPr>
          <w:p w14:paraId="439F6EA5"/>
        </w:tc>
      </w:tr>
      <w:tr w14:paraId="4D63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196" w:type="dxa"/>
          </w:tcPr>
          <w:p w14:paraId="4A74CE3B"/>
          <w:p w14:paraId="60B57647"/>
        </w:tc>
        <w:tc>
          <w:tcPr>
            <w:tcW w:w="1584" w:type="dxa"/>
          </w:tcPr>
          <w:p w14:paraId="5F9544C2"/>
        </w:tc>
        <w:tc>
          <w:tcPr>
            <w:tcW w:w="5431" w:type="dxa"/>
            <w:gridSpan w:val="3"/>
          </w:tcPr>
          <w:p w14:paraId="5DC76D27"/>
        </w:tc>
      </w:tr>
      <w:tr w14:paraId="51D85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196" w:type="dxa"/>
          </w:tcPr>
          <w:p w14:paraId="0DBD5081"/>
          <w:p w14:paraId="08F5757A"/>
        </w:tc>
        <w:tc>
          <w:tcPr>
            <w:tcW w:w="1584" w:type="dxa"/>
          </w:tcPr>
          <w:p w14:paraId="3D659821"/>
        </w:tc>
        <w:tc>
          <w:tcPr>
            <w:tcW w:w="5431" w:type="dxa"/>
            <w:gridSpan w:val="3"/>
          </w:tcPr>
          <w:p w14:paraId="4A8A907A"/>
        </w:tc>
      </w:tr>
      <w:tr w14:paraId="4DA1C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2196" w:type="dxa"/>
          </w:tcPr>
          <w:p w14:paraId="537B2498">
            <w:pPr>
              <w:jc w:val="center"/>
            </w:pPr>
            <w:r>
              <w:rPr>
                <w:rFonts w:hint="eastAsia"/>
              </w:rPr>
              <w:t>总    计</w:t>
            </w:r>
          </w:p>
          <w:p w14:paraId="540DA48C"/>
        </w:tc>
        <w:tc>
          <w:tcPr>
            <w:tcW w:w="1584" w:type="dxa"/>
          </w:tcPr>
          <w:p w14:paraId="64FEB262">
            <w:pPr>
              <w:jc w:val="center"/>
              <w:rPr>
                <w:rFonts w:hint="eastAsia" w:eastAsia="宋体"/>
                <w:lang w:val="en-US" w:eastAsia="zh-CN"/>
              </w:rPr>
            </w:pPr>
            <w:r>
              <w:rPr>
                <w:rFonts w:hint="eastAsia"/>
                <w:lang w:val="en-US" w:eastAsia="zh-CN"/>
              </w:rPr>
              <w:t>1</w:t>
            </w:r>
          </w:p>
        </w:tc>
        <w:tc>
          <w:tcPr>
            <w:tcW w:w="5431" w:type="dxa"/>
            <w:gridSpan w:val="3"/>
          </w:tcPr>
          <w:p w14:paraId="51D15E6A"/>
        </w:tc>
      </w:tr>
      <w:tr w14:paraId="06FC7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9" w:hRule="atLeast"/>
        </w:trPr>
        <w:tc>
          <w:tcPr>
            <w:tcW w:w="9211" w:type="dxa"/>
            <w:gridSpan w:val="5"/>
            <w:vAlign w:val="center"/>
          </w:tcPr>
          <w:p w14:paraId="6FEAD47B">
            <w:pPr>
              <w:ind w:left="420" w:leftChars="200" w:right="420" w:rightChars="200"/>
            </w:pPr>
            <w:r>
              <w:rPr>
                <w:rFonts w:hint="eastAsia"/>
              </w:rPr>
              <w:t>科技计划课题经费的开支范围为：</w:t>
            </w:r>
          </w:p>
          <w:p w14:paraId="167FAC38">
            <w:pPr>
              <w:ind w:left="420" w:leftChars="200" w:right="420" w:rightChars="200"/>
            </w:pPr>
            <w:r>
              <w:rPr>
                <w:rFonts w:hint="eastAsia"/>
              </w:rPr>
              <w:t>1..实验材料（包括化学试剂、药品、标准品等）；</w:t>
            </w:r>
          </w:p>
          <w:p w14:paraId="38645AA5">
            <w:pPr>
              <w:ind w:left="420" w:right="420" w:rightChars="200"/>
            </w:pPr>
            <w:r>
              <w:rPr>
                <w:rFonts w:hint="eastAsia"/>
              </w:rPr>
              <w:t>2..加工、测试、计算、情报检索和临床验证；</w:t>
            </w:r>
          </w:p>
          <w:p w14:paraId="4167FBC0">
            <w:pPr>
              <w:ind w:left="420" w:right="420" w:rightChars="200"/>
            </w:pPr>
            <w:r>
              <w:rPr>
                <w:rFonts w:hint="eastAsia"/>
              </w:rPr>
              <w:t>3.资料、调研及参加与本课题直接有关并且必要的学术会议。</w:t>
            </w:r>
          </w:p>
        </w:tc>
      </w:tr>
    </w:tbl>
    <w:p w14:paraId="464E05AC">
      <w:pPr>
        <w:widowControl/>
        <w:spacing w:line="520" w:lineRule="exact"/>
        <w:rPr>
          <w:rFonts w:ascii="宋体" w:hAnsi="宋体"/>
          <w:b/>
          <w:bCs/>
          <w:sz w:val="44"/>
          <w:szCs w:val="44"/>
        </w:rPr>
      </w:pPr>
    </w:p>
    <w:sectPr>
      <w:pgSz w:w="11906" w:h="16838"/>
      <w:pgMar w:top="1440" w:right="1417" w:bottom="1440"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NiNmNkZGFmZjMyNWQzY2ViZjI0YjI1NDYyYzE1NDEifQ=="/>
  </w:docVars>
  <w:rsids>
    <w:rsidRoot w:val="004B57DA"/>
    <w:rsid w:val="003A62AE"/>
    <w:rsid w:val="003D3462"/>
    <w:rsid w:val="004B57DA"/>
    <w:rsid w:val="00526D4C"/>
    <w:rsid w:val="00773961"/>
    <w:rsid w:val="00AB4E0D"/>
    <w:rsid w:val="00BB3F86"/>
    <w:rsid w:val="01CC1A40"/>
    <w:rsid w:val="02684B77"/>
    <w:rsid w:val="02F76254"/>
    <w:rsid w:val="041542BE"/>
    <w:rsid w:val="04702E4C"/>
    <w:rsid w:val="049B7F80"/>
    <w:rsid w:val="04C2719A"/>
    <w:rsid w:val="06616D34"/>
    <w:rsid w:val="06B601B2"/>
    <w:rsid w:val="0785336E"/>
    <w:rsid w:val="07E73DDC"/>
    <w:rsid w:val="08FE6E96"/>
    <w:rsid w:val="09946352"/>
    <w:rsid w:val="0A0029F3"/>
    <w:rsid w:val="0B2B0988"/>
    <w:rsid w:val="0B5A3DA9"/>
    <w:rsid w:val="0B8C34FA"/>
    <w:rsid w:val="0C350291"/>
    <w:rsid w:val="0D2D53C3"/>
    <w:rsid w:val="0DA85D29"/>
    <w:rsid w:val="107F6286"/>
    <w:rsid w:val="11196434"/>
    <w:rsid w:val="11811CAC"/>
    <w:rsid w:val="12EC16B0"/>
    <w:rsid w:val="13B56F4A"/>
    <w:rsid w:val="14165AC1"/>
    <w:rsid w:val="14445DDB"/>
    <w:rsid w:val="14967B87"/>
    <w:rsid w:val="16810BF3"/>
    <w:rsid w:val="19710C7C"/>
    <w:rsid w:val="1A4F6B1C"/>
    <w:rsid w:val="1ACC1784"/>
    <w:rsid w:val="1BA2603C"/>
    <w:rsid w:val="1F035C98"/>
    <w:rsid w:val="1F2B20AA"/>
    <w:rsid w:val="21AE4197"/>
    <w:rsid w:val="25300011"/>
    <w:rsid w:val="28413725"/>
    <w:rsid w:val="28B77988"/>
    <w:rsid w:val="2A2070AE"/>
    <w:rsid w:val="2AC531A9"/>
    <w:rsid w:val="2B3D193C"/>
    <w:rsid w:val="2C4C7F78"/>
    <w:rsid w:val="2C7566AC"/>
    <w:rsid w:val="2E8F532F"/>
    <w:rsid w:val="2EB42CE0"/>
    <w:rsid w:val="2F8D7D93"/>
    <w:rsid w:val="309A2FCC"/>
    <w:rsid w:val="31F5620E"/>
    <w:rsid w:val="320A787E"/>
    <w:rsid w:val="33631427"/>
    <w:rsid w:val="33D36332"/>
    <w:rsid w:val="354D330A"/>
    <w:rsid w:val="3619454C"/>
    <w:rsid w:val="36330C39"/>
    <w:rsid w:val="39FA605A"/>
    <w:rsid w:val="3AFE3F8F"/>
    <w:rsid w:val="3B9276B2"/>
    <w:rsid w:val="3C654B5F"/>
    <w:rsid w:val="3F277FDF"/>
    <w:rsid w:val="3FAA7756"/>
    <w:rsid w:val="3FEA7497"/>
    <w:rsid w:val="43B835F7"/>
    <w:rsid w:val="43C63D90"/>
    <w:rsid w:val="43CE2E1A"/>
    <w:rsid w:val="461C3792"/>
    <w:rsid w:val="4CCA298F"/>
    <w:rsid w:val="4E581D47"/>
    <w:rsid w:val="51053BF3"/>
    <w:rsid w:val="53F233A6"/>
    <w:rsid w:val="54D24E86"/>
    <w:rsid w:val="56246DA9"/>
    <w:rsid w:val="595507AF"/>
    <w:rsid w:val="59614D1E"/>
    <w:rsid w:val="5A4E1134"/>
    <w:rsid w:val="5D556EAE"/>
    <w:rsid w:val="5EA57860"/>
    <w:rsid w:val="5EC664B9"/>
    <w:rsid w:val="5F1271C1"/>
    <w:rsid w:val="5F483193"/>
    <w:rsid w:val="608821BB"/>
    <w:rsid w:val="60A1152D"/>
    <w:rsid w:val="60C27724"/>
    <w:rsid w:val="64FA2BC0"/>
    <w:rsid w:val="650D2572"/>
    <w:rsid w:val="676F43EC"/>
    <w:rsid w:val="67A5329E"/>
    <w:rsid w:val="68A54EB8"/>
    <w:rsid w:val="691B1DE1"/>
    <w:rsid w:val="6CFB6B55"/>
    <w:rsid w:val="70877D29"/>
    <w:rsid w:val="71082A4B"/>
    <w:rsid w:val="72A440E4"/>
    <w:rsid w:val="73AC301D"/>
    <w:rsid w:val="749018A2"/>
    <w:rsid w:val="74B53F65"/>
    <w:rsid w:val="762F4680"/>
    <w:rsid w:val="770E2F05"/>
    <w:rsid w:val="776C0F5A"/>
    <w:rsid w:val="788D02C0"/>
    <w:rsid w:val="7AB462F9"/>
    <w:rsid w:val="7CC50CA7"/>
    <w:rsid w:val="7ED06D3F"/>
    <w:rsid w:val="7F8E4C30"/>
    <w:rsid w:val="7FA25A1E"/>
    <w:rsid w:val="7FE44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2"/>
    <w:basedOn w:val="1"/>
    <w:next w:val="1"/>
    <w:qFormat/>
    <w:uiPriority w:val="0"/>
    <w:pPr>
      <w:spacing w:beforeAutospacing="1" w:afterAutospacing="1"/>
      <w:jc w:val="left"/>
      <w:outlineLvl w:val="1"/>
    </w:pPr>
    <w:rPr>
      <w:rFonts w:hint="eastAsia" w:ascii="宋体" w:hAnsi="宋体"/>
      <w:b/>
      <w:bCs/>
      <w:kern w:val="0"/>
      <w:sz w:val="36"/>
      <w:szCs w:val="36"/>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qFormat/>
    <w:uiPriority w:val="0"/>
    <w:pPr>
      <w:spacing w:beforeAutospacing="1" w:afterAutospacing="1"/>
      <w:jc w:val="left"/>
    </w:pPr>
    <w:rPr>
      <w:kern w:val="0"/>
      <w:sz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3126</Words>
  <Characters>4245</Characters>
  <Lines>57</Lines>
  <Paragraphs>16</Paragraphs>
  <TotalTime>46</TotalTime>
  <ScaleCrop>false</ScaleCrop>
  <LinksUpToDate>false</LinksUpToDate>
  <CharactersWithSpaces>4476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2025-03-04T03:14:00Z</dcterms:created>
  <dc:creator>WPS_251646921</dc:creator>
  <cp:lastModifiedBy>付亮</cp:lastModifiedBy>
  <dcterms:modified xsi:type="dcterms:W3CDTF">2026-03-25T04:14:56Z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CE8E1C9C8EDE4A56B5D47733093F2521_13</vt:lpwstr>
  </property>
  <property fmtid="{D5CDD505-2E9C-101B-9397-08002B2CF9AE}" pid="4" name="KSOTemplateDocerSaveRecord">
    <vt:lpwstr>eyJoZGlkIjoiZGQxYWVjOGUyMzZjNWRhOTA0ZjJhNWQ1ODFkOGE1ZDkiLCJ1c2VySWQiOiIyMDkyMjY1MzMifQ==</vt:lpwstr>
  </property>
</Properties>
</file>