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rPr>
          <w:rFonts w:eastAsia="Noto Sans CJK SC" w:ascii="Noto Sans CJK SC" w:hAnsi="Noto Sans CJK SC"/>
        </w:rPr>
        <w:t>临床研究方案按标准模板改写 Skill</w:t>
      </w:r>
    </w:p>
    <w:p>
      <w:pPr>
        <w:pStyle w:val="SubtitleCN"/>
        <w:jc w:val="center"/>
      </w:pPr>
      <w:r>
        <w:rPr>
          <w:rFonts w:eastAsia="Noto Sans CJK SC" w:ascii="Noto Sans CJK SC" w:hAnsi="Noto Sans CJK SC"/>
        </w:rPr>
        <w:t>用于投喂 Codex / 结构重排型 protocol rewriting 指南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eastAsia="Noto Serif CJK SC" w:ascii="Noto Serif CJK SC" w:hAnsi="Noto Serif CJK SC"/>
                <w:b/>
                <w:sz w:val="20"/>
              </w:rPr>
              <w:t>依据来源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r>
              <w:rPr>
                <w:rFonts w:eastAsia="Noto Serif CJK SC" w:ascii="Noto Serif CJK SC" w:hAnsi="Noto Serif CJK SC"/>
                <w:sz w:val="20"/>
              </w:rPr>
              <w:t>基于“标准格式”方案模板与 TDSC 方案的结构对照后提炼，重点服务多中心分中心执行可读性。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eastAsia="Noto Serif CJK SC" w:ascii="Noto Serif CJK SC" w:hAnsi="Noto Serif CJK SC"/>
                <w:b/>
                <w:sz w:val="20"/>
              </w:rPr>
              <w:t>使用目标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r>
              <w:rPr>
                <w:rFonts w:eastAsia="Noto Serif CJK SC" w:ascii="Noto Serif CJK SC" w:hAnsi="Noto Serif CJK SC"/>
                <w:sz w:val="20"/>
              </w:rPr>
              <w:t>让 Codex 在不改变研究科学内容的前提下，把方法学强化版 master protocol 重排为国内常用的执行型标准方案。</w:t>
            </w:r>
          </w:p>
        </w:tc>
      </w:tr>
    </w:tbl>
    <w:p/>
    <w:p>
      <w:pPr>
        <w:pStyle w:val="H1CN"/>
      </w:pPr>
      <w:r>
        <w:t>1. 目的</w:t>
      </w:r>
    </w:p>
    <w:p>
      <w:pPr>
        <w:ind w:firstLine="420"/>
      </w:pPr>
      <w:r>
        <w:rPr>
          <w:rFonts w:eastAsia="Noto Serif CJK SC" w:ascii="Noto Serif CJK SC" w:hAnsi="Noto Serif CJK SC"/>
        </w:rPr>
        <w:t>把“研究内容已经较完整、但结构偏方法学化、工程化、国际化”的临床研究方案，改写为更符合国内多中心临床研究常用阅读习惯的标准方案格式。重点是重组格式、统一章节职责、降低分中心阅读成本，而不改变研究科学问题、设计逻辑、终点定义和统计本质。</w:t>
      </w:r>
    </w:p>
    <w:p>
      <w:pPr>
        <w:pStyle w:val="H1CN"/>
      </w:pPr>
      <w:r>
        <w:t>2. 适用场景</w:t>
      </w:r>
    </w:p>
    <w:p>
      <w:pPr>
        <w:ind w:firstLine="420"/>
      </w:pPr>
      <w:r>
        <w:rPr>
          <w:rFonts w:eastAsia="Noto Serif CJK SC" w:ascii="Noto Serif CJK SC" w:hAnsi="Noto Serif CJK SC"/>
        </w:rPr>
        <w:t>适用于前言过长、存在行政信息、Protocol Synopsis、Trial at a glance、研究概览、变更日志等前置模块的方案；也适用于章节拆分很细、对 SAP、DMP、SOP、CEC、DSMB、EDC、RBQM 等体系依赖较强、同一信息在多个位置重复出现的 master protocol 型文本。</w:t>
      </w:r>
    </w:p>
    <w:p>
      <w:pPr>
        <w:ind w:firstLine="420"/>
      </w:pPr>
      <w:r>
        <w:rPr>
          <w:rFonts w:eastAsia="Noto Serif CJK SC" w:ascii="Noto Serif CJK SC" w:hAnsi="Noto Serif CJK SC"/>
        </w:rPr>
        <w:t>不适用于仅需语言润色、只需补写单章，或研究设计本身存在重大逻辑缺陷、需先做科学性修订的情形。</w:t>
      </w:r>
    </w:p>
    <w:p>
      <w:pPr>
        <w:pStyle w:val="H1CN"/>
      </w:pPr>
      <w:r>
        <w:t>3. 核心任务定义</w:t>
      </w:r>
    </w:p>
    <w:p>
      <w:pPr>
        <w:ind w:firstLine="420"/>
      </w:pPr>
      <w:r>
        <w:rPr>
          <w:rFonts w:eastAsia="Noto Serif CJK SC" w:ascii="Noto Serif CJK SC" w:hAnsi="Noto Serif CJK SC"/>
        </w:rPr>
        <w:t>Codex 的任务不是发明一份新方案，而是在保留原方案事实的前提下，按标准目录重新编排；将分散信息归并到唯一最合适的章节；删除或下沉不适合作为正文主线的内容；使 PI、分中心研究者、CRC、伦理委员和监查员能够快速定位关键信息。</w:t>
      </w:r>
    </w:p>
    <w:p>
      <w:pPr>
        <w:pStyle w:val="H1CN"/>
      </w:pPr>
      <w:r>
        <w:t>4. 标准方案的目标骨架</w:t>
      </w:r>
    </w:p>
    <w:p>
      <w:pPr>
        <w:ind w:firstLine="420"/>
      </w:pPr>
      <w:r>
        <w:rPr>
          <w:rFonts w:eastAsia="Noto Serif CJK SC" w:ascii="Noto Serif CJK SC" w:hAnsi="Noto Serif CJK SC"/>
        </w:rPr>
        <w:t>改写后的默认目录应尽量靠近以下顺序。若原模板已将部分内容合并，可不机械拆章，但必须保证信息集中、可定位、可执行。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474"/>
            <w:shd w:fill="D9EAF7"/>
          </w:tcPr>
          <w:p>
            <w:r>
              <w:rPr>
                <w:b/>
                <w:rFonts w:eastAsia="Noto Sans CJK SC" w:ascii="Noto Sans CJK SC" w:hAnsi="Noto Sans CJK SC"/>
              </w:rPr>
              <w:t>章节段</w:t>
            </w:r>
          </w:p>
        </w:tc>
        <w:tc>
          <w:tcPr>
            <w:tcW w:type="dxa" w:w="7030"/>
            <w:shd w:fill="D9EAF7"/>
          </w:tcPr>
          <w:p>
            <w:r>
              <w:rPr>
                <w:b/>
                <w:rFonts w:eastAsia="Noto Sans CJK SC" w:ascii="Noto Sans CJK SC" w:hAnsi="Noto Sans CJK SC"/>
              </w:rPr>
              <w:t>标准去向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1-5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封面 / 批准页 / 目录 / 缩略语表 / 方案摘要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6-8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研究背景 / 研究目的 / 研究设计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9-11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研究对象选择 / 随机化与盲法 / 干预措施与对照措施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12-13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结局指标或疗效安全性评价 / 数据采集及计划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14-17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安全性考虑 / 数据管理 / 统计分析 / 质量控制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18-23</w:t>
            </w:r>
          </w:p>
        </w:tc>
        <w:tc>
          <w:tcPr>
            <w:tcW w:type="dxa" w:w="70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研究对象保护 / 组织管理 / 文件保存 / 提前终止 / 参考文献 / 缩略语附表</w:t>
            </w:r>
          </w:p>
        </w:tc>
      </w:tr>
    </w:tbl>
    <w:p/>
    <w:p>
      <w:pPr>
        <w:pStyle w:val="H1CN"/>
      </w:pPr>
      <w:r>
        <w:t>5. 改写总原则</w:t>
      </w:r>
    </w:p>
    <w:p>
      <w:pPr>
        <w:pStyle w:val="H2CN"/>
      </w:pPr>
      <w:r>
        <w:t>5.1 先定主线，再搬内容</w:t>
      </w:r>
    </w:p>
    <w:p>
      <w:pPr>
        <w:ind w:firstLine="420"/>
      </w:pPr>
      <w:r>
        <w:rPr>
          <w:rFonts w:eastAsia="Noto Serif CJK SC" w:ascii="Noto Serif CJK SC" w:hAnsi="Noto Serif CJK SC"/>
        </w:rPr>
        <w:t>标准方案的主线应固定为：背景 -&gt; 目的 -&gt; 设计 -&gt; 对象 -&gt; 分配 -&gt; 干预 -&gt; 评价 -&gt; 随访与数据 -&gt; 安全性 -&gt; 数据与统计 -&gt; 质控与伦理 -&gt; 管理与归档。任何信息都必须挂到这条主线上，不能让前置说明挤占正文。</w:t>
      </w:r>
    </w:p>
    <w:p>
      <w:pPr>
        <w:pStyle w:val="H2CN"/>
      </w:pPr>
      <w:r>
        <w:t>5.2 不新增科学承诺</w:t>
      </w:r>
    </w:p>
    <w:p>
      <w:pPr>
        <w:ind w:firstLine="420"/>
      </w:pPr>
      <w:r>
        <w:rPr>
          <w:rFonts w:eastAsia="Noto Serif CJK SC" w:ascii="Noto Serif CJK SC" w:hAnsi="Noto Serif CJK SC"/>
        </w:rPr>
        <w:t>改写只处理结构与表达，不得擅自新增终点、亚组、中期分析、统计方法、停药规则、随机化因子、样本量参数和伦理承诺。原文未写清时，只能标注待明确。</w:t>
      </w:r>
    </w:p>
    <w:p>
      <w:pPr>
        <w:pStyle w:val="H2CN"/>
      </w:pPr>
      <w:r>
        <w:t>5.3 一类信息只保留一个主归宿</w:t>
      </w:r>
    </w:p>
    <w:p>
      <w:pPr>
        <w:ind w:firstLine="420"/>
      </w:pPr>
      <w:r>
        <w:rPr>
          <w:rFonts w:eastAsia="Noto Serif CJK SC" w:ascii="Noto Serif CJK SC" w:hAnsi="Noto Serif CJK SC"/>
        </w:rPr>
        <w:t>研究题目、研究类型、样本量、队列设置、随访时长、主要终点、分层工具、Hard Gate、盲态裁决和中期分析，允许在摘要中简述一次、在正文中完整写一次，除此之外原则上不再重复展开。</w:t>
      </w:r>
    </w:p>
    <w:p>
      <w:pPr>
        <w:pStyle w:val="H2CN"/>
      </w:pPr>
      <w:r>
        <w:t>5.4 正文优先服务执行</w:t>
      </w:r>
    </w:p>
    <w:p>
      <w:pPr>
        <w:ind w:firstLine="420"/>
      </w:pPr>
      <w:r>
        <w:rPr>
          <w:rFonts w:eastAsia="Noto Serif CJK SC" w:ascii="Noto Serif CJK SC" w:hAnsi="Noto Serif CJK SC"/>
        </w:rPr>
        <w:t>正文首先回答：谁能入组、如何分组、给什么治疗、什么时候评估、主要结局是什么、AE/SAE 如何上报、数据怎么录、谁负责什么、什么情况退出或终止。</w:t>
      </w:r>
    </w:p>
    <w:p>
      <w:pPr>
        <w:pStyle w:val="H2CN"/>
      </w:pPr>
      <w:r>
        <w:t>5.5 复杂体系内容可以下沉</w:t>
      </w:r>
    </w:p>
    <w:p>
      <w:pPr>
        <w:ind w:firstLine="420"/>
      </w:pPr>
      <w:r>
        <w:rPr>
          <w:rFonts w:eastAsia="Noto Serif CJK SC" w:ascii="Noto Serif CJK SC" w:hAnsi="Noto Serif CJK SC"/>
        </w:rPr>
        <w:t>SAP 技术细节、派生规则、EDC 字段逻辑、RBQM 细则、CEC 裁决算法、DSMB Charter、数据共享细则等，可在正文保留原则性说明，细节下沉到附录、SOP、SAP 或 DMP。</w:t>
      </w:r>
    </w:p>
    <w:p>
      <w:pPr>
        <w:pStyle w:val="H1CN"/>
      </w:pPr>
      <w:r>
        <w:t>6. 章节映射规则</w:t>
      </w:r>
    </w:p>
    <w:p>
      <w:pPr>
        <w:pStyle w:val="H2CN"/>
      </w:pPr>
      <w:r>
        <w:t>前置信息处理</w:t>
      </w:r>
    </w:p>
    <w:p>
      <w:pPr>
        <w:ind w:firstLine="420"/>
      </w:pPr>
      <w:r>
        <w:rPr>
          <w:rFonts w:eastAsia="Noto Serif CJK SC" w:ascii="Noto Serif CJK SC" w:hAnsi="Noto Serif CJK SC"/>
        </w:rPr>
        <w:t>行政信息只保留最小必要集，放在封面后或摘要前；研究中心与 PI 全表改为前置附表或附录。Protocol Synopsis / Trial at a glance 必须压缩并并入方案摘要，不能与摘要并列形成两个大型重复模块。研究概览、研究定位、总体设计概述中的可用信息，应分别搬运到研究背景、研究目的和研究设计中。变更日志保留为版本管理文件，不参与正文主叙事。</w:t>
      </w:r>
    </w:p>
    <w:p>
      <w:pPr>
        <w:pStyle w:val="H2CN"/>
      </w:pPr>
      <w:r>
        <w:t>研究背景</w:t>
      </w:r>
    </w:p>
    <w:p>
      <w:pPr>
        <w:ind w:firstLine="420"/>
      </w:pPr>
      <w:r>
        <w:rPr>
          <w:rFonts w:eastAsia="Noto Serif CJK SC" w:ascii="Noto Serif CJK SC" w:hAnsi="Noto Serif CJK SC"/>
        </w:rPr>
        <w:t>只做四件事：说明疾病重要性、现有证据与指南、知识空白、推出本研究为何值得做以及为什么采用当前设计。不在背景中提前展开样本量参数、随机化分层因素、详细访视节点或完整统计假设。</w:t>
      </w:r>
    </w:p>
    <w:p>
      <w:pPr>
        <w:pStyle w:val="H2CN"/>
      </w:pPr>
      <w:r>
        <w:t>研究目的</w:t>
      </w:r>
    </w:p>
    <w:p>
      <w:pPr>
        <w:ind w:firstLine="420"/>
      </w:pPr>
      <w:r>
        <w:rPr>
          <w:rFonts w:eastAsia="Noto Serif CJK SC" w:ascii="Noto Serif CJK SC" w:hAnsi="Noto Serif CJK SC"/>
        </w:rPr>
        <w:t>目的必须写成目的，而不是设计说明。主要、次要、探索性目的应尽量分开写；疗效与安全性目的建议分列；若按队列写目的，可保留，但每个队列内部也要尽量区分主要、次要和探索性目的。</w:t>
      </w:r>
    </w:p>
    <w:p>
      <w:pPr>
        <w:pStyle w:val="H2CN"/>
      </w:pPr>
      <w:r>
        <w:t>研究设计</w:t>
      </w:r>
    </w:p>
    <w:p>
      <w:pPr>
        <w:ind w:firstLine="420"/>
      </w:pPr>
      <w:r>
        <w:rPr>
          <w:rFonts w:eastAsia="Noto Serif CJK SC" w:ascii="Noto Serif CJK SC" w:hAnsi="Noto Serif CJK SC"/>
        </w:rPr>
        <w:t>集中说明研究类型、总体框架、队列或门槛后随机路径、主要比较关系和时程概况。不能把本章写成背景延长版，也不能写成完整 SAP 摘录。</w:t>
      </w:r>
    </w:p>
    <w:p>
      <w:pPr>
        <w:pStyle w:val="H2CN"/>
      </w:pPr>
      <w:r>
        <w:t>研究对象选择</w:t>
      </w:r>
    </w:p>
    <w:p>
      <w:pPr>
        <w:ind w:firstLine="420"/>
      </w:pPr>
      <w:r>
        <w:rPr>
          <w:rFonts w:eastAsia="Noto Serif CJK SC" w:ascii="Noto Serif CJK SC" w:hAnsi="Noto Serif CJK SC"/>
        </w:rPr>
        <w:t>所有与目标人群、受试者来源、纳入标准、排除标准、退出标准、招募方式、筛选失败和成功入组有关的内容都必须集中在这一章，禁止散落。</w:t>
      </w:r>
    </w:p>
    <w:p>
      <w:pPr>
        <w:pStyle w:val="H2CN"/>
      </w:pPr>
      <w:r>
        <w:t>随机化与盲法</w:t>
      </w:r>
    </w:p>
    <w:p>
      <w:pPr>
        <w:ind w:firstLine="420"/>
      </w:pPr>
      <w:r>
        <w:rPr>
          <w:rFonts w:eastAsia="Noto Serif CJK SC" w:ascii="Noto Serif CJK SC" w:hAnsi="Noto Serif CJK SC"/>
        </w:rPr>
        <w:t>必须让分中心一眼看懂什么时候随机、谁执行随机、随机比例、分层因素、分配隐藏如何实现、是否盲法，以及哪些环节采用独立或盲态机制。</w:t>
      </w:r>
    </w:p>
    <w:p>
      <w:pPr>
        <w:pStyle w:val="H2CN"/>
      </w:pPr>
      <w:r>
        <w:t>干预措施与对照措施</w:t>
      </w:r>
    </w:p>
    <w:p>
      <w:pPr>
        <w:ind w:firstLine="420"/>
      </w:pPr>
      <w:r>
        <w:rPr>
          <w:rFonts w:eastAsia="Noto Serif CJK SC" w:ascii="Noto Serif CJK SC" w:hAnsi="Noto Serif CJK SC"/>
        </w:rPr>
        <w:t>只回答给什么治疗、剂量与疗程、何时调整或停药、合并用药如何管理。Hard Gate 或停药门槛的设计逻辑写在研究设计，具体操作规则写在此章或数据采集及计划中。</w:t>
      </w:r>
    </w:p>
    <w:p>
      <w:pPr>
        <w:pStyle w:val="H2CN"/>
      </w:pPr>
      <w:r>
        <w:t>结局指标与评价</w:t>
      </w:r>
    </w:p>
    <w:p>
      <w:pPr>
        <w:ind w:firstLine="420"/>
      </w:pPr>
      <w:r>
        <w:rPr>
          <w:rFonts w:eastAsia="Noto Serif CJK SC" w:ascii="Noto Serif CJK SC" w:hAnsi="Noto Serif CJK SC"/>
        </w:rPr>
        <w:t>主要终点、关键次要终点、安全性终点、探索性终点及其判定原则必须集中定义。若原文把终点分散在摘要、研究设计、统计分析和 CEC 段落中，改写时必须收拢。</w:t>
      </w:r>
    </w:p>
    <w:p>
      <w:pPr>
        <w:pStyle w:val="H2CN"/>
      </w:pPr>
      <w:r>
        <w:t>数据采集及计划</w:t>
      </w:r>
    </w:p>
    <w:p>
      <w:pPr>
        <w:ind w:firstLine="420"/>
      </w:pPr>
      <w:r>
        <w:rPr>
          <w:rFonts w:eastAsia="Noto Serif CJK SC" w:ascii="Noto Serif CJK SC" w:hAnsi="Noto Serif CJK SC"/>
        </w:rPr>
        <w:t>按筛选及基线期、治疗期、随访期组织，尽量补充现场友好的访视时间窗、每次访视必做项目、可选项目、特殊节点和最小随访数据集。</w:t>
      </w:r>
    </w:p>
    <w:p>
      <w:pPr>
        <w:pStyle w:val="H2CN"/>
      </w:pPr>
      <w:r>
        <w:t>安全性考虑</w:t>
      </w:r>
    </w:p>
    <w:p>
      <w:pPr>
        <w:ind w:firstLine="420"/>
      </w:pPr>
      <w:r>
        <w:rPr>
          <w:rFonts w:eastAsia="Noto Serif CJK SC" w:ascii="Noto Serif CJK SC" w:hAnsi="Noto Serif CJK SC"/>
        </w:rPr>
        <w:t>集中写 AE、SAE、AESI 的定义、分级标准、记录与报告时限、监测与处置原则，不要把 AE 上报流程散在药物管理、伦理或质量控制中。</w:t>
      </w:r>
    </w:p>
    <w:p>
      <w:pPr>
        <w:pStyle w:val="H2CN"/>
      </w:pPr>
      <w:r>
        <w:t>数据管理与统计分析</w:t>
      </w:r>
    </w:p>
    <w:p>
      <w:pPr>
        <w:ind w:firstLine="420"/>
      </w:pPr>
      <w:r>
        <w:rPr>
          <w:rFonts w:eastAsia="Noto Serif CJK SC" w:ascii="Noto Serif CJK SC" w:hAnsi="Noto Serif CJK SC"/>
        </w:rPr>
        <w:t>数据管理只保留 protocol 级信息；统计分析保留样本量依据、分析集、主要分析原则、主要与次要终点分析框架、缺失值处理原则、中期分析和多重性控制的骨架，不把正文写成完整 SAP。</w:t>
      </w:r>
    </w:p>
    <w:p>
      <w:pPr>
        <w:pStyle w:val="H2CN"/>
      </w:pPr>
      <w:r>
        <w:t>质量控制、伦理和组织管理</w:t>
      </w:r>
    </w:p>
    <w:p>
      <w:pPr>
        <w:ind w:firstLine="420"/>
      </w:pPr>
      <w:r>
        <w:rPr>
          <w:rFonts w:eastAsia="Noto Serif CJK SC" w:ascii="Noto Serif CJK SC" w:hAnsi="Noto Serif CJK SC"/>
        </w:rPr>
        <w:t>分别回答如何保证执行一致性、如何保护研究对象、以及谁负责什么。委员会章程、详细 RBQM 算法等细则不在正文展开。</w:t>
      </w:r>
    </w:p>
    <w:p>
      <w:pPr>
        <w:pStyle w:val="H1CN"/>
      </w:pPr>
      <w:r>
        <w:t>7. 高频对象的处理建议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rFonts w:eastAsia="Noto Sans CJK SC" w:ascii="Noto Sans CJK SC" w:hAnsi="Noto Sans CJK SC"/>
              </w:rPr>
              <w:t>对象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rFonts w:eastAsia="Noto Sans CJK SC" w:ascii="Noto Sans CJK SC" w:hAnsi="Noto Sans CJK SC"/>
              </w:rPr>
              <w:t>建议动作</w:t>
            </w:r>
          </w:p>
        </w:tc>
        <w:tc>
          <w:tcPr>
            <w:tcW w:type="dxa" w:w="374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rFonts w:eastAsia="Noto Sans CJK SC" w:ascii="Noto Sans CJK SC" w:hAnsi="Noto Sans CJK SC"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研究概览 / 研究定位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删除独立大章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信息拆分搬运到研究背景、研究目的和研究设计。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Protocol Synopsis / Trial at a glance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压缩并入摘要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不要与摘要并列形成两套重复前言。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研究中心与 PI 全名单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前置附表或附录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正文前不宜占用大量篇幅。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变更日志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下沉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保留版本管理功能，不参与正文主叙事。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EDC 字段级逻辑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下沉至 SOP/DMP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正文仅保留 EDC 使用原则和数据管理框架。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SAP 技术细节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下沉至 SAP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protocol 中只保留统计骨架。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影像双读 / CEC / DSMB 细则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AFF"/>
          </w:tcPr>
          <w:p>
            <w:r>
              <w:rPr>
                <w:rFonts w:eastAsia="Noto Serif CJK SC" w:ascii="Noto Serif CJK SC" w:hAnsi="Noto Serif CJK SC"/>
                <w:sz w:val="20"/>
              </w:rPr>
              <w:t>正文简述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eastAsia="Noto Serif CJK SC" w:ascii="Noto Serif CJK SC" w:hAnsi="Noto Serif CJK SC"/>
                <w:sz w:val="20"/>
              </w:rPr>
              <w:t>详细章程另存，不在正文完全展开。</w:t>
            </w:r>
          </w:p>
        </w:tc>
      </w:tr>
    </w:tbl>
    <w:p/>
    <w:p>
      <w:pPr>
        <w:pStyle w:val="H1CN"/>
      </w:pPr>
      <w:r>
        <w:t>8. 改写算法（Codex 执行步骤）</w:t>
      </w:r>
    </w:p>
    <w:p>
      <w:pPr>
        <w:pStyle w:val="H2CN"/>
      </w:pPr>
      <w:r>
        <w:t>Step 1：抽取元信息</w:t>
      </w:r>
    </w:p>
    <w:p>
      <w:pPr>
        <w:ind w:firstLine="420"/>
      </w:pPr>
      <w:r>
        <w:rPr>
          <w:rFonts w:eastAsia="Noto Serif CJK SC" w:ascii="Noto Serif CJK SC" w:hAnsi="Noto Serif CJK SC"/>
        </w:rPr>
        <w:t>先锁定研究题目与简称、版本号与日期、研究类型、研究对象、队列设置、干预与对照、主要终点、关键次要终点、随访时长、样本量、随机化方式、盲态机制、中期分析以及关键门槛规则。</w:t>
      </w:r>
    </w:p>
    <w:p>
      <w:pPr>
        <w:pStyle w:val="H2CN"/>
      </w:pPr>
      <w:r>
        <w:t>Step 2：识别重复块</w:t>
      </w:r>
    </w:p>
    <w:p>
      <w:pPr>
        <w:ind w:firstLine="420"/>
      </w:pPr>
      <w:r>
        <w:rPr>
          <w:rFonts w:eastAsia="Noto Serif CJK SC" w:ascii="Noto Serif CJK SC" w:hAnsi="Noto Serif CJK SC"/>
        </w:rPr>
        <w:t>标记摘要、Synopsis、研究概览、总体设计概述、章节开头总述及表格中的重复定义；对每个重复点只保留一个正文主归宿。</w:t>
      </w:r>
    </w:p>
    <w:p>
      <w:pPr>
        <w:pStyle w:val="H2CN"/>
      </w:pPr>
      <w:r>
        <w:t>Step 3：建立标准目录</w:t>
      </w:r>
    </w:p>
    <w:p>
      <w:pPr>
        <w:ind w:firstLine="420"/>
      </w:pPr>
      <w:r>
        <w:rPr>
          <w:rFonts w:eastAsia="Noto Serif CJK SC" w:ascii="Noto Serif CJK SC" w:hAnsi="Noto Serif CJK SC"/>
        </w:rPr>
        <w:t>先生成标准目录，再决定每段内容归属，不允许边写边漂移结构。</w:t>
      </w:r>
    </w:p>
    <w:p>
      <w:pPr>
        <w:pStyle w:val="H2CN"/>
      </w:pPr>
      <w:r>
        <w:t>Step 4：搬运而不是重发明</w:t>
      </w:r>
    </w:p>
    <w:p>
      <w:pPr>
        <w:ind w:firstLine="420"/>
      </w:pPr>
      <w:r>
        <w:rPr>
          <w:rFonts w:eastAsia="Noto Serif CJK SC" w:ascii="Noto Serif CJK SC" w:hAnsi="Noto Serif CJK SC"/>
        </w:rPr>
        <w:t>按语义搬运：设计类到研究设计，资格类到研究对象选择，分配类到随机化与盲法，给药类到干预措施，终点类到评价指标，访视类到数据采集及计划，AE/SAE 类到安全性考虑，数据流类到数据管理，假设与分析集类到统计分析。</w:t>
      </w:r>
    </w:p>
    <w:p>
      <w:pPr>
        <w:pStyle w:val="H2CN"/>
      </w:pPr>
      <w:r>
        <w:t>Step 5：去除前置膨胀</w:t>
      </w:r>
    </w:p>
    <w:p>
      <w:pPr>
        <w:ind w:firstLine="420"/>
      </w:pPr>
      <w:r>
        <w:rPr>
          <w:rFonts w:eastAsia="Noto Serif CJK SC" w:ascii="Noto Serif CJK SC" w:hAnsi="Noto Serif CJK SC"/>
        </w:rPr>
        <w:t>前置页保持最小必要范围，正文应尽快进入研究背景。</w:t>
      </w:r>
    </w:p>
    <w:p>
      <w:pPr>
        <w:pStyle w:val="H2CN"/>
      </w:pPr>
      <w:r>
        <w:t>Step 6：统一语言风格</w:t>
      </w:r>
    </w:p>
    <w:p>
      <w:pPr>
        <w:ind w:firstLine="420"/>
      </w:pPr>
      <w:r>
        <w:rPr>
          <w:rFonts w:eastAsia="Noto Serif CJK SC" w:ascii="Noto Serif CJK SC" w:hAnsi="Noto Serif CJK SC"/>
        </w:rPr>
        <w:t>语言要求正式、准确、简洁、可执行，减少口号化表达和重复总结句。</w:t>
      </w:r>
    </w:p>
    <w:p>
      <w:pPr>
        <w:pStyle w:val="H2CN"/>
      </w:pPr>
      <w:r>
        <w:t>Step 7：做可执行性 QA</w:t>
      </w:r>
    </w:p>
    <w:p>
      <w:pPr>
        <w:ind w:firstLine="420"/>
      </w:pPr>
      <w:r>
        <w:rPr>
          <w:rFonts w:eastAsia="Noto Serif CJK SC" w:ascii="Noto Serif CJK SC" w:hAnsi="Noto Serif CJK SC"/>
        </w:rPr>
        <w:t>检查分中心能否快速找到纳排标准、随机化节点、治疗方案、主要终点、访视时间表、AE/SAE 上报要求、退出标准与提前终止条件。</w:t>
      </w:r>
    </w:p>
    <w:p>
      <w:pPr>
        <w:pStyle w:val="H1CN"/>
      </w:pPr>
      <w:r>
        <w:t>9. 质控清单</w:t>
      </w:r>
    </w:p>
    <w:p>
      <w:pPr>
        <w:ind w:firstLine="0"/>
      </w:pPr>
      <w:r>
        <w:rPr>
          <w:rFonts w:eastAsia="Noto Sans CJK SC" w:ascii="Noto Sans CJK SC" w:hAnsi="Noto Sans CJK SC"/>
        </w:rPr>
        <w:t xml:space="preserve">• </w:t>
      </w:r>
      <w:r>
        <w:rPr>
          <w:rFonts w:eastAsia="Noto Serif CJK SC" w:ascii="Noto Serif CJK SC" w:hAnsi="Noto Serif CJK SC"/>
        </w:rPr>
        <w:t>同一关键信息是否在三处以上重复。</w:t>
      </w:r>
    </w:p>
    <w:p>
      <w:pPr>
        <w:ind w:firstLine="0"/>
      </w:pPr>
      <w:r>
        <w:rPr>
          <w:rFonts w:eastAsia="Noto Sans CJK SC" w:ascii="Noto Sans CJK SC" w:hAnsi="Noto Sans CJK SC"/>
        </w:rPr>
        <w:t xml:space="preserve">• </w:t>
      </w:r>
      <w:r>
        <w:rPr>
          <w:rFonts w:eastAsia="Noto Serif CJK SC" w:ascii="Noto Serif CJK SC" w:hAnsi="Noto Serif CJK SC"/>
        </w:rPr>
        <w:t>摘要是否比正文还复杂。</w:t>
      </w:r>
    </w:p>
    <w:p>
      <w:pPr>
        <w:ind w:firstLine="0"/>
      </w:pPr>
      <w:r>
        <w:rPr>
          <w:rFonts w:eastAsia="Noto Sans CJK SC" w:ascii="Noto Sans CJK SC" w:hAnsi="Noto Sans CJK SC"/>
        </w:rPr>
        <w:t xml:space="preserve">• </w:t>
      </w:r>
      <w:r>
        <w:rPr>
          <w:rFonts w:eastAsia="Noto Serif CJK SC" w:ascii="Noto Serif CJK SC" w:hAnsi="Noto Serif CJK SC"/>
        </w:rPr>
        <w:t>研究背景是否塞入了样本量或完整统计假设。</w:t>
      </w:r>
    </w:p>
    <w:p>
      <w:pPr>
        <w:ind w:firstLine="0"/>
      </w:pPr>
      <w:r>
        <w:rPr>
          <w:rFonts w:eastAsia="Noto Sans CJK SC" w:ascii="Noto Sans CJK SC" w:hAnsi="Noto Sans CJK SC"/>
        </w:rPr>
        <w:t xml:space="preserve">• </w:t>
      </w:r>
      <w:r>
        <w:rPr>
          <w:rFonts w:eastAsia="Noto Serif CJK SC" w:ascii="Noto Serif CJK SC" w:hAnsi="Noto Serif CJK SC"/>
        </w:rPr>
        <w:t>研究设计是否过度承载访视细节与 AE 规则。</w:t>
      </w:r>
    </w:p>
    <w:p>
      <w:pPr>
        <w:ind w:firstLine="0"/>
      </w:pPr>
      <w:r>
        <w:rPr>
          <w:rFonts w:eastAsia="Noto Sans CJK SC" w:ascii="Noto Sans CJK SC" w:hAnsi="Noto Sans CJK SC"/>
        </w:rPr>
        <w:t xml:space="preserve">• </w:t>
      </w:r>
      <w:r>
        <w:rPr>
          <w:rFonts w:eastAsia="Noto Serif CJK SC" w:ascii="Noto Serif CJK SC" w:hAnsi="Noto Serif CJK SC"/>
        </w:rPr>
        <w:t>纳入、排除、退出标准是否分散在不同章节。</w:t>
      </w:r>
    </w:p>
    <w:p>
      <w:pPr>
        <w:ind w:firstLine="0"/>
      </w:pPr>
      <w:r>
        <w:rPr>
          <w:rFonts w:eastAsia="Noto Sans CJK SC" w:ascii="Noto Sans CJK SC" w:hAnsi="Noto Sans CJK SC"/>
        </w:rPr>
        <w:t xml:space="preserve">• </w:t>
      </w:r>
      <w:r>
        <w:rPr>
          <w:rFonts w:eastAsia="Noto Serif CJK SC" w:ascii="Noto Serif CJK SC" w:hAnsi="Noto Serif CJK SC"/>
        </w:rPr>
        <w:t>Hard Gate、停药门槛或关键分层规则是否仅在一处有完整定义。</w:t>
      </w:r>
    </w:p>
    <w:p>
      <w:pPr>
        <w:ind w:firstLine="0"/>
      </w:pPr>
      <w:r>
        <w:rPr>
          <w:rFonts w:eastAsia="Noto Sans CJK SC" w:ascii="Noto Sans CJK SC" w:hAnsi="Noto Sans CJK SC"/>
        </w:rPr>
        <w:t xml:space="preserve">• </w:t>
      </w:r>
      <w:r>
        <w:rPr>
          <w:rFonts w:eastAsia="Noto Serif CJK SC" w:ascii="Noto Serif CJK SC" w:hAnsi="Noto Serif CJK SC"/>
        </w:rPr>
        <w:t>随机化与盲态机制是否能被一章完整读懂。</w:t>
      </w:r>
    </w:p>
    <w:p>
      <w:pPr>
        <w:ind w:firstLine="0"/>
      </w:pPr>
      <w:r>
        <w:rPr>
          <w:rFonts w:eastAsia="Noto Sans CJK SC" w:ascii="Noto Sans CJK SC" w:hAnsi="Noto Sans CJK SC"/>
        </w:rPr>
        <w:t xml:space="preserve">• </w:t>
      </w:r>
      <w:r>
        <w:rPr>
          <w:rFonts w:eastAsia="Noto Serif CJK SC" w:ascii="Noto Serif CJK SC" w:hAnsi="Noto Serif CJK SC"/>
        </w:rPr>
        <w:t>正文是否仍像 master protocol，而不是现场友好的执行型 protocol。</w:t>
      </w:r>
    </w:p>
    <w:p>
      <w:pPr>
        <w:pStyle w:val="H1CN"/>
      </w:pPr>
      <w:r>
        <w:t>10. 固定提示词模板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071"/>
            <w:shd w:fill="F3F6F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ind w:firstLine="0"/>
            </w:pPr>
            <w:r>
              <w:rPr>
                <w:rFonts w:eastAsia="Noto Sans CJK SC" w:ascii="Noto Sans CJK SC" w:hAnsi="Noto Sans CJK SC"/>
                <w:sz w:val="18"/>
              </w:rPr>
              <w:t>你现在的任务不是重写研究内容，而是把现有临床研究方案按“国内常用标准方案格式”进行结构改写。</w:t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  <w:t>要求：</w:t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  <w:t>1. 保留原方案的科学问题、研究设计、干预对照、终点、样本量、统计原则和伦理信息，不得擅自改变。</w:t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  <w:t>2. 以“标准方案格式”为目标，按以下主线重构：</w:t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  <w:t xml:space="preserve">   背景 -&gt; 目的 -&gt; 设计 -&gt; 研究对象 -&gt; 随机化与盲法 -&gt; 干预措施 -&gt; 结局指标/疗效安全性评价 -&gt; 数据采集及计划 -&gt; 安全性考虑 -&gt; 数据管理 -&gt; 统计分析 -&gt; 质量控制 -&gt; 研究对象保护 -&gt; 组织管理 -&gt; 文件保存 -&gt; 提前终止 -&gt; 参考文献/缩略语。</w:t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  <w:t>3. 将原文中的行政信息、Protocol Synopsis、Trial at a glance、研究概览、研究定位、变更日志等前置模块压缩、合并或下沉，不要让其挤占正文主线。</w:t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  <w:t>4. 同一类信息只保留一个正文主归宿，避免主要终点、样本量、队列设置、分层工具、Hard Gate、随访时长等在多个章节重复展开。</w:t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  <w:t>5. 输出时先给出改写后的目录，再给出改写后的正文。</w:t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  <w:t>6. 语言要求正式、专业、简洁、可执行，优先服务多中心分中心研究者、CRC、伦理和监查阅读。</w:t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  <w:t>7. 若原文存在较强的 SAP/SOP/DMP 痕迹，仅保留 protocol 级原则，细节以下沉处理为主，不得把全文写成 master protocol 或 SAP。</w:t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</w:r>
            <w:r>
              <w:br/>
            </w:r>
            <w:r>
              <w:rPr>
                <w:rFonts w:eastAsia="Noto Sans CJK SC" w:ascii="Noto Sans CJK SC" w:hAnsi="Noto Sans CJK SC"/>
                <w:sz w:val="18"/>
              </w:rPr>
              <w:t>在开始写之前，请先抽取并锁定以下事实：研究题目、简称、版本号、研究类型、研究对象、队列设置、干预对照、主要终点、随访时长、样本量、随机化方式、盲态机制、中期分析、关键门槛规则。</w:t>
            </w:r>
          </w:p>
        </w:tc>
      </w:tr>
    </w:tbl>
    <w:p/>
    <w:p>
      <w:pPr>
        <w:pStyle w:val="H1CN"/>
      </w:pPr>
      <w:r>
        <w:t>11. 一句话总纲</w:t>
      </w:r>
    </w:p>
    <w:p>
      <w:pPr>
        <w:ind w:firstLine="0"/>
        <w:jc w:val="left"/>
      </w:pPr>
      <w:r>
        <w:rPr>
          <w:rFonts w:eastAsia="Noto Serif CJK SC" w:ascii="Noto Serif CJK SC" w:hAnsi="Noto Serif CJK SC"/>
        </w:rPr>
        <w:t>标准方案格式改写的本质，不是删减科学内容，而是把“方法学强化版 master protocol”重排成“分中心一线团队一眼能找到关键信息的执行型 protocol”。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Noto Sans CJK SC" w:ascii="Noto Sans CJK SC" w:hAnsi="Noto Sans CJK SC"/>
        <w:sz w:val="18"/>
      </w:rPr>
      <w:t xml:space="preserve">第 </w:t>
    </w:r>
    <w:r>
      <w:fldChar w:fldCharType="begin"/>
      <w:instrText xml:space="preserve"> PAGE </w:instrText>
      <w:fldChar w:fldCharType="separate"/>
      <w:fldChar w:fldCharType="end"/>
    </w:r>
    <w:r>
      <w:rPr>
        <w:rFonts w:eastAsia="Noto Sans CJK SC" w:ascii="Noto Sans CJK SC" w:hAnsi="Noto Sans CJK SC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erif CJK SC" w:hAnsi="Noto Serif CJK SC" w:eastAsia="Noto Serif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Title"/>
    <w:rPr>
      <w:rFonts w:ascii="Noto Sans CJK SC" w:hAnsi="Noto Sans CJK SC" w:eastAsia="Noto Sans CJK SC"/>
      <w:b/>
      <w:color w:val="1F4E79"/>
      <w:sz w:val="40"/>
    </w:rPr>
  </w:style>
  <w:style w:type="paragraph" w:customStyle="1" w:styleId="SubtitleCN">
    <w:name w:val="SubtitleCN"/>
    <w:basedOn w:val="Subtitle"/>
    <w:rPr>
      <w:rFonts w:ascii="Noto Serif CJK SC" w:hAnsi="Noto Serif CJK SC" w:eastAsia="Noto Serif CJK SC"/>
      <w:b w:val="0"/>
      <w:color w:val="606060"/>
      <w:sz w:val="22"/>
    </w:rPr>
  </w:style>
  <w:style w:type="paragraph" w:customStyle="1" w:styleId="H1CN">
    <w:name w:val="H1CN"/>
    <w:basedOn w:val="Heading1"/>
    <w:pPr>
      <w:keepNext/>
      <w:spacing w:before="200" w:after="120"/>
    </w:pPr>
    <w:rPr>
      <w:rFonts w:ascii="Noto Sans CJK SC" w:hAnsi="Noto Sans CJK SC" w:eastAsia="Noto Sans CJK SC"/>
      <w:b/>
      <w:color w:val="1F4E79"/>
      <w:sz w:val="30"/>
    </w:rPr>
  </w:style>
  <w:style w:type="paragraph" w:customStyle="1" w:styleId="H2CN">
    <w:name w:val="H2CN"/>
    <w:basedOn w:val="Heading2"/>
    <w:pPr>
      <w:keepNext/>
      <w:spacing w:before="160" w:after="80"/>
    </w:pPr>
    <w:rPr>
      <w:rFonts w:ascii="Noto Sans CJK SC" w:hAnsi="Noto Sans CJK SC" w:eastAsia="Noto Sans CJK SC"/>
      <w:b/>
      <w:color w:val="1F4E79"/>
      <w:sz w:val="25"/>
    </w:rPr>
  </w:style>
  <w:style w:type="paragraph" w:customStyle="1" w:styleId="SmallCN">
    <w:name w:val="SmallCN"/>
    <w:basedOn w:val="Normal"/>
    <w:rPr>
      <w:rFonts w:ascii="Noto Serif CJK SC" w:hAnsi="Noto Serif CJK SC" w:eastAsia="Noto Serif CJK SC"/>
      <w:b w:val="0"/>
      <w:color w:val="5A5A5A"/>
      <w:sz w:val="18"/>
    </w:rPr>
  </w:style>
  <w:style w:type="paragraph" w:customStyle="1" w:styleId="CodeCN">
    <w:name w:val="CodeCN"/>
    <w:basedOn w:val="Normal"/>
    <w:pPr>
      <w:spacing w:line="276" w:lineRule="auto" w:before="0" w:after="0"/>
      <w:ind w:left="227" w:right="227"/>
    </w:pPr>
    <w:rPr>
      <w:rFonts w:ascii="Noto Serif CJK SC" w:hAnsi="Noto Serif CJK SC" w:eastAsia="Noto Serif CJK SC"/>
      <w:b w:val="0"/>
      <w:color w:val="2828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