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Codex Skill：临床研究总结（顶刊 + TB专栏 + 方法学单页）</w:t>
      </w:r>
    </w:p>
    <w:p>
      <w:pPr>
        <w:spacing w:after="240"/>
      </w:pPr>
      <w:r>
        <w:t>目标：把“最新临床研究”拆解为可复制的设计思想，形成稳定可持续的自动化输出（每日速览 + TB专栏 + 指南/政策监测 + Preprint预警 + 每周方法学单页）。</w:t>
      </w:r>
    </w:p>
    <w:p>
      <w:pPr>
        <w:spacing w:after="360"/>
      </w:pPr>
      <w:r>
        <w:t>默认时区：系统本地时区（可通过参数覆盖，例如 Asia/Shanghai 或 America/Los_Angeles）；默认语言：中文；输出风格：正式、专业，方法学优先。</w:t>
      </w:r>
    </w:p>
    <w:p>
      <w:pPr>
        <w:pStyle w:val="Heading1"/>
        <w:spacing w:before="120" w:after="80"/>
      </w:pPr>
      <w:r>
        <w:t>1 适用场景</w:t>
      </w:r>
    </w:p>
    <w:p>
      <w:pPr>
        <w:pStyle w:val="ListBullet"/>
        <w:spacing w:after="0"/>
      </w:pPr>
      <w:r>
        <w:t>每日追踪顶刊原始临床研究（优先RCT与关键诊断研究），输出结构化“拆解 + 方法学点评 + 临床启示”。</w:t>
      </w:r>
    </w:p>
    <w:p>
      <w:pPr>
        <w:pStyle w:val="ListBullet"/>
        <w:spacing w:after="0"/>
      </w:pPr>
      <w:r>
        <w:t>对TB/呼吸道感染/抗菌药物管理（AMS）开展雷达式证据监测（近72小时）。</w:t>
      </w:r>
    </w:p>
    <w:p>
      <w:pPr>
        <w:pStyle w:val="ListBullet"/>
        <w:spacing w:after="0"/>
      </w:pPr>
      <w:r>
        <w:t>追踪TB相关指南/政策官方更新（近30天）。</w:t>
      </w:r>
    </w:p>
    <w:p>
      <w:pPr>
        <w:pStyle w:val="ListBullet"/>
        <w:spacing w:after="0"/>
      </w:pPr>
      <w:r>
        <w:t>主题限定的预印本先行预警（近48–72小时，明确“未同行评议”标识）。</w:t>
      </w:r>
    </w:p>
    <w:p>
      <w:pPr>
        <w:pStyle w:val="ListBullet"/>
        <w:spacing w:after="0"/>
      </w:pPr>
      <w:r>
        <w:t>每周生成NEJM近21天RCT与Correspondence的一页方法学教学材料。</w:t>
      </w:r>
    </w:p>
    <w:p>
      <w:pPr>
        <w:pStyle w:val="Heading1"/>
        <w:spacing w:before="120" w:after="80"/>
      </w:pPr>
      <w:r>
        <w:t>2 输入（Inputs）</w:t>
      </w:r>
    </w:p>
    <w:p>
      <w:pPr>
        <w:pStyle w:val="Heading2"/>
        <w:spacing w:before="80" w:after="40"/>
      </w:pPr>
      <w:r>
        <w:t>2.1 运行模式（mode）</w:t>
      </w:r>
    </w:p>
    <w:p>
      <w:pPr>
        <w:pStyle w:val="ListBullet"/>
        <w:spacing w:after="0"/>
      </w:pPr>
      <w:r>
        <w:t>run_all：运行全部模块（每日顶刊 + TB专栏 + 指南/政策 + Preprint + 若到期则周度单页）</w:t>
      </w:r>
    </w:p>
    <w:p>
      <w:pPr>
        <w:pStyle w:val="ListBullet"/>
        <w:spacing w:after="0"/>
      </w:pPr>
      <w:r>
        <w:t>daily：仅每日顶刊临床研究速览</w:t>
      </w:r>
    </w:p>
    <w:p>
      <w:pPr>
        <w:pStyle w:val="ListBullet"/>
        <w:spacing w:after="0"/>
      </w:pPr>
      <w:r>
        <w:t>tb：仅TB专栏（含呼吸道感染）</w:t>
      </w:r>
    </w:p>
    <w:p>
      <w:pPr>
        <w:pStyle w:val="ListBullet"/>
        <w:spacing w:after="0"/>
      </w:pPr>
      <w:r>
        <w:t>guidelines：仅指南/政策更新监测</w:t>
      </w:r>
    </w:p>
    <w:p>
      <w:pPr>
        <w:pStyle w:val="ListBullet"/>
        <w:spacing w:after="0"/>
      </w:pPr>
      <w:r>
        <w:t>preprint：仅Preprint先行预警</w:t>
      </w:r>
    </w:p>
    <w:p>
      <w:pPr>
        <w:pStyle w:val="ListBullet"/>
        <w:spacing w:after="0"/>
      </w:pPr>
      <w:r>
        <w:t>weekly：仅NEJM近21天RCT与Correspondence方法学单页</w:t>
      </w:r>
    </w:p>
    <w:p>
      <w:pPr>
        <w:pStyle w:val="Heading2"/>
        <w:spacing w:before="80" w:after="40"/>
      </w:pPr>
      <w:r>
        <w:t>2.2 日期与时间窗</w:t>
      </w:r>
    </w:p>
    <w:p>
      <w:pPr>
        <w:pStyle w:val="ListBullet"/>
        <w:spacing w:after="0"/>
      </w:pPr>
      <w:r>
        <w:t>输出日期：today（当前日期）</w:t>
      </w:r>
    </w:p>
    <w:p>
      <w:pPr>
        <w:pStyle w:val="ListBullet"/>
        <w:spacing w:after="0"/>
      </w:pPr>
      <w:r>
        <w:t>日更：当日发布（必要时回溯近24小时）</w:t>
      </w:r>
    </w:p>
    <w:p>
      <w:pPr>
        <w:pStyle w:val="ListBullet"/>
        <w:spacing w:after="0"/>
      </w:pPr>
      <w:r>
        <w:t>TB专栏：近72小时</w:t>
      </w:r>
    </w:p>
    <w:p>
      <w:pPr>
        <w:pStyle w:val="ListBullet"/>
        <w:spacing w:after="0"/>
      </w:pPr>
      <w:r>
        <w:t>指南/政策：近30天</w:t>
      </w:r>
    </w:p>
    <w:p>
      <w:pPr>
        <w:pStyle w:val="ListBullet"/>
        <w:spacing w:after="0"/>
      </w:pPr>
      <w:r>
        <w:t>Preprint：近48–72小时</w:t>
      </w:r>
    </w:p>
    <w:p>
      <w:pPr>
        <w:pStyle w:val="ListBullet"/>
        <w:spacing w:after="0"/>
      </w:pPr>
      <w:r>
        <w:t>周度单页：近21天（以输出日期倒推）</w:t>
      </w:r>
    </w:p>
    <w:p>
      <w:pPr>
        <w:pStyle w:val="Heading2"/>
        <w:spacing w:before="80" w:after="40"/>
      </w:pPr>
      <w:r>
        <w:t>2.3 主题限定（TB专栏与Preprint）</w:t>
      </w:r>
    </w:p>
    <w:p>
      <w:pPr>
        <w:pStyle w:val="ListBullet"/>
        <w:spacing w:after="0"/>
      </w:pPr>
      <w:r>
        <w:t>TB：MDR/RR-TB、pre-XDR/XDR、6月vs9月方案、Bdq/Lzd/Cfz/Dlm/Pto安全性、tNGS/WGS/DST决策影响、TB-DM/TB-HIV。</w:t>
      </w:r>
    </w:p>
    <w:p>
      <w:pPr>
        <w:pStyle w:val="ListBullet"/>
        <w:spacing w:after="0"/>
      </w:pPr>
      <w:r>
        <w:t>呼吸道感染：CAP、流感/RSV/SARS-CoV-2、脓毒症、AMS、非劣效抗菌试验。</w:t>
      </w:r>
    </w:p>
    <w:p>
      <w:pPr>
        <w:pStyle w:val="Heading1"/>
        <w:spacing w:before="120" w:after="80"/>
      </w:pPr>
      <w:r>
        <w:t>3 数据源与检索策略（Retrieval Plan）</w:t>
      </w:r>
    </w:p>
    <w:p>
      <w:pPr>
        <w:pStyle w:val="Heading2"/>
        <w:spacing w:before="80" w:after="40"/>
      </w:pPr>
      <w:r>
        <w:t>3.1 顶刊主栏（每日）</w:t>
      </w:r>
    </w:p>
    <w:p>
      <w:pPr>
        <w:pStyle w:val="ListBullet"/>
        <w:spacing w:after="0"/>
      </w:pPr>
      <w:r>
        <w:t>期刊：NEJM、The Lancet、JAMA、BMJ、The Lancet Infectious Diseases。</w:t>
      </w:r>
    </w:p>
    <w:p>
      <w:pPr>
        <w:pStyle w:val="ListBullet"/>
        <w:spacing w:after="0"/>
      </w:pPr>
      <w:r>
        <w:t>分层策略：①期刊官网“Online First/Research/Original Articles”；②PubMed或Crossref/DOI校验补漏；③同一研究多处出现时以期刊官网为主（补充材料/SAP/注册信息更完整）。</w:t>
      </w:r>
    </w:p>
    <w:p>
      <w:pPr>
        <w:pStyle w:val="Heading2"/>
        <w:spacing w:before="80" w:after="40"/>
      </w:pPr>
      <w:r>
        <w:t>3.2 TB专栏（近72小时）</w:t>
      </w:r>
    </w:p>
    <w:p>
      <w:pPr>
        <w:pStyle w:val="ListBullet"/>
        <w:spacing w:after="0"/>
      </w:pPr>
      <w:r>
        <w:t>期刊：Clinical Infectious Diseases、The Lancet Respiratory Medicine、AJRCCM、ERJ、Thorax、Chest。</w:t>
      </w:r>
    </w:p>
    <w:p>
      <w:pPr>
        <w:pStyle w:val="ListBullet"/>
        <w:spacing w:after="0"/>
      </w:pPr>
      <w:r>
        <w:t>策略：官网入口 + PubMed近72小时过滤 + 主题关键词过滤。</w:t>
      </w:r>
    </w:p>
    <w:p>
      <w:pPr>
        <w:pStyle w:val="Heading2"/>
        <w:spacing w:before="80" w:after="40"/>
      </w:pPr>
      <w:r>
        <w:t>3.3 指南/政策（近30天；仅官方）</w:t>
      </w:r>
    </w:p>
    <w:p>
      <w:pPr>
        <w:pStyle w:val="ListBullet"/>
        <w:spacing w:after="0"/>
      </w:pPr>
      <w:r>
        <w:t>来源：WHO TB consolidated guidelines（含modules/operational handbook）、The Union、MSF、NICE、US CDC、ECDC、IDSA。</w:t>
      </w:r>
    </w:p>
    <w:p>
      <w:pPr>
        <w:pStyle w:val="ListBullet"/>
        <w:spacing w:after="0"/>
      </w:pPr>
      <w:r>
        <w:t>策略：仅使用官方发布页；必须抓取发布日期与版本号/更新记录。</w:t>
      </w:r>
    </w:p>
    <w:p>
      <w:pPr>
        <w:pStyle w:val="Heading2"/>
        <w:spacing w:before="80" w:after="40"/>
      </w:pPr>
      <w:r>
        <w:t>3.4 Preprint（近48–72小时；主题限定）</w:t>
      </w:r>
    </w:p>
    <w:p>
      <w:pPr>
        <w:pStyle w:val="ListBullet"/>
        <w:spacing w:after="0"/>
      </w:pPr>
      <w:r>
        <w:t>来源：medRxiv（主）、Research Square、SSRN Health、arXiv q-bio/med。</w:t>
      </w:r>
    </w:p>
    <w:p>
      <w:pPr>
        <w:pStyle w:val="ListBullet"/>
        <w:spacing w:after="0"/>
      </w:pPr>
      <w:r>
        <w:t>策略：按时间排序 + 主题关键词过滤 + 研究类型过滤（RCT/平台/前瞻队列/关键诊断）。</w:t>
      </w:r>
    </w:p>
    <w:p>
      <w:pPr>
        <w:pStyle w:val="Heading1"/>
        <w:spacing w:before="120" w:after="80"/>
      </w:pPr>
      <w:r>
        <w:t>4 纳入/排除判定（Eligibility Logic）</w:t>
      </w:r>
    </w:p>
    <w:p>
      <w:pPr>
        <w:pStyle w:val="Heading2"/>
        <w:spacing w:before="80" w:after="40"/>
      </w:pPr>
      <w:r>
        <w:t>4.1 顶刊主栏纳入/排除</w:t>
      </w:r>
    </w:p>
    <w:p>
      <w:pPr>
        <w:pStyle w:val="ListBullet"/>
        <w:spacing w:after="0"/>
      </w:pPr>
      <w:r>
        <w:t>纳入：RCT；前瞻/回顾性队列；病例对照；平台/适应性试验；关键诊断准确性研究。</w:t>
      </w:r>
    </w:p>
    <w:p>
      <w:pPr>
        <w:pStyle w:val="ListBullet"/>
        <w:spacing w:after="0"/>
      </w:pPr>
      <w:r>
        <w:t>排除：Editorial、Comment、Viewpoint、News；叙述性综述（主栏不纳入）。</w:t>
      </w:r>
    </w:p>
    <w:p>
      <w:pPr>
        <w:pStyle w:val="Heading2"/>
        <w:spacing w:before="80" w:after="40"/>
      </w:pPr>
      <w:r>
        <w:t>4.2 研究类型识别（稳健规则）</w:t>
      </w:r>
    </w:p>
    <w:p>
      <w:pPr>
        <w:pStyle w:val="ListNumber"/>
        <w:spacing w:after="0"/>
      </w:pPr>
      <w:r>
        <w:t>文章类型标签（Randomized Trial / Cohort / Case-Control / Diagnostic Accuracy）。</w:t>
      </w:r>
    </w:p>
    <w:p>
      <w:pPr>
        <w:pStyle w:val="ListNumber"/>
        <w:spacing w:after="0"/>
      </w:pPr>
      <w:r>
        <w:t>Methods关键字与结构化要素（randomized、allocation、masking、prospective cohort、retrospective、case-control、index test/reference standard）。</w:t>
      </w:r>
    </w:p>
    <w:p>
      <w:pPr>
        <w:pStyle w:val="ListNumber"/>
        <w:spacing w:after="0"/>
      </w:pPr>
      <w:r>
        <w:t>注册号/CONSORT流程图/分配与随访描述用于最终确认。</w:t>
      </w:r>
    </w:p>
    <w:p>
      <w:pPr>
        <w:pStyle w:val="Heading1"/>
        <w:spacing w:before="120" w:after="80"/>
      </w:pPr>
      <w:r>
        <w:t>5 信息抽取字段（Extraction Schema）</w:t>
      </w:r>
    </w:p>
    <w:p>
      <w:pPr>
        <w:pStyle w:val="Heading2"/>
        <w:spacing w:before="80" w:after="40"/>
      </w:pPr>
      <w:r>
        <w:t>5.1 一句话临床要点</w:t>
      </w:r>
    </w:p>
    <w:p>
      <w:pPr>
        <w:pStyle w:val="ListBullet"/>
        <w:spacing w:after="0"/>
      </w:pPr>
      <w:r>
        <w:t>按“人群 + 干预 + 对照 + 结局 + 方向/大小”一句话概括，尽量给出绝对差或HR级别。</w:t>
      </w:r>
    </w:p>
    <w:p>
      <w:pPr>
        <w:pStyle w:val="Heading2"/>
        <w:spacing w:before="80" w:after="40"/>
      </w:pPr>
      <w:r>
        <w:t>5.2 研究设计（必须逐条输出）</w:t>
      </w:r>
    </w:p>
    <w:p>
      <w:pPr>
        <w:pStyle w:val="ListBullet"/>
        <w:spacing w:after="0"/>
      </w:pPr>
      <w:r>
        <w:t>随机方式；盲法；对照类型；分配比例；人群与中心；样本量与假设；主要/次要终点；superiority/非劣效及界值；统计模型；缺失数据处理；多重性控制；IDMC/中期分析；效应量+95%CI；绝对风险差与NNT/NNH（可算则算）；安全性信号（SAE/≥3级AE/AESI等）。</w:t>
      </w:r>
    </w:p>
    <w:p>
      <w:pPr>
        <w:pStyle w:val="Heading2"/>
        <w:spacing w:before="80" w:after="40"/>
      </w:pPr>
      <w:r>
        <w:t>5.3 方法学点评（六项必须覆盖）</w:t>
      </w:r>
    </w:p>
    <w:p>
      <w:pPr>
        <w:pStyle w:val="ListBullet"/>
        <w:spacing w:after="0"/>
      </w:pPr>
      <w:r>
        <w:t>内部效度：随机/分配隐藏/盲法/结局裁定/依从性/交叉。</w:t>
      </w:r>
    </w:p>
    <w:p>
      <w:pPr>
        <w:pStyle w:val="ListBullet"/>
        <w:spacing w:after="0"/>
      </w:pPr>
      <w:r>
        <w:t>偏倚风险：选择偏倚、测量偏倚、失访偏倚、报告偏倚。</w:t>
      </w:r>
    </w:p>
    <w:p>
      <w:pPr>
        <w:pStyle w:val="ListBullet"/>
        <w:spacing w:after="0"/>
      </w:pPr>
      <w:r>
        <w:t>CONSORT/SPIRIT合规性：流程图、预注册、SAP可追溯性。</w:t>
      </w:r>
    </w:p>
    <w:p>
      <w:pPr>
        <w:pStyle w:val="ListBullet"/>
        <w:spacing w:after="0"/>
      </w:pPr>
      <w:r>
        <w:t>Pragmatic程度：入排宽窄、实施强度、对照代表性、随访依赖度。</w:t>
      </w:r>
    </w:p>
    <w:p>
      <w:pPr>
        <w:pStyle w:val="ListBullet"/>
        <w:spacing w:after="0"/>
      </w:pPr>
      <w:r>
        <w:t>HTE可信度：预设亚组/交互检验/多重性/生物学合理性/一致性。</w:t>
      </w:r>
    </w:p>
    <w:p>
      <w:pPr>
        <w:pStyle w:val="ListBullet"/>
        <w:spacing w:after="0"/>
      </w:pPr>
      <w:r>
        <w:t>外部效度/可运输性：基线风险、资源需求、可及性与地区差异。</w:t>
      </w:r>
    </w:p>
    <w:p>
      <w:pPr>
        <w:pStyle w:val="Heading2"/>
        <w:spacing w:before="80" w:after="40"/>
      </w:pPr>
      <w:r>
        <w:t>5.4 实践与指南影响</w:t>
      </w:r>
    </w:p>
    <w:p>
      <w:pPr>
        <w:pStyle w:val="ListBullet"/>
        <w:spacing w:after="0"/>
      </w:pPr>
      <w:r>
        <w:t>说明可能改变的临床路径、需要的配套条件、与现行指南一致/冲突之处。</w:t>
      </w:r>
    </w:p>
    <w:p>
      <w:pPr>
        <w:pStyle w:val="ListBullet"/>
        <w:spacing w:after="0"/>
      </w:pPr>
      <w:r>
        <w:t>非劣效抗菌试验需明确“可替代条件”与“风险容忍度”。</w:t>
      </w:r>
    </w:p>
    <w:p>
      <w:pPr>
        <w:pStyle w:val="Heading2"/>
        <w:spacing w:before="80" w:after="40"/>
      </w:pPr>
      <w:r>
        <w:t>5.5 官方链接与完整引文</w:t>
      </w:r>
    </w:p>
    <w:p>
      <w:pPr>
        <w:pStyle w:val="ListBullet"/>
        <w:spacing w:after="0"/>
      </w:pPr>
      <w:r>
        <w:t>链接优先：期刊官网DOI页；其次PubMed。</w:t>
      </w:r>
    </w:p>
    <w:p>
      <w:pPr>
        <w:pStyle w:val="ListBullet"/>
        <w:spacing w:after="0"/>
      </w:pPr>
      <w:r>
        <w:t>引文：Vancouver格式（作者. 题目. 期刊. 年;卷(期):页码. doi）。</w:t>
      </w:r>
    </w:p>
    <w:p>
      <w:pPr>
        <w:pStyle w:val="Heading1"/>
        <w:spacing w:before="120" w:after="80"/>
      </w:pPr>
      <w:r>
        <w:t>6 派生计算（Derivations）</w:t>
      </w:r>
    </w:p>
    <w:p>
      <w:pPr>
        <w:pStyle w:val="Heading2"/>
        <w:spacing w:before="80" w:after="40"/>
      </w:pPr>
      <w:r>
        <w:t>6.1 绝对风险差（ARR/ARI）</w:t>
      </w:r>
    </w:p>
    <w:p>
      <w:pPr>
        <w:pStyle w:val="ListBullet"/>
        <w:spacing w:after="0"/>
      </w:pPr>
      <w:r>
        <w:t>ARR = risk_control - risk_treatment（获益为正）</w:t>
      </w:r>
    </w:p>
    <w:p>
      <w:pPr>
        <w:pStyle w:val="ListBullet"/>
        <w:spacing w:after="0"/>
      </w:pPr>
      <w:r>
        <w:t>ARI = risk_treatment - risk_control（伤害为正）</w:t>
      </w:r>
    </w:p>
    <w:p>
      <w:pPr>
        <w:pStyle w:val="Heading2"/>
        <w:spacing w:before="80" w:after="40"/>
      </w:pPr>
      <w:r>
        <w:t>6.2 NNT/NNH</w:t>
      </w:r>
    </w:p>
    <w:p>
      <w:pPr>
        <w:pStyle w:val="ListBullet"/>
        <w:spacing w:after="0"/>
      </w:pPr>
      <w:r>
        <w:t>NNT = 1 / ARR（向上取整）；NNH = 1 / ARI（向上取整）。</w:t>
      </w:r>
    </w:p>
    <w:p>
      <w:pPr>
        <w:pStyle w:val="ListBullet"/>
        <w:spacing w:after="0"/>
      </w:pPr>
      <w:r>
        <w:t>仅在同一时间点、同一定义的二分类结局且有绝对风险时计算。</w:t>
      </w:r>
    </w:p>
    <w:p>
      <w:pPr>
        <w:pStyle w:val="ListBullet"/>
        <w:spacing w:after="0"/>
      </w:pPr>
      <w:r>
        <w:t>若仅有HR缺乏基线风险或生存曲线：说明无法可靠计算NNT，并提示需要的额外信息。</w:t>
      </w:r>
    </w:p>
    <w:p>
      <w:pPr>
        <w:pStyle w:val="Heading2"/>
        <w:spacing w:before="80" w:after="40"/>
      </w:pPr>
      <w:r>
        <w:t>6.3 复合终点拆解</w:t>
      </w:r>
    </w:p>
    <w:p>
      <w:pPr>
        <w:pStyle w:val="ListBullet"/>
        <w:spacing w:after="0"/>
      </w:pPr>
      <w:r>
        <w:t>检查驱动因素：各组分事件率、严重性、是否同向。</w:t>
      </w:r>
    </w:p>
    <w:p>
      <w:pPr>
        <w:pStyle w:val="ListBullet"/>
        <w:spacing w:after="0"/>
      </w:pPr>
      <w:r>
        <w:t>如由软终点/停药驱动，需要在方法学点评中明确提示。</w:t>
      </w:r>
    </w:p>
    <w:p>
      <w:pPr>
        <w:pStyle w:val="Heading1"/>
        <w:spacing w:before="120" w:after="80"/>
      </w:pPr>
      <w:r>
        <w:t>7 输出模板（Markdown）</w:t>
      </w:r>
    </w:p>
    <w:p>
      <w:pPr>
        <w:pStyle w:val="Heading2"/>
        <w:spacing w:before="80" w:after="40"/>
      </w:pPr>
      <w:r>
        <w:t>7.1 每日主标题（必须）</w:t>
      </w:r>
    </w:p>
    <w:p>
      <w:pPr>
        <w:pStyle w:val="ListBullet"/>
        <w:spacing w:after="0"/>
      </w:pPr>
      <w:r>
        <w:t># 今日顶刊临床研究速览（YYYY-MM-DD）</w:t>
      </w:r>
    </w:p>
    <w:p>
      <w:pPr>
        <w:pStyle w:val="Heading2"/>
        <w:spacing w:before="80" w:after="40"/>
      </w:pPr>
      <w:r>
        <w:t>7.2 逐篇固定结构</w:t>
      </w:r>
    </w:p>
    <w:p>
      <w:pPr>
        <w:pStyle w:val="ListBullet"/>
        <w:spacing w:after="0"/>
      </w:pPr>
      <w:r>
        <w:t>① 一句话临床要点</w:t>
      </w:r>
    </w:p>
    <w:p>
      <w:pPr>
        <w:pStyle w:val="ListBullet"/>
        <w:spacing w:after="0"/>
      </w:pPr>
      <w:r>
        <w:t>② 研究设计（按字段清单逐条）</w:t>
      </w:r>
    </w:p>
    <w:p>
      <w:pPr>
        <w:pStyle w:val="ListBullet"/>
        <w:spacing w:after="0"/>
      </w:pPr>
      <w:r>
        <w:t>③ 方法学点评（六项）</w:t>
      </w:r>
    </w:p>
    <w:p>
      <w:pPr>
        <w:pStyle w:val="ListBullet"/>
        <w:spacing w:after="0"/>
      </w:pPr>
      <w:r>
        <w:t>④ 实践与指南影响</w:t>
      </w:r>
    </w:p>
    <w:p>
      <w:pPr>
        <w:pStyle w:val="ListBullet"/>
        <w:spacing w:after="0"/>
      </w:pPr>
      <w:r>
        <w:t>⑤ 官方链接 + 完整引文</w:t>
      </w:r>
    </w:p>
    <w:p>
      <w:pPr>
        <w:pStyle w:val="Heading2"/>
        <w:spacing w:before="80" w:after="40"/>
      </w:pPr>
      <w:r>
        <w:t>7.3 Methods Pearl of the Day（≤120字）</w:t>
      </w:r>
    </w:p>
    <w:p>
      <w:pPr>
        <w:pStyle w:val="ListBullet"/>
        <w:spacing w:after="0"/>
      </w:pPr>
      <w:r>
        <w:t>从当日研究提炼1条可教学的统计/设计思想；当日无研究时可“滚动补更”并标注。</w:t>
      </w:r>
    </w:p>
    <w:p>
      <w:pPr>
        <w:pStyle w:val="Heading2"/>
        <w:spacing w:before="80" w:after="40"/>
      </w:pPr>
      <w:r>
        <w:t>7.4 空结果标准句</w:t>
      </w:r>
    </w:p>
    <w:p>
      <w:pPr>
        <w:pStyle w:val="ListBullet"/>
        <w:spacing w:after="0"/>
      </w:pPr>
      <w:r>
        <w:t>顶刊主栏为空：今日无符合纳入标准的顶刊临床研究更新（按指定期刊与时间窗检索）。</w:t>
      </w:r>
    </w:p>
    <w:p>
      <w:pPr>
        <w:pStyle w:val="ListBullet"/>
        <w:spacing w:after="0"/>
      </w:pPr>
      <w:r>
        <w:t>TB专栏为空：今日无TB/呼吸道感染临床研究更新。</w:t>
      </w:r>
    </w:p>
    <w:p>
      <w:pPr>
        <w:pStyle w:val="ListBullet"/>
        <w:spacing w:after="0"/>
      </w:pPr>
      <w:r>
        <w:t>指南/政策为空：今日无指南/政策更新。</w:t>
      </w:r>
    </w:p>
    <w:p>
      <w:pPr>
        <w:pStyle w:val="ListBullet"/>
        <w:spacing w:after="0"/>
      </w:pPr>
      <w:r>
        <w:t>Preprint为空：今日无符合条件的Preprint更新。</w:t>
      </w:r>
    </w:p>
    <w:p>
      <w:pPr>
        <w:pStyle w:val="Heading1"/>
        <w:spacing w:before="120" w:after="80"/>
      </w:pPr>
      <w:r>
        <w:t>8 TB专栏输出规则</w:t>
      </w:r>
    </w:p>
    <w:p>
      <w:pPr>
        <w:pStyle w:val="ListBullet"/>
        <w:spacing w:after="0"/>
      </w:pPr>
      <w:r>
        <w:t>时间窗：近72小时。</w:t>
      </w:r>
    </w:p>
    <w:p>
      <w:pPr>
        <w:pStyle w:val="ListBullet"/>
        <w:spacing w:after="0"/>
      </w:pPr>
      <w:r>
        <w:t>若&gt;3篇：选Top 3（按“方法学创新性 + 临床影响”排序）；其余放入Also of note（每篇1行）。</w:t>
      </w:r>
    </w:p>
    <w:p>
      <w:pPr>
        <w:pStyle w:val="ListBullet"/>
        <w:spacing w:after="0"/>
      </w:pPr>
      <w:r>
        <w:t>若无：输出固定空结果句。</w:t>
      </w:r>
    </w:p>
    <w:p>
      <w:pPr>
        <w:pStyle w:val="Heading2"/>
        <w:spacing w:before="80" w:after="40"/>
      </w:pPr>
      <w:r>
        <w:t>Top 3排序建议（打分）</w:t>
      </w:r>
    </w:p>
    <w:p>
      <w:pPr>
        <w:pStyle w:val="ListBullet"/>
        <w:spacing w:after="0"/>
      </w:pPr>
      <w:r>
        <w:t>方法学创新性（0–3）：平台/适应性、严谨非劣效、诊断阈值锁定、外部验证等。</w:t>
      </w:r>
    </w:p>
    <w:p>
      <w:pPr>
        <w:pStyle w:val="ListBullet"/>
        <w:spacing w:after="0"/>
      </w:pPr>
      <w:r>
        <w:t>临床影响（0–3）：可能改变指南/路径、关键安全性信号、高负担人群。</w:t>
      </w:r>
    </w:p>
    <w:p>
      <w:pPr>
        <w:pStyle w:val="ListBullet"/>
        <w:spacing w:after="0"/>
      </w:pPr>
      <w:r>
        <w:t>证据强度（0–2）：RCT&gt;前瞻队列&gt;回顾；主要终点硬度；失访与偏倚控制。</w:t>
      </w:r>
    </w:p>
    <w:p>
      <w:pPr>
        <w:pStyle w:val="Heading1"/>
        <w:spacing w:before="120" w:after="80"/>
      </w:pPr>
      <w:r>
        <w:t>9 指南/政策更新（近30天）</w:t>
      </w:r>
    </w:p>
    <w:p>
      <w:pPr>
        <w:pStyle w:val="ListBullet"/>
        <w:spacing w:after="0"/>
      </w:pPr>
      <w:r>
        <w:t>仅官方来源；每条更新必须包含：标题、发布日期、版本号、关键变化点（≤5条）、对临床与项目实施影响（必须点到MDR/RR-TB与TB-DM）、官方链接。</w:t>
      </w:r>
    </w:p>
    <w:p>
      <w:pPr>
        <w:pStyle w:val="Heading1"/>
        <w:spacing w:before="120" w:after="80"/>
      </w:pPr>
      <w:r>
        <w:t>10 Preprint先行预警（近48–72小时；≤3篇）</w:t>
      </w:r>
    </w:p>
    <w:p>
      <w:pPr>
        <w:pStyle w:val="ListBullet"/>
        <w:spacing w:after="0"/>
      </w:pPr>
      <w:r>
        <w:t>每篇标题前必须标注：【Preprint — 未经同行评议，结论需谨慎解读】。</w:t>
      </w:r>
    </w:p>
    <w:p>
      <w:pPr>
        <w:pStyle w:val="ListBullet"/>
        <w:spacing w:after="0"/>
      </w:pPr>
      <w:r>
        <w:t>仅纳入：类临床研究（RCT/平台/前瞻队列/关键诊断）且主题限定。</w:t>
      </w:r>
    </w:p>
    <w:p>
      <w:pPr>
        <w:pStyle w:val="ListBullet"/>
        <w:spacing w:after="0"/>
      </w:pPr>
      <w:r>
        <w:t>输出可简化：一句话要点 + 设计要素 + 值得关注点 + 主要不确定性/风险点。</w:t>
      </w:r>
    </w:p>
    <w:p>
      <w:pPr>
        <w:pStyle w:val="Heading1"/>
        <w:spacing w:before="120" w:after="80"/>
      </w:pPr>
      <w:r>
        <w:t>11 每周方法学单页（NEJM近21天）</w:t>
      </w:r>
    </w:p>
    <w:p>
      <w:pPr>
        <w:pStyle w:val="ListBullet"/>
        <w:spacing w:after="0"/>
      </w:pPr>
      <w:r>
        <w:t>标题：# NEJM近21天RCT与Correspondence方法学单页（YYYY-MM-DD）。</w:t>
      </w:r>
    </w:p>
    <w:p>
      <w:pPr>
        <w:pStyle w:val="ListBullet"/>
        <w:spacing w:after="0"/>
      </w:pPr>
      <w:r>
        <w:t>控制为一页：每篇RCT≤4行拆解；Correspondence质疑与Authors’ Reply；共识/争议（3–6条）；审稿清单（≤10条）；Practice Tips（3–5条）；链接与引文。</w:t>
      </w:r>
    </w:p>
    <w:p>
      <w:pPr>
        <w:pStyle w:val="ListBullet"/>
        <w:spacing w:after="0"/>
      </w:pPr>
      <w:r>
        <w:t>Correspondence检索：NEJM官网优先；PubMed用于补充（注意索引滞后/不全）。</w:t>
      </w:r>
    </w:p>
    <w:p>
      <w:pPr>
        <w:pStyle w:val="Heading1"/>
        <w:spacing w:before="120" w:after="80"/>
      </w:pPr>
      <w:r>
        <w:t>12 工具与引用规范（关键约束）</w:t>
      </w:r>
    </w:p>
    <w:p>
      <w:pPr>
        <w:pStyle w:val="ListBullet"/>
        <w:spacing w:after="0"/>
      </w:pPr>
      <w:r>
        <w:t>必须使用网页检索以获取最新条目，避免信息过期。</w:t>
      </w:r>
    </w:p>
    <w:p>
      <w:pPr>
        <w:pStyle w:val="ListBullet"/>
        <w:spacing w:after="0"/>
      </w:pPr>
      <w:r>
        <w:t>证据层级：期刊官网 &gt; 官方机构网页 &gt; PubMed；避免引用不可靠二手摘要。</w:t>
      </w:r>
    </w:p>
    <w:p>
      <w:pPr>
        <w:pStyle w:val="ListBullet"/>
        <w:spacing w:after="0"/>
      </w:pPr>
      <w:r>
        <w:t>关键事实（主要结局、效应量、非劣效界值、发布日期/版本号）必须可追溯。</w:t>
      </w:r>
    </w:p>
    <w:p>
      <w:pPr>
        <w:pStyle w:val="Heading1"/>
        <w:spacing w:before="120" w:after="80"/>
      </w:pPr>
      <w:r>
        <w:t>13 质量控制（QC Checklist）</w:t>
      </w:r>
    </w:p>
    <w:p>
      <w:pPr>
        <w:pStyle w:val="ListBullet"/>
        <w:spacing w:after="0"/>
      </w:pPr>
      <w:r>
        <w:t>日期标题格式正确（含YYYY-MM-DD）。</w:t>
      </w:r>
    </w:p>
    <w:p>
      <w:pPr>
        <w:pStyle w:val="ListBullet"/>
        <w:spacing w:after="0"/>
      </w:pPr>
      <w:r>
        <w:t>纳入/排除严格执行（不把Editorial/Comment当原始研究）。</w:t>
      </w:r>
    </w:p>
    <w:p>
      <w:pPr>
        <w:pStyle w:val="ListBullet"/>
        <w:spacing w:after="0"/>
      </w:pPr>
      <w:r>
        <w:t>每篇研究：设计字段齐全；非劣效界值/多重性/缺失处理未遗漏。</w:t>
      </w:r>
    </w:p>
    <w:p>
      <w:pPr>
        <w:pStyle w:val="ListBullet"/>
        <w:spacing w:after="0"/>
      </w:pPr>
      <w:r>
        <w:t>可计算时必须给出绝对风险差与NNT/NNH。</w:t>
      </w:r>
    </w:p>
    <w:p>
      <w:pPr>
        <w:pStyle w:val="ListBullet"/>
        <w:spacing w:after="0"/>
      </w:pPr>
      <w:r>
        <w:t>方法学点评六项都覆盖且有明确观点。</w:t>
      </w:r>
    </w:p>
    <w:p>
      <w:pPr>
        <w:pStyle w:val="ListBullet"/>
        <w:spacing w:after="0"/>
      </w:pPr>
      <w:r>
        <w:t>TB专栏Top 3排序理由清晰。</w:t>
      </w:r>
    </w:p>
    <w:p>
      <w:pPr>
        <w:pStyle w:val="ListBullet"/>
        <w:spacing w:after="0"/>
      </w:pPr>
      <w:r>
        <w:t>指南与Preprint来源合规；Preprint标识醒目。</w:t>
      </w:r>
    </w:p>
    <w:p>
      <w:pPr>
        <w:pStyle w:val="ListBullet"/>
        <w:spacing w:after="0"/>
      </w:pPr>
      <w:r>
        <w:t>周度单页高度压缩且清单化，像“一页教学材料”。</w:t>
      </w:r>
    </w:p>
    <w:p>
      <w:pPr>
        <w:pStyle w:val="Heading1"/>
        <w:spacing w:before="120" w:after="80"/>
      </w:pPr>
      <w:r>
        <w:t>14 默认自动化排程（可选）</w:t>
      </w:r>
    </w:p>
    <w:p>
      <w:pPr>
        <w:pStyle w:val="ListBullet"/>
        <w:spacing w:after="0"/>
      </w:pPr>
      <w:r>
        <w:t>每日 run_all：07:30（系统本地时区）</w:t>
      </w:r>
    </w:p>
    <w:p>
      <w:pPr>
        <w:pStyle w:val="ListBullet"/>
        <w:spacing w:after="0"/>
      </w:pPr>
      <w:r>
        <w:t>每周 weekly：周一 08:00（系统本地时区）</w:t>
      </w:r>
    </w:p>
    <w:p>
      <w:pPr>
        <w:pStyle w:val="ListBullet"/>
        <w:spacing w:after="0"/>
      </w:pPr>
      <w:r>
        <w:t>如需调整，在自动化配置中修改RRULE时间即可。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