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Arial"/>
          <w:b/>
          <w:sz w:val="28"/>
        </w:rPr>
        <w:t>A PTR-TOFMS Breathomics Platform for Non-Sputum Tuberculosis Screening and Near-Patient Triage in LMIC Settings</w:t>
      </w:r>
    </w:p>
    <w:p/>
    <w:p>
      <w:pPr>
        <w:spacing w:before="120" w:after="80"/>
      </w:pPr>
      <w:r>
        <w:rPr>
          <w:rFonts w:ascii="Arial" w:hAnsi="Arial" w:eastAsia="Arial"/>
          <w:b/>
          <w:sz w:val="22"/>
        </w:rPr>
        <w:t>1. Introductory Information</w:t>
      </w:r>
    </w:p>
    <w:p/>
    <w:p>
      <w:pPr>
        <w:spacing w:line="240" w:lineRule="auto"/>
      </w:pPr>
      <w:r>
        <w:rPr>
          <w:rFonts w:ascii="Arial" w:hAnsi="Arial" w:eastAsia="Arial"/>
          <w:sz w:val="22"/>
        </w:rPr>
        <w:t>Tuberculosis remains one of the leading infectious causes of death globally, and the diagnostic gap is still largest in low- and middle-income countries (LMICs). A major reason is that current pathways continue to rely heavily on sputum and laboratory infrastructure. In real-world care, many patients cannot produce sputum, produce poor-quality sputum, or remain bacteriologically unconfirmed despite imaging and clinical findings that strongly suggest pulmonary tuberculosis (PTB). This problem is especially acute in bacteriologically unconfirmed pulmonary tuberculosis (PTB-U), where uncertainty can delay diagnosis, prolong inappropriate empiric treatment, and trigger repeated investigations that still fail to secure confirmation.</w:t>
      </w:r>
    </w:p>
    <w:p/>
    <w:p>
      <w:pPr>
        <w:spacing w:line="240" w:lineRule="auto"/>
      </w:pPr>
      <w:r>
        <w:rPr>
          <w:rFonts w:ascii="Arial" w:hAnsi="Arial" w:eastAsia="Arial"/>
          <w:sz w:val="22"/>
        </w:rPr>
        <w:t>At the same time, WHO target product profile (TPP) directions increasingly support non-sputum, easy-to-obtain, rapid, near-patient tools that help move patients earlier into the correct diagnostic pathway. In this context, breathomics is attractive because exhaled breath is non-invasive, easy to obtain, repeatable, and operationally compatible with front-end screening and triage. However, most published breath-based TB studies remain small, single-center, case-control, or focused mainly on bacteriologically confirmed disease rather than the intended-use populations where non-sputum tools matter most.</w:t>
      </w:r>
    </w:p>
    <w:p/>
    <w:p>
      <w:pPr>
        <w:spacing w:line="240" w:lineRule="auto"/>
      </w:pPr>
      <w:r>
        <w:rPr>
          <w:rFonts w:ascii="Arial" w:hAnsi="Arial" w:eastAsia="Arial"/>
          <w:sz w:val="22"/>
        </w:rPr>
        <w:t>We propose to develop and validate a rapid, non-sputum breathomics platform based on proton-transfer-reaction time-of-flight mass spectrometry (PTR-TOFMS) for tuberculosis screening and near-patient triage in LMIC settings. Our primary intended-use population is suspected PTB patients who are sputum-scarce or bacteriologically unconfirmed, especially PTB-U. Our secondary expansion path is integration into high-risk TB screening algorithms in combination with chest X-ray/computer-aided detection (CXR/CAD) and downstream molecular testing. Our tool is designed to complement microbiological confirmation, not replace it.</w:t>
      </w:r>
    </w:p>
    <w:p/>
    <w:p>
      <w:pPr>
        <w:spacing w:before="120" w:after="80"/>
      </w:pPr>
      <w:r>
        <w:rPr>
          <w:rFonts w:ascii="Arial" w:hAnsi="Arial" w:eastAsia="Arial"/>
          <w:b/>
          <w:sz w:val="22"/>
        </w:rPr>
        <w:t>2. Proposal Information</w:t>
      </w:r>
    </w:p>
    <w:p/>
    <w:p>
      <w:pPr>
        <w:spacing w:line="240" w:lineRule="auto"/>
      </w:pPr>
      <w:r>
        <w:rPr>
          <w:rFonts w:ascii="Arial" w:hAnsi="Arial" w:eastAsia="Arial"/>
          <w:sz w:val="22"/>
        </w:rPr>
        <w:t>Our central premise is that breathomics captures a disease-state signal associated with active pulmonary tuberculosis that extends beyond classic bacteriologically confirmed PTB and remains clinically informative in PTB-U, where a non-sputum triage tool would have the greatest value. We will apply this premise on a new PTR-TOFMS platform and focus the project on a high-value, operationally relevant use case rather than on platform transition itself.</w:t>
      </w:r>
    </w:p>
    <w:p/>
    <w:p>
      <w:pPr>
        <w:spacing w:line="240" w:lineRule="auto"/>
      </w:pPr>
      <w:r>
        <w:rPr>
          <w:rFonts w:ascii="Arial" w:hAnsi="Arial" w:eastAsia="Arial"/>
          <w:sz w:val="22"/>
        </w:rPr>
        <w:t>Our team has a strong foundation for this work. We have built a breathomics dataset exceeding 10,000 samples across disease programs. In published blinded testing, our prior TB breathomics work achieved 91.7% sensitivity, 93.0% specificity, and an AUC of 0.975 in a large PTB cohort, and maintained useful discrimination against other pulmonary diseases. In a published diabetes comorbidity study, the platform also demonstrated strong performance in a clinically difficult subgroup in whom sputum-based diagnosis frequently underperforms. We additionally have prospective bridge evidence in PTB-U from a locked-model diagnostic-accuracy study: a classifier developed in bacteriologically confirmed PTB retained discriminatory performance in PTB-U without retraining or recalibration, with a strictly independent benchmark AUC of 0.841, sensitivity of 86.1%, specificity of 82.3%, and a breath spectral quality-control pass rate of 99.0%. We also have a standardized breath sampling and quality-control SOP that includes fasting and smoking restrictions, water rinse, same-environment background-air sampling, leak checks, system blanks, environmental monitoring, and independent QC oversight.</w:t>
      </w:r>
    </w:p>
    <w:p/>
    <w:p>
      <w:pPr>
        <w:spacing w:line="240" w:lineRule="auto"/>
      </w:pPr>
      <w:r>
        <w:rPr>
          <w:rFonts w:ascii="Arial" w:hAnsi="Arial" w:eastAsia="Arial"/>
          <w:sz w:val="22"/>
        </w:rPr>
        <w:t>This project is innovative in four ways. First, it targets the intended-use population rather than repeating discrimination studies in confirmed PTB alone. Second, it treats the system as a deployable non-sputum triage platform, not merely a machine-learning classifier. Third, it combines standardized sampling, locked-model validation, and workflow integration, thereby moving beyond biomarker discovery toward implementation-informing evidence. Fourth, it focuses on LMIC-relevant operational value: fast turnaround, minimal consumables, workflow compatibility, and a credible path to lowering front-end triage costs.</w:t>
      </w:r>
    </w:p>
    <w:p/>
    <w:p>
      <w:pPr>
        <w:spacing w:line="240" w:lineRule="auto"/>
      </w:pPr>
      <w:r>
        <w:rPr>
          <w:rFonts w:ascii="Arial" w:hAnsi="Arial" w:eastAsia="Arial"/>
          <w:sz w:val="22"/>
        </w:rPr>
        <w:t>We will pursue three aims.</w:t>
      </w:r>
    </w:p>
    <w:p/>
    <w:p>
      <w:pPr>
        <w:spacing w:line="240" w:lineRule="auto"/>
      </w:pPr>
      <w:r>
        <w:rPr>
          <w:rFonts w:ascii="Arial" w:hAnsi="Arial" w:eastAsia="Arial"/>
          <w:b/>
          <w:sz w:val="22"/>
        </w:rPr>
        <w:t>Aim 1: Optimize the PTR-TOFMS platform and standardized operating package for reproducible use in real clinical settings.</w:t>
      </w:r>
    </w:p>
    <w:p>
      <w:pPr>
        <w:spacing w:line="240" w:lineRule="auto"/>
      </w:pPr>
      <w:r>
        <w:rPr>
          <w:rFonts w:ascii="Arial" w:hAnsi="Arial" w:eastAsia="Arial"/>
          <w:sz w:val="22"/>
        </w:rPr>
        <w:t>We will finalize the deployment-ready platform definition, including standardized patient preparation, environmental background control, sampling workflow, instrument calibration, system blanks, acceptance criteria, QC rules, data preprocessing, result output, training requirements, and maintenance routines. The goal is to ensure that the platform can be operated reproducibly across sites and operators under routine care conditions rather than only under tightly controlled laboratory settings.</w:t>
      </w:r>
    </w:p>
    <w:p/>
    <w:p>
      <w:pPr>
        <w:spacing w:line="240" w:lineRule="auto"/>
      </w:pPr>
      <w:r>
        <w:rPr>
          <w:rFonts w:ascii="Arial" w:hAnsi="Arial" w:eastAsia="Arial"/>
          <w:b/>
          <w:sz w:val="22"/>
        </w:rPr>
        <w:t>Aim 2: Prospectively validate a locked PTR-TOFMS breathomics model in real-world intended-use populations, especially PTB-U and sputum-scarce suspected PTB.</w:t>
      </w:r>
    </w:p>
    <w:p>
      <w:pPr>
        <w:spacing w:line="240" w:lineRule="auto"/>
      </w:pPr>
      <w:r>
        <w:rPr>
          <w:rFonts w:ascii="Arial" w:hAnsi="Arial" w:eastAsia="Arial"/>
          <w:sz w:val="22"/>
        </w:rPr>
        <w:t>We will conduct multicenter, prospective, consecutive enrollment in suspected PTB populations. The model architecture, preprocessing pipeline, and operating threshold will be locked before formal evaluation. Primary analyses will focus on active PTB overall versus non-TB and on PTB-U versus non-TB, with prespecified estimates of sensitivity, specificity, and AUC. Secondary analyses will assess cross-site transportability, subgroup robustness, and supportive pathway metrics such as time to diagnostic work-up completion and downstream microbiological testing patterns.</w:t>
      </w:r>
    </w:p>
    <w:p/>
    <w:p>
      <w:pPr>
        <w:spacing w:line="240" w:lineRule="auto"/>
      </w:pPr>
      <w:r>
        <w:rPr>
          <w:rFonts w:ascii="Arial" w:hAnsi="Arial" w:eastAsia="Arial"/>
          <w:b/>
          <w:sz w:val="22"/>
        </w:rPr>
        <w:t>Aim 3: Build the LMIC deployment, workflow integration, and cost-down pathway needed to support a cost-disruptive product proposition.</w:t>
      </w:r>
    </w:p>
    <w:p>
      <w:pPr>
        <w:spacing w:line="240" w:lineRule="auto"/>
      </w:pPr>
      <w:r>
        <w:rPr>
          <w:rFonts w:ascii="Arial" w:hAnsi="Arial" w:eastAsia="Arial"/>
          <w:sz w:val="22"/>
        </w:rPr>
        <w:t>We will define how this platform can fit into two high-value scenarios: hospital-based near-patient triage for PTB-U and sputum-constrained patients, and front-end screening for high-risk populations in conjunction with CXR/CAD or molecular testing. We will model throughput, consumables, operator burden, maintenance requirements, and cost structure, and identify the steps needed to materially reduce front-end triage costs in LMIC care pathways.</w:t>
      </w:r>
    </w:p>
    <w:p/>
    <w:p>
      <w:pPr>
        <w:spacing w:line="240" w:lineRule="auto"/>
      </w:pPr>
      <w:r>
        <w:rPr>
          <w:rFonts w:ascii="Arial" w:hAnsi="Arial" w:eastAsia="Arial"/>
          <w:sz w:val="22"/>
        </w:rPr>
        <w:t>By the end of the project, we expect to deliver a standardized PTR-TOFMS TB breathomics platform package, prospective multicenter evidence in intended-use populations, and a credible deployment pathway for LMIC screening and triage workflows.</w:t>
      </w:r>
    </w:p>
    <w:p/>
    <w:p>
      <w:pPr>
        <w:spacing w:before="120" w:after="80"/>
      </w:pPr>
      <w:r>
        <w:rPr>
          <w:rFonts w:ascii="Arial" w:hAnsi="Arial" w:eastAsia="Arial"/>
          <w:b/>
          <w:sz w:val="22"/>
        </w:rPr>
        <w:t>3. Development Plan and Path to Impact</w:t>
      </w:r>
    </w:p>
    <w:p/>
    <w:p>
      <w:pPr>
        <w:spacing w:line="240" w:lineRule="auto"/>
      </w:pPr>
      <w:r>
        <w:rPr>
          <w:rFonts w:ascii="Arial" w:hAnsi="Arial" w:eastAsia="Arial"/>
          <w:sz w:val="22"/>
        </w:rPr>
        <w:t>In months 1-9, we will finalize the platform operating parameters, standardize the SOP package, define QC thresholds, train participating sites, and lock the model and operating threshold for formal validation. This phase will generate the core technical package required for consistent multicenter implementation, including standardized sample collection, environmental controls, calibration routines, data preprocessing, and result interpretation rules.</w:t>
      </w:r>
    </w:p>
    <w:p/>
    <w:p>
      <w:pPr>
        <w:spacing w:line="240" w:lineRule="auto"/>
      </w:pPr>
      <w:r>
        <w:rPr>
          <w:rFonts w:ascii="Arial" w:hAnsi="Arial" w:eastAsia="Arial"/>
          <w:sz w:val="22"/>
        </w:rPr>
        <w:t>In months 10-24, we will conduct multicenter prospective enrollment in intended-use populations. Enrollment will prioritize suspected PTB patients who are sputum-scarce, bacteriologically unconfirmed, or otherwise difficult to triage rapidly using conventional pathways alone. During this phase we will monitor analytical stability, cross-site reproducibility, quality-control pass rates, and the ability of the locked model to maintain performance without retraining or recalibration.</w:t>
      </w:r>
    </w:p>
    <w:p/>
    <w:p>
      <w:pPr>
        <w:spacing w:line="240" w:lineRule="auto"/>
      </w:pPr>
      <w:r>
        <w:rPr>
          <w:rFonts w:ascii="Arial" w:hAnsi="Arial" w:eastAsia="Arial"/>
          <w:sz w:val="22"/>
        </w:rPr>
        <w:t>In months 25-36, we will complete validation, finalize workflow integration analyses, and complete deployment and cost modeling. We will define the strongest initial implementation case for the platform, identify the settings in which it creates the greatest near-term value, and generate the evidence package needed for the next stage of external validation and pathway studies.</w:t>
      </w:r>
    </w:p>
    <w:p/>
    <w:p>
      <w:pPr>
        <w:spacing w:line="240" w:lineRule="auto"/>
      </w:pPr>
      <w:r>
        <w:rPr>
          <w:rFonts w:ascii="Arial" w:hAnsi="Arial" w:eastAsia="Arial"/>
          <w:sz w:val="22"/>
        </w:rPr>
        <w:t>Key milestones will include: a prespecified QC pass rate target, stable analytical performance across sites, successful deployment of a locked threshold across centers, completion of a multicenter intended-use validation dataset, and delivery of a workflow and deployment package. The immediate impact of this work will be better prioritization of suspected PTB-U and sputum-scarce patients for microbiological work-up and closer clinical evaluation. The medium-term impact will be extension into high-risk screening algorithms where rapid, non-sputum triage can improve resource allocation. The long-term impact will be the establishment of a scalable breath-based respiratory diagnostics platform that can support additional LMIC use cases.</w:t>
      </w:r>
    </w:p>
    <w:p/>
    <w:p>
      <w:pPr>
        <w:spacing w:line="240" w:lineRule="auto"/>
      </w:pPr>
      <w:r>
        <w:rPr>
          <w:rFonts w:ascii="Arial" w:hAnsi="Arial" w:eastAsia="Arial"/>
          <w:sz w:val="22"/>
        </w:rPr>
        <w:t>This project is timely because it is no longer a concept-stage biomarker effort. The platform signal has already been established, the transition to PTR-TOFMS has been completed, bridge validation has been achieved, and the remaining barrier is translational: standardization, multicenter intended-use evidence, and workflow economics.</w:t>
      </w:r>
    </w:p>
    <w:p/>
    <w:p>
      <w:pPr>
        <w:spacing w:before="120" w:after="80"/>
      </w:pPr>
      <w:r>
        <w:rPr>
          <w:rFonts w:ascii="Arial" w:hAnsi="Arial" w:eastAsia="Arial"/>
          <w:b/>
          <w:sz w:val="22"/>
        </w:rPr>
        <w:t>4. Cost and Manufacturing Plan</w:t>
      </w:r>
    </w:p>
    <w:p/>
    <w:p>
      <w:pPr>
        <w:spacing w:line="240" w:lineRule="auto"/>
      </w:pPr>
      <w:r>
        <w:rPr>
          <w:rFonts w:ascii="Arial" w:hAnsi="Arial" w:eastAsia="Arial"/>
          <w:sz w:val="22"/>
        </w:rPr>
        <w:t>The cost logic of this project differs from consumable-heavy assay models. Our approach is based on reusable instrumentation, minimal per-sample consumables, rapid sample cycle time, and the potential to amortize capital costs across large testing volumes. The breath sampling workflow uses low-complexity sampling components and limited single-use materials, while avoiding reagent-intensive chemistry. This creates a credible pathway to materially lower front-end triage costs, especially in settings where sputum pathways are delayed, fragmented, or incomplete.</w:t>
      </w:r>
    </w:p>
    <w:p/>
    <w:p>
      <w:pPr>
        <w:spacing w:line="240" w:lineRule="auto"/>
      </w:pPr>
      <w:r>
        <w:rPr>
          <w:rFonts w:ascii="Arial" w:hAnsi="Arial" w:eastAsia="Arial"/>
          <w:sz w:val="22"/>
        </w:rPr>
        <w:t>Our initial product strategy will focus on high-value hospital and referral-center use cases, where the operational advantage of rapid non-sputum triage is strongest and throughput can support capital amortization. This includes PTB-U, sputum-constrained patients, and settings in which same-visit or same-day prioritization of further diagnostic work-up has clear value. A second-stage expansion path will target high-risk screening algorithms in community and outpatient settings, where higher throughput may further improve the economics.</w:t>
      </w:r>
    </w:p>
    <w:p/>
    <w:p>
      <w:pPr>
        <w:spacing w:line="240" w:lineRule="auto"/>
      </w:pPr>
      <w:r>
        <w:rPr>
          <w:rFonts w:ascii="Arial" w:hAnsi="Arial" w:eastAsia="Arial"/>
          <w:sz w:val="22"/>
        </w:rPr>
        <w:t>We will explicitly model the per-test cost structure, including sampling materials, staff time, platform operation, calibration, maintenance, and utilization assumptions. We will also define the workflow conditions needed for favorable economics, such as minimum throughput, training requirements, service schedules, and integration with existing TB work-up pathways. Manufacturing and deployment planning will emphasize standardization, simplified operation, quality-control routines, and serviceability rather than laboratory-only flexibility.</w:t>
      </w:r>
    </w:p>
    <w:p/>
    <w:p>
      <w:pPr>
        <w:spacing w:line="240" w:lineRule="auto"/>
      </w:pPr>
      <w:r>
        <w:rPr>
          <w:rFonts w:ascii="Arial" w:hAnsi="Arial" w:eastAsia="Arial"/>
          <w:sz w:val="22"/>
        </w:rPr>
        <w:t>A key risk is that capital and maintenance requirements could limit scalability in lower-resource settings. We will mitigate this risk by first targeting use cases where clinical value is high enough to justify deployment, quantifying throughput-driven cost reduction, and defining the next engineering steps toward lighter and more decentralized platform configurations. Our goal is not to claim immediate near-zero incremental cost at current maturity, but to provide a credible, staged pathway toward cost-disruptive front-end triage in LMIC workflows.</w:t>
      </w:r>
    </w:p>
    <w:p/>
    <w:p>
      <w:pPr>
        <w:spacing w:before="120" w:after="80"/>
      </w:pPr>
      <w:r>
        <w:rPr>
          <w:rFonts w:ascii="Arial" w:hAnsi="Arial" w:eastAsia="Arial"/>
          <w:b/>
          <w:sz w:val="22"/>
        </w:rPr>
        <w:t>5. Team and Capacity</w:t>
      </w:r>
    </w:p>
    <w:p/>
    <w:p>
      <w:pPr>
        <w:spacing w:line="240" w:lineRule="auto"/>
      </w:pPr>
      <w:r>
        <w:rPr>
          <w:rFonts w:ascii="Arial" w:hAnsi="Arial" w:eastAsia="Arial"/>
          <w:sz w:val="22"/>
        </w:rPr>
        <w:t>Our team combines three capabilities rarely assembled in a single program: deep clinical TB expertise, a large breathomics data and methods foundation, and a translational device platform.</w:t>
      </w:r>
    </w:p>
    <w:p/>
    <w:p>
      <w:pPr>
        <w:spacing w:line="240" w:lineRule="auto"/>
      </w:pPr>
      <w:r>
        <w:rPr>
          <w:rFonts w:ascii="Arial" w:hAnsi="Arial" w:eastAsia="Arial"/>
          <w:sz w:val="22"/>
        </w:rPr>
        <w:t>The clinical team is anchored in a high-volume tuberculosis referral center with direct access to suspected PTB, PTB-U, and relevant non-TB comparator populations. This gives the project immediate access to the intended-use populations that matter most for non-sputum triage. The analytical platform team has extensive experience in PTR-TOFMS operation, calibration, signal processing, standardized breath workflows, and device optimization. The data and AI team has experience in preprocessing, locked-model deployment, prospective diagnostic-accuracy evaluation, and reporting aligned with STARD and TRIPOD+AI principles. Together, the team has already produced published work in PTB, TB-DM, LTBI, and infectious-disease breathomics, and has established a standardized SOP and QC infrastructure for breath sampling and analysis.</w:t>
      </w:r>
    </w:p>
    <w:p/>
    <w:p>
      <w:pPr>
        <w:spacing w:line="240" w:lineRule="auto"/>
      </w:pPr>
      <w:r>
        <w:rPr>
          <w:rFonts w:ascii="Arial" w:hAnsi="Arial" w:eastAsia="Arial"/>
          <w:sz w:val="22"/>
        </w:rPr>
        <w:t>We also have the translational readiness needed for this project. We have already completed the transition to the PTR-TOFMS platform, built a large historical breath dataset, demonstrated bridge evidence in PTB-U, and established an operational workflow that supports multicenter deployment. The project therefore starts from a mature translational base rather than from an early exploratory stage. Few groups can combine a clinically meaningful intended-use focus, a large breathomics evidence base, a deployable mass-spectrometry platform, and prospective PTB-U bridge evidence. This combination makes our team particularly well positioned to deliver the standardized platform package, intended-use validation, and LMIC deployment pathway proposed here.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