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eastAsia="Arial"/>
          <w:b/>
          <w:sz w:val="28"/>
        </w:rPr>
        <w:t>Budget Narrative</w:t>
      </w:r>
    </w:p>
    <w:p/>
    <w:p>
      <w:pPr>
        <w:spacing w:line="240" w:lineRule="auto"/>
      </w:pPr>
      <w:r>
        <w:rPr>
          <w:rFonts w:ascii="Arial" w:hAnsi="Arial" w:eastAsia="Arial"/>
          <w:b w:val="0"/>
          <w:sz w:val="22"/>
        </w:rPr>
        <w:t>The requested budget is designed to support a 36-month translational program that moves a PTR-TOFMS breathomics platform from strong single-platform evidence to multicenter intended-use validation and LMIC deployment planning. Personnel costs support the core interdisciplinary team required for delivery, including clinical investigators, study coordinators, breath-platform operators, analytical scientists, data and AI staff, and project management. These roles are essential because the project depends on standardized participant handling, sample collection, instrument calibration, quality-control oversight, locked-model deployment, and prospective diagnostic-accuracy analysis across multiple sites.</w:t>
      </w:r>
    </w:p>
    <w:p/>
    <w:p>
      <w:pPr>
        <w:spacing w:line="240" w:lineRule="auto"/>
      </w:pPr>
      <w:r>
        <w:rPr>
          <w:rFonts w:ascii="Arial" w:hAnsi="Arial" w:eastAsia="Arial"/>
          <w:b w:val="0"/>
          <w:sz w:val="22"/>
        </w:rPr>
        <w:t>Sub-contract and sub-grant costs will support participating clinical centers and specialized collaborators responsible for enrollment, local operations, data management, and site-level quality implementation. These costs are necessary to achieve the multicenter intended-use design and to ensure that the platform is evaluated across realistic case mix and workflow variability rather than under a single-center, laboratory-style setting.</w:t>
      </w:r>
    </w:p>
    <w:p/>
    <w:p>
      <w:pPr>
        <w:spacing w:line="240" w:lineRule="auto"/>
      </w:pPr>
      <w:r>
        <w:rPr>
          <w:rFonts w:ascii="Arial" w:hAnsi="Arial" w:eastAsia="Arial"/>
          <w:b w:val="0"/>
          <w:sz w:val="22"/>
        </w:rPr>
        <w:t>Capital assets and equipment costs cover platform-related hardware needs required for standardized PTR-TOFMS operation, site readiness, calibration support, and secure data capture. We do not position the project as a consumable-heavy assay program; instead, capital items are used to enable reusable instrumentation and standardized operation, which is central to the proposed cost-disruptive logic. Supplies include breath-sampling bags or equivalent collection components, single-use patient-facing materials, certified calibration gases, system blank and QC materials, labeling and transport materials, and infection-control consumables. These are limited but essential for reproducible breath collection, contamination control, and quality assurance.</w:t>
      </w:r>
    </w:p>
    <w:p/>
    <w:p>
      <w:pPr>
        <w:spacing w:line="240" w:lineRule="auto"/>
      </w:pPr>
      <w:r>
        <w:rPr>
          <w:rFonts w:ascii="Arial" w:hAnsi="Arial" w:eastAsia="Arial"/>
          <w:b w:val="0"/>
          <w:sz w:val="22"/>
        </w:rPr>
        <w:t>Travel costs support site initiation, training, monitoring, and cross-site quality harmonization. Because the success of the project depends on standardized implementation, training and oversight are not optional activities; they are central to ensuring that analytical performance reflects platform capability rather than uncontrolled site variation. Other direct costs include ethics and regulatory administration, database and software support, secure data management, statistical analysis, health-economic modeling, and dissemination of findings. Indirect costs are requested in accordance with the funder’s policy and will support institutional infrastructure required for compliant project execution.</w:t>
      </w:r>
    </w:p>
    <w:p/>
    <w:p>
      <w:pPr>
        <w:spacing w:line="240" w:lineRule="auto"/>
      </w:pPr>
      <w:r>
        <w:rPr>
          <w:rFonts w:ascii="Arial" w:hAnsi="Arial" w:eastAsia="Arial"/>
          <w:b w:val="0"/>
          <w:sz w:val="22"/>
        </w:rPr>
        <w:t>Overall, the budget is aligned to three outcomes: a standardized PTR-TOFMS operating package, prospective multicenter evidence in intended-use TB populations, and a credible LMIC deployment and cost pathway. The requested funds are therefore tied directly to the project’s translational objectives rather than to exploratory biomarker discovery alone.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