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Microsoft YaHei"/>
          <w:b/>
          <w:sz w:val="28"/>
        </w:rPr>
        <w:t>预算说明</w:t>
      </w:r>
    </w:p>
    <w:p/>
    <w:p>
      <w:pPr>
        <w:spacing w:line="240" w:lineRule="auto"/>
      </w:pPr>
      <w:r>
        <w:rPr>
          <w:rFonts w:ascii="Calibri" w:hAnsi="Calibri" w:eastAsia="Microsoft YaHei"/>
          <w:b w:val="0"/>
          <w:sz w:val="22"/>
        </w:rPr>
        <w:t>本项目拟申请的经费用于支持一个为期 36 个月的转化项目，目标是将基于 PTR-TOFMS 的呼气组学平台，从已有较强单平台证据推进到多中心 intended-use 验证和 LMIC 部署路径论证。人员费用主要支持完成项目所必需的跨学科团队，包括临床研究者、研究协调员、呼气平台操作人员、分析科学家、数据与 AI 人员以及项目管理人员。由于本项目依赖标准化受试者处理、样本采集、设备校准、独立质控监督、锁定模型部署和前瞻性诊断准确性分析，这些岗位均为项目实施所必需。</w:t>
      </w:r>
    </w:p>
    <w:p/>
    <w:p>
      <w:pPr>
        <w:spacing w:line="240" w:lineRule="auto"/>
      </w:pPr>
      <w:r>
        <w:rPr>
          <w:rFonts w:ascii="Calibri" w:hAnsi="Calibri" w:eastAsia="Microsoft YaHei"/>
          <w:b w:val="0"/>
          <w:sz w:val="22"/>
        </w:rPr>
        <w:t>委托合作和合作单位经费将用于支持参与中心和专门协作方完成受试者入组、现场运行、数据管理和中心级质量执行。多中心设计是本项目 intended-use 证据的核心，因此这些费用不是附加开支，而是实现真实世界验证所必需的组成部分。通过这些支持，平台可以在具有代表性的病例谱和工作流变异下接受评估，而不是局限于单中心、类实验室条件的验证。</w:t>
      </w:r>
    </w:p>
    <w:p/>
    <w:p>
      <w:pPr>
        <w:spacing w:line="240" w:lineRule="auto"/>
      </w:pPr>
      <w:r>
        <w:rPr>
          <w:rFonts w:ascii="Calibri" w:hAnsi="Calibri" w:eastAsia="Microsoft YaHei"/>
          <w:b w:val="0"/>
          <w:sz w:val="22"/>
        </w:rPr>
        <w:t>设备与资本性支出主要覆盖平台运行所需的硬件条件、中心准备、校准支持和安全数据采集条件。本项目并不属于高耗材检测试剂项目，相反，部分资本投入正是为了支撑可重复使用的仪器平台和标准化运行逻辑，这也是平台具备 cost-disruptive 潜力的重要基础。耗材费用主要包括呼气采样袋或等效采样组件、与受试者接触的一次性材料、经认证的校准气体、系统空白和质控材料、标签和转运材料以及感染控制相关用品。虽然耗材总量有限，但它们对呼气采样的一致性、污染控制和质量保证至关重要。</w:t>
      </w:r>
    </w:p>
    <w:p/>
    <w:p>
      <w:pPr>
        <w:spacing w:line="240" w:lineRule="auto"/>
      </w:pPr>
      <w:r>
        <w:rPr>
          <w:rFonts w:ascii="Calibri" w:hAnsi="Calibri" w:eastAsia="Microsoft YaHei"/>
          <w:b w:val="0"/>
          <w:sz w:val="22"/>
        </w:rPr>
        <w:t>差旅费用将用于中心启动、统一培训、监查以及跨中心质量一致性维护。由于本项目的成功高度依赖标准化实施，培训和现场监督不是可有可无的辅助活动，而是确保最终性能反映平台真实能力而非中心差异的重要条件。其他直接费用将包括伦理和行政管理、数据库和软件支持、安全数据管理、统计分析、卫生经济学建模以及成果传播。间接费用将按照资助方政策申请，用于支持合规项目执行所需的机构基础设施。</w:t>
      </w:r>
    </w:p>
    <w:p/>
    <w:p>
      <w:pPr>
        <w:spacing w:line="240" w:lineRule="auto"/>
      </w:pPr>
      <w:r>
        <w:rPr>
          <w:rFonts w:ascii="Calibri" w:hAnsi="Calibri" w:eastAsia="Microsoft YaHei"/>
          <w:b w:val="0"/>
          <w:sz w:val="22"/>
        </w:rPr>
        <w:t>总体而言，本项目预算直接服务于三个核心产出：一套标准化 PTR-TOFMS 平台运行包、一套多中心 intended-use TB 人群前瞻性证据，以及一条可信的 LMIC 部署与成本路径。因此，所申请经费与项目的转化目标直接相关，而不是用于单纯的探索性生物标志物发现。</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