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Low confirmed post-treatment failure after a pretomanid-free bedaquiline-delamanid-linezolid strategy with or without moxifloxacin for rifampicin-resistant tuberculosis in China</w:t>
      </w:r>
    </w:p>
    <w:p>
      <w:pPr>
        <w:jc w:val="center"/>
      </w:pPr>
      <w:r>
        <w:rPr>
          <w:i/>
        </w:rPr>
        <w:t>Preferred category: TBScience abstract</w:t>
      </w:r>
    </w:p>
    <w:p>
      <w:pPr>
        <w:jc w:val="center"/>
      </w:pPr>
      <w:r>
        <w:rPr>
          <w:i/>
        </w:rPr>
        <w:t>Approximate abstract word count: 295</w:t>
      </w:r>
    </w:p>
    <w:p>
      <w:r>
        <w:rPr>
          <w:b/>
          <w:sz w:val="24"/>
        </w:rPr>
        <w:t>Polished Abstract</w:t>
      </w:r>
    </w:p>
    <w:p>
      <w:pPr>
        <w:spacing w:after="120"/>
      </w:pPr>
      <w:r>
        <w:rPr>
          <w:b/>
        </w:rPr>
        <w:t xml:space="preserve">Background: </w:t>
      </w:r>
      <w:r>
        <w:rPr>
          <w:b w:val="0"/>
        </w:rPr>
        <w:t>Pretomanid-containing short-course regimens have reshaped treatment expectations for rifampicin-resistant tuberculosis (RR-TB), but pretomanid remains unavailable in some settings. We evaluated post-treatment outcomes of a pretomanid-free strategy based on bedaquiline, delamanid and linezolid, with or without moxifloxacin (BDL/M), in an ongoing strategy-guided clinical study in China.</w:t>
      </w:r>
    </w:p>
    <w:p>
      <w:pPr>
        <w:spacing w:after="120"/>
      </w:pPr>
      <w:r>
        <w:rPr>
          <w:b/>
        </w:rPr>
        <w:t xml:space="preserve">Methods: </w:t>
      </w:r>
      <w:r>
        <w:rPr>
          <w:b w:val="0"/>
        </w:rPr>
        <w:t>We conducted an interim descriptive analysis of protocol-consistent participants managed with BDL or BDLM. Because composite unfavorable outcomes may overstate biological treatment failure when follow-up attrition is substantial, we reconstructed strict post-treatment endpoints that separated confirmed failure/relapse from loss to follow-up and withdrawal. For this analysis, the primary endpoint was confirmed failure/relapse by 6 months after treatment completion; the secondary endpoint was confirmed failure/relapse by 12 months. Month-2 culture conversion and end-of-treatment culture status were also summarized.</w:t>
      </w:r>
    </w:p>
    <w:p>
      <w:pPr>
        <w:spacing w:after="120"/>
      </w:pPr>
      <w:r>
        <w:rPr>
          <w:b/>
        </w:rPr>
        <w:t xml:space="preserve">Results: </w:t>
      </w:r>
      <w:r>
        <w:rPr>
          <w:b w:val="0"/>
        </w:rPr>
        <w:t>Among 122 entered records, 121 unique participants remained after deduplication; 108 protocol-consistent participants were included (49 BDL, 59 BDLM). Among evaluable participants, month-2 culture conversion was 90/101 (89.1%; 95% CI 81.3-94.4), and end-of-treatment culture negativity was 78/78 (100.0%; 95% CI 95.4-100.0). Confirmed failure/relapse occurred in 2/108 participants by 6 months after treatment completion (1.9%; 95% CI 0.2-6.5) and remained 2/108 by 12 months (1.9%; 95% CI 0.2-6.5). At 6 months, 17/108 participants (15.7%) were classified as lost to follow-up and 8/108 (7.4%) as withdrawn; at 12 months, these proportions were 36/108 (33.3%) and 8/108 (7.4%), respectively. Both confirmed failure/relapse events occurred in the BDL group; none were observed in the BDLM group, although treatment allocation was strategy-guided rather than randomized.</w:t>
      </w:r>
    </w:p>
    <w:p>
      <w:pPr>
        <w:spacing w:after="120"/>
      </w:pPr>
      <w:r>
        <w:rPr>
          <w:b/>
        </w:rPr>
        <w:t xml:space="preserve">Conclusions: </w:t>
      </w:r>
      <w:r>
        <w:rPr>
          <w:b w:val="0"/>
        </w:rPr>
        <w:t>In this interim analysis from a pretomanid-unavailable setting, a pretomanid-free BDL/M strategy showed strong early microbiological response and a low rate of confirmed post-treatment failure/relapse. Apparent long-term unfavorable outcomes were driven primarily by follow-up attrition rather than confirmed biological recurrence. Participants classified as lost to follow-up at 12 months remain under active tracing.</w:t>
      </w:r>
    </w:p>
    <w:p/>
    <w:p>
      <w:r>
        <w:rPr>
          <w:b/>
          <w:sz w:val="24"/>
        </w:rPr>
        <w:t>Preferred Figure</w:t>
      </w:r>
    </w:p>
    <w:p>
      <w:r>
        <w:rPr>
          <w:b/>
        </w:rPr>
        <w:t>Key efficacy signals of a pretomanid-free BDL/M strategy for RR-TB in China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869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on_abstract_figure_confirmed_sig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6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Figure. Key efficacy signals of a pretomanid-free BDL/M strategy for rifampicin-resistant tuberculosis in China. Left panel shows month-2 culture conversion and end-of-treatment culture negativity; right panel shows confirmed failure/relapse by 6 and 12 months after treatment completion. Points represent proportions and whiskers exact 95% confidence intervals. Loss to follow-up and withdrawal are described in the text; participants classified as lost to follow-up at 12 months remain under active tracing.</w:t>
      </w:r>
    </w:p>
    <w:p/>
    <w:p>
      <w:r>
        <w:rPr>
          <w:b/>
        </w:rPr>
        <w:t>Submission Notes</w:t>
      </w:r>
    </w:p>
    <w:p>
      <w:pPr>
        <w:pStyle w:val="ListBullet"/>
      </w:pPr>
      <w:r>
        <w:t>Keep the main efficacy phrase as 'confirmed failure/relapse'.</w:t>
      </w:r>
    </w:p>
    <w:p>
      <w:pPr>
        <w:pStyle w:val="ListBullet"/>
      </w:pPr>
      <w:r>
        <w:t>Avoid causal claims between BDL and BDLM because treatment allocation was strategy-guided rather than randomized.</w:t>
      </w:r>
    </w:p>
    <w:p>
      <w:pPr>
        <w:pStyle w:val="ListBullet"/>
      </w:pPr>
      <w:r>
        <w:t>If the abstract system has a strict word cap, shorten the Methods paragraph first.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