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F2CAE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临床研究框架</w:t>
      </w:r>
    </w:p>
    <w:p w14:paraId="021DF48D">
      <w:pPr>
        <w:rPr>
          <w:rFonts w:hint="default"/>
          <w:b/>
          <w:bCs/>
          <w:lang w:eastAsia="zh-CN"/>
        </w:rPr>
      </w:pPr>
    </w:p>
    <w:p w14:paraId="623FBA45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题目: 抗结核治疗中非结核分枝杆菌感染的发生和管理：一项来自四个前瞻性治疗队列的观察性研究</w:t>
      </w:r>
    </w:p>
    <w:p w14:paraId="44373054">
      <w:pPr>
        <w:rPr>
          <w:rFonts w:hint="default"/>
          <w:lang w:eastAsia="zh-CN"/>
        </w:rPr>
      </w:pPr>
    </w:p>
    <w:p w14:paraId="4E18818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44B735EC">
      <w:pPr>
        <w:rPr>
          <w:rFonts w:hint="default"/>
          <w:lang w:eastAsia="zh-CN"/>
        </w:rPr>
      </w:pPr>
    </w:p>
    <w:p w14:paraId="34ED1D65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一、研究背景</w:t>
      </w:r>
    </w:p>
    <w:p w14:paraId="2D190B93">
      <w:pPr>
        <w:rPr>
          <w:rFonts w:hint="default"/>
          <w:lang w:eastAsia="zh-CN"/>
        </w:rPr>
      </w:pPr>
    </w:p>
    <w:p w14:paraId="392793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非结核分枝杆菌（NTM）感染在全球范围内的发生率逐年上升，NTM感染的临床和影像学表现常与结核病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TB</w:t>
      </w:r>
      <w:r>
        <w:rPr>
          <w:rFonts w:hint="eastAsia"/>
          <w:lang w:eastAsia="zh-CN"/>
        </w:rPr>
        <w:t>）</w:t>
      </w:r>
      <w:r>
        <w:rPr>
          <w:rFonts w:hint="default"/>
          <w:lang w:eastAsia="zh-CN"/>
        </w:rPr>
        <w:t>相似，容易导致误诊和治疗延误。</w:t>
      </w:r>
    </w:p>
    <w:p w14:paraId="683C79EF">
      <w:pPr>
        <w:rPr>
          <w:rFonts w:hint="default"/>
          <w:lang w:eastAsia="zh-CN"/>
        </w:rPr>
      </w:pPr>
    </w:p>
    <w:p w14:paraId="11607C88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在抗结核治疗</w:t>
      </w:r>
      <w:r>
        <w:rPr>
          <w:rFonts w:hint="eastAsia"/>
          <w:lang w:val="en-US" w:eastAsia="zh-CN"/>
        </w:rPr>
        <w:t>中发生NTM感染的情况偶有报道，但</w:t>
      </w:r>
      <w:r>
        <w:rPr>
          <w:rFonts w:hint="default"/>
          <w:lang w:val="en-US" w:eastAsia="zh-CN"/>
        </w:rPr>
        <w:t>既往研究多为回顾性或病例报道，缺乏在前瞻性队列中对TB与NTM共感染的系统性研究。</w:t>
      </w:r>
    </w:p>
    <w:p w14:paraId="34022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  <w:lang w:val="zh-CN" w:eastAsia="zh-CN"/>
        </w:rPr>
        <w:t>GAO J, PEI Y, YAN X, et al. Emergence of nontuberculous mycobacteria infections during bedaquiline-containing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zh-CN" w:eastAsia="zh-CN"/>
        </w:rPr>
        <w:t>regimens in multidrug-resistant tuberculosis patients[J]. Int J Infect Dis, 2020,100: 196-198.</w:t>
      </w:r>
      <w:r>
        <w:rPr>
          <w:rFonts w:hint="eastAsia"/>
          <w:lang w:val="en-US" w:eastAsia="zh-CN"/>
        </w:rPr>
        <w:t>]</w:t>
      </w:r>
    </w:p>
    <w:p w14:paraId="59CD22C0">
      <w:pPr>
        <w:rPr>
          <w:rFonts w:hint="default"/>
          <w:lang w:val="en-US" w:eastAsia="zh-CN"/>
        </w:rPr>
      </w:pPr>
    </w:p>
    <w:p w14:paraId="023198C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深圳市</w:t>
      </w:r>
      <w:r>
        <w:rPr>
          <w:rFonts w:hint="eastAsia"/>
          <w:lang w:eastAsia="zh-CN"/>
        </w:rPr>
        <w:t>流动人口较多，位于</w:t>
      </w:r>
      <w:r>
        <w:rPr>
          <w:rFonts w:hint="default"/>
          <w:lang w:eastAsia="zh-CN"/>
        </w:rPr>
        <w:t>中国东南沿海，</w:t>
      </w:r>
      <w:r>
        <w:rPr>
          <w:rFonts w:hint="eastAsia"/>
          <w:lang w:eastAsia="zh-CN"/>
        </w:rPr>
        <w:t>其</w:t>
      </w:r>
      <w:r>
        <w:rPr>
          <w:rFonts w:hint="eastAsia"/>
          <w:lang w:val="en-US" w:eastAsia="zh-CN"/>
        </w:rPr>
        <w:t>TB和</w:t>
      </w:r>
      <w:r>
        <w:rPr>
          <w:rFonts w:hint="default"/>
          <w:lang w:eastAsia="zh-CN"/>
        </w:rPr>
        <w:t>NTM发病率</w:t>
      </w:r>
      <w:r>
        <w:rPr>
          <w:rFonts w:hint="eastAsia"/>
          <w:lang w:eastAsia="zh-CN"/>
        </w:rPr>
        <w:t>均</w:t>
      </w:r>
      <w:r>
        <w:rPr>
          <w:rFonts w:hint="default"/>
          <w:lang w:eastAsia="zh-CN"/>
        </w:rPr>
        <w:t>较高。我们在深圳市建立了四个结核病治疗队列，为研究抗结核治疗过程中NTM感染的发生和管理提供了机会。</w:t>
      </w:r>
      <w:r>
        <w:rPr>
          <w:rFonts w:hint="eastAsia"/>
          <w:lang w:eastAsia="zh-CN"/>
        </w:rPr>
        <w:t>本研究旨在分析</w:t>
      </w:r>
      <w:r>
        <w:rPr>
          <w:rFonts w:hint="default"/>
          <w:lang w:eastAsia="zh-CN"/>
        </w:rPr>
        <w:t>不同队列中NTM发生率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菌种</w:t>
      </w:r>
      <w:r>
        <w:rPr>
          <w:rFonts w:hint="eastAsia"/>
          <w:lang w:eastAsia="zh-CN"/>
        </w:rPr>
        <w:t>分布和同源性</w:t>
      </w:r>
      <w:r>
        <w:rPr>
          <w:rFonts w:hint="default"/>
          <w:lang w:eastAsia="zh-CN"/>
        </w:rPr>
        <w:t>，以及</w:t>
      </w:r>
      <w:r>
        <w:rPr>
          <w:rFonts w:hint="eastAsia"/>
          <w:lang w:eastAsia="zh-CN"/>
        </w:rPr>
        <w:t>针对</w:t>
      </w:r>
      <w:r>
        <w:rPr>
          <w:rFonts w:hint="default"/>
          <w:lang w:eastAsia="zh-CN"/>
        </w:rPr>
        <w:t>NTM感染</w:t>
      </w:r>
      <w:r>
        <w:rPr>
          <w:rFonts w:hint="eastAsia"/>
          <w:lang w:eastAsia="zh-CN"/>
        </w:rPr>
        <w:t>进行治疗</w:t>
      </w:r>
      <w:r>
        <w:rPr>
          <w:rFonts w:hint="default"/>
          <w:lang w:eastAsia="zh-CN"/>
        </w:rPr>
        <w:t>的</w:t>
      </w:r>
      <w:r>
        <w:rPr>
          <w:rFonts w:hint="eastAsia"/>
          <w:lang w:eastAsia="zh-CN"/>
        </w:rPr>
        <w:t>疗效和必要性</w:t>
      </w:r>
      <w:r>
        <w:rPr>
          <w:rFonts w:hint="default"/>
          <w:lang w:eastAsia="zh-CN"/>
        </w:rPr>
        <w:t>。</w:t>
      </w:r>
    </w:p>
    <w:p w14:paraId="2602558F">
      <w:pPr>
        <w:rPr>
          <w:rFonts w:hint="default"/>
          <w:lang w:eastAsia="zh-CN"/>
        </w:rPr>
      </w:pPr>
    </w:p>
    <w:p w14:paraId="46697F1B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二、研究目的</w:t>
      </w:r>
    </w:p>
    <w:p w14:paraId="7CD39F8E">
      <w:pPr>
        <w:rPr>
          <w:rFonts w:hint="default"/>
          <w:lang w:eastAsia="zh-CN"/>
        </w:rPr>
      </w:pPr>
    </w:p>
    <w:p w14:paraId="59F53B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主要目的：</w:t>
      </w:r>
    </w:p>
    <w:p w14:paraId="52C7FB6F">
      <w:pPr>
        <w:rPr>
          <w:rFonts w:hint="default"/>
          <w:lang w:eastAsia="zh-CN"/>
        </w:rPr>
      </w:pPr>
    </w:p>
    <w:p w14:paraId="3F6A2C7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确定抗结核治疗过程中NTM感染的发生率和菌种分布。</w:t>
      </w:r>
    </w:p>
    <w:p w14:paraId="79452740">
      <w:pPr>
        <w:rPr>
          <w:rFonts w:hint="default"/>
          <w:lang w:eastAsia="zh-CN"/>
        </w:rPr>
      </w:pPr>
    </w:p>
    <w:p w14:paraId="5B640EF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次要目的：</w:t>
      </w:r>
    </w:p>
    <w:p w14:paraId="4DE3B8C3">
      <w:pPr>
        <w:rPr>
          <w:rFonts w:hint="default"/>
          <w:lang w:eastAsia="zh-CN"/>
        </w:rPr>
      </w:pPr>
    </w:p>
    <w:p w14:paraId="45014263">
      <w:pPr>
        <w:rPr>
          <w:rFonts w:hint="eastAsia"/>
          <w:lang w:eastAsia="zh-CN"/>
        </w:rPr>
      </w:pPr>
      <w:r>
        <w:rPr>
          <w:rFonts w:hint="default"/>
          <w:lang w:eastAsia="zh-CN"/>
        </w:rPr>
        <w:t>- 比较不同抗结核治疗方案对NTM感染发生率的影响</w:t>
      </w:r>
      <w:r>
        <w:rPr>
          <w:rFonts w:hint="eastAsia"/>
          <w:lang w:eastAsia="zh-CN"/>
        </w:rPr>
        <w:t>。</w:t>
      </w:r>
    </w:p>
    <w:p w14:paraId="31B681E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通过分子流行病学分析，探讨NTM菌株的同源性。</w:t>
      </w:r>
    </w:p>
    <w:p w14:paraId="51C9064F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eastAsia="zh-CN"/>
        </w:rPr>
        <w:t>区分</w:t>
      </w:r>
      <w:r>
        <w:rPr>
          <w:rFonts w:hint="eastAsia"/>
          <w:lang w:val="en-US" w:eastAsia="zh-CN"/>
        </w:rPr>
        <w:t>NTM的</w:t>
      </w:r>
      <w:r>
        <w:rPr>
          <w:rFonts w:hint="default"/>
          <w:lang w:eastAsia="zh-CN"/>
        </w:rPr>
        <w:t>定植与</w:t>
      </w:r>
      <w:r>
        <w:rPr>
          <w:rFonts w:hint="eastAsia"/>
          <w:lang w:eastAsia="zh-CN"/>
        </w:rPr>
        <w:t>发病</w:t>
      </w:r>
      <w:r>
        <w:rPr>
          <w:rFonts w:hint="default"/>
          <w:lang w:eastAsia="zh-CN"/>
        </w:rPr>
        <w:t>。</w:t>
      </w:r>
    </w:p>
    <w:p w14:paraId="4268258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评估针对NTM感染的治疗在TB-NTM共感染患者中的</w:t>
      </w:r>
      <w:r>
        <w:rPr>
          <w:rFonts w:hint="eastAsia"/>
          <w:lang w:eastAsia="zh-CN"/>
        </w:rPr>
        <w:t>有效性、安全性，讨论其治疗</w:t>
      </w:r>
      <w:r>
        <w:rPr>
          <w:rFonts w:hint="default"/>
          <w:lang w:eastAsia="zh-CN"/>
        </w:rPr>
        <w:t>必要性</w:t>
      </w:r>
      <w:r>
        <w:rPr>
          <w:rFonts w:hint="eastAsia"/>
          <w:lang w:eastAsia="zh-CN"/>
        </w:rPr>
        <w:t>和管理策略</w:t>
      </w:r>
      <w:r>
        <w:rPr>
          <w:rFonts w:hint="default"/>
          <w:lang w:eastAsia="zh-CN"/>
        </w:rPr>
        <w:t>。</w:t>
      </w:r>
    </w:p>
    <w:p w14:paraId="4EAB9E7C">
      <w:pPr>
        <w:rPr>
          <w:rFonts w:hint="default"/>
          <w:lang w:eastAsia="zh-CN"/>
        </w:rPr>
      </w:pPr>
    </w:p>
    <w:p w14:paraId="491566F1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三、研究设计</w:t>
      </w:r>
    </w:p>
    <w:p w14:paraId="36594ACF">
      <w:pPr>
        <w:rPr>
          <w:rFonts w:hint="default"/>
          <w:lang w:eastAsia="zh-CN"/>
        </w:rPr>
      </w:pPr>
    </w:p>
    <w:p w14:paraId="429A45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本研究为</w:t>
      </w:r>
      <w:r>
        <w:rPr>
          <w:rFonts w:hint="eastAsia"/>
          <w:lang w:eastAsia="zh-CN"/>
        </w:rPr>
        <w:t>单</w:t>
      </w:r>
      <w:r>
        <w:rPr>
          <w:rFonts w:hint="default"/>
          <w:lang w:eastAsia="zh-CN"/>
        </w:rPr>
        <w:t>中心、前瞻性、观察性研究，基于四个</w:t>
      </w:r>
      <w:bookmarkStart w:id="0" w:name="_GoBack"/>
      <w:bookmarkEnd w:id="0"/>
      <w:r>
        <w:rPr>
          <w:rFonts w:hint="default"/>
          <w:lang w:eastAsia="zh-CN"/>
        </w:rPr>
        <w:t>结核病治疗队列的数据进行分析。</w:t>
      </w:r>
    </w:p>
    <w:p w14:paraId="1ECE13D5">
      <w:pPr>
        <w:rPr>
          <w:rFonts w:hint="eastAsia"/>
          <w:lang w:val="en-US" w:eastAsia="zh-CN"/>
        </w:rPr>
      </w:pPr>
    </w:p>
    <w:p w14:paraId="22FB3A7F">
      <w:pPr>
        <w:rPr>
          <w:rFonts w:hint="default"/>
          <w:lang w:val="en-US" w:eastAsia="zh-CN"/>
        </w:rPr>
      </w:pPr>
    </w:p>
    <w:p w14:paraId="51537799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四、研究对象</w:t>
      </w:r>
    </w:p>
    <w:p w14:paraId="510B33A2">
      <w:pPr>
        <w:rPr>
          <w:rFonts w:hint="default"/>
          <w:lang w:eastAsia="zh-CN"/>
        </w:rPr>
      </w:pPr>
    </w:p>
    <w:p w14:paraId="7A044E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纳入标准：</w:t>
      </w:r>
    </w:p>
    <w:p w14:paraId="53206E3F">
      <w:pPr>
        <w:rPr>
          <w:rFonts w:hint="default"/>
          <w:lang w:eastAsia="zh-CN"/>
        </w:rPr>
      </w:pPr>
    </w:p>
    <w:p w14:paraId="7357179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符合四个队列（DS-TB、TB-DM、MDR-Chin、SEAL-MDR）入组标准的患者。</w:t>
      </w:r>
    </w:p>
    <w:p w14:paraId="40A57A3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在抗结核治疗过程中接受定期痰培养和菌株分型检测的患者。</w:t>
      </w:r>
    </w:p>
    <w:p w14:paraId="6C8D35F1">
      <w:pPr>
        <w:rPr>
          <w:rFonts w:hint="default"/>
          <w:lang w:eastAsia="zh-CN"/>
        </w:rPr>
      </w:pPr>
    </w:p>
    <w:p w14:paraId="3AEE0BC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表</w:t>
      </w:r>
      <w:r>
        <w:rPr>
          <w:rFonts w:hint="eastAsia"/>
          <w:b/>
          <w:bCs/>
          <w:lang w:val="en-US" w:eastAsia="zh-CN"/>
        </w:rPr>
        <w:t xml:space="preserve">1 </w:t>
      </w:r>
      <w:r>
        <w:rPr>
          <w:rFonts w:hint="eastAsia"/>
          <w:b/>
          <w:bCs/>
          <w:lang w:eastAsia="zh-CN"/>
        </w:rPr>
        <w:t>四个队列中的</w:t>
      </w:r>
      <w:r>
        <w:rPr>
          <w:rFonts w:hint="eastAsia"/>
          <w:b/>
          <w:bCs/>
          <w:lang w:val="en-US" w:eastAsia="zh-CN"/>
        </w:rPr>
        <w:t>NTM发生率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20"/>
        <w:gridCol w:w="1420"/>
        <w:gridCol w:w="1420"/>
        <w:gridCol w:w="1420"/>
      </w:tblGrid>
      <w:tr w14:paraId="252D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3D7EDC02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耐药类型</w:t>
            </w:r>
          </w:p>
        </w:tc>
        <w:tc>
          <w:tcPr>
            <w:tcW w:w="1419" w:type="dxa"/>
          </w:tcPr>
          <w:p w14:paraId="0442C99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具体研究</w:t>
            </w:r>
          </w:p>
        </w:tc>
        <w:tc>
          <w:tcPr>
            <w:tcW w:w="1420" w:type="dxa"/>
          </w:tcPr>
          <w:p w14:paraId="1643FDA2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队列人数（例）</w:t>
            </w:r>
          </w:p>
        </w:tc>
        <w:tc>
          <w:tcPr>
            <w:tcW w:w="1420" w:type="dxa"/>
          </w:tcPr>
          <w:p w14:paraId="5C58807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NTM人数（例）</w:t>
            </w:r>
          </w:p>
        </w:tc>
        <w:tc>
          <w:tcPr>
            <w:tcW w:w="1420" w:type="dxa"/>
          </w:tcPr>
          <w:p w14:paraId="2E378EE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分开的比例</w:t>
            </w:r>
          </w:p>
        </w:tc>
        <w:tc>
          <w:tcPr>
            <w:tcW w:w="1420" w:type="dxa"/>
          </w:tcPr>
          <w:p w14:paraId="6A9C243A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加和的比例</w:t>
            </w:r>
          </w:p>
        </w:tc>
      </w:tr>
      <w:tr w14:paraId="76F1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Merge w:val="restart"/>
          </w:tcPr>
          <w:p w14:paraId="51291C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敏感结核病</w:t>
            </w:r>
          </w:p>
        </w:tc>
        <w:tc>
          <w:tcPr>
            <w:tcW w:w="1419" w:type="dxa"/>
          </w:tcPr>
          <w:p w14:paraId="719B1F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DS-TB</w:t>
            </w:r>
          </w:p>
        </w:tc>
        <w:tc>
          <w:tcPr>
            <w:tcW w:w="1420" w:type="dxa"/>
          </w:tcPr>
          <w:p w14:paraId="31986D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235</w:t>
            </w:r>
          </w:p>
        </w:tc>
        <w:tc>
          <w:tcPr>
            <w:tcW w:w="1420" w:type="dxa"/>
          </w:tcPr>
          <w:p w14:paraId="4921D7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1420" w:type="dxa"/>
          </w:tcPr>
          <w:p w14:paraId="73F625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5.5%</w:t>
            </w:r>
          </w:p>
        </w:tc>
        <w:tc>
          <w:tcPr>
            <w:tcW w:w="1420" w:type="dxa"/>
            <w:vMerge w:val="restart"/>
          </w:tcPr>
          <w:p w14:paraId="71CE80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4.3%</w:t>
            </w:r>
          </w:p>
        </w:tc>
      </w:tr>
      <w:tr w14:paraId="0CB6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Merge w:val="continue"/>
          </w:tcPr>
          <w:p w14:paraId="724B5AD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19" w:type="dxa"/>
          </w:tcPr>
          <w:p w14:paraId="46B6C1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TB-DM</w:t>
            </w:r>
          </w:p>
        </w:tc>
        <w:tc>
          <w:tcPr>
            <w:tcW w:w="1420" w:type="dxa"/>
          </w:tcPr>
          <w:p w14:paraId="178D01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181</w:t>
            </w:r>
          </w:p>
        </w:tc>
        <w:tc>
          <w:tcPr>
            <w:tcW w:w="1420" w:type="dxa"/>
          </w:tcPr>
          <w:p w14:paraId="5C70A5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420" w:type="dxa"/>
          </w:tcPr>
          <w:p w14:paraId="18F6B1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2.8%</w:t>
            </w:r>
          </w:p>
        </w:tc>
        <w:tc>
          <w:tcPr>
            <w:tcW w:w="1420" w:type="dxa"/>
            <w:vMerge w:val="continue"/>
          </w:tcPr>
          <w:p w14:paraId="7C6C32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3E58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Merge w:val="restart"/>
          </w:tcPr>
          <w:p w14:paraId="1D84442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耐药结核病</w:t>
            </w:r>
          </w:p>
        </w:tc>
        <w:tc>
          <w:tcPr>
            <w:tcW w:w="1419" w:type="dxa"/>
          </w:tcPr>
          <w:p w14:paraId="5FBF5B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MDR-Chin</w:t>
            </w:r>
          </w:p>
        </w:tc>
        <w:tc>
          <w:tcPr>
            <w:tcW w:w="1420" w:type="dxa"/>
          </w:tcPr>
          <w:p w14:paraId="50D940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122</w:t>
            </w:r>
          </w:p>
        </w:tc>
        <w:tc>
          <w:tcPr>
            <w:tcW w:w="1420" w:type="dxa"/>
          </w:tcPr>
          <w:p w14:paraId="7D02D8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</w:tcPr>
          <w:p w14:paraId="763298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9.8%</w:t>
            </w:r>
          </w:p>
        </w:tc>
        <w:tc>
          <w:tcPr>
            <w:tcW w:w="1420" w:type="dxa"/>
            <w:vMerge w:val="restart"/>
          </w:tcPr>
          <w:p w14:paraId="2170ED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9.1%</w:t>
            </w:r>
          </w:p>
        </w:tc>
      </w:tr>
      <w:tr w14:paraId="1741A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Merge w:val="continue"/>
          </w:tcPr>
          <w:p w14:paraId="79FED3B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19" w:type="dxa"/>
          </w:tcPr>
          <w:p w14:paraId="20EFB5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SEAL-MDR</w:t>
            </w:r>
          </w:p>
        </w:tc>
        <w:tc>
          <w:tcPr>
            <w:tcW w:w="1420" w:type="dxa"/>
          </w:tcPr>
          <w:p w14:paraId="5E7F57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283</w:t>
            </w:r>
          </w:p>
        </w:tc>
        <w:tc>
          <w:tcPr>
            <w:tcW w:w="1420" w:type="dxa"/>
          </w:tcPr>
          <w:p w14:paraId="495386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1420" w:type="dxa"/>
          </w:tcPr>
          <w:p w14:paraId="377AF6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8.8%</w:t>
            </w:r>
          </w:p>
        </w:tc>
        <w:tc>
          <w:tcPr>
            <w:tcW w:w="1420" w:type="dxa"/>
            <w:vMerge w:val="continue"/>
          </w:tcPr>
          <w:p w14:paraId="74790B6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EF7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2CA16B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两类结核病的总和</w:t>
            </w:r>
          </w:p>
        </w:tc>
        <w:tc>
          <w:tcPr>
            <w:tcW w:w="1419" w:type="dxa"/>
          </w:tcPr>
          <w:p w14:paraId="54DD5EA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49FCE8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</w:t>
            </w:r>
          </w:p>
        </w:tc>
        <w:tc>
          <w:tcPr>
            <w:tcW w:w="1420" w:type="dxa"/>
          </w:tcPr>
          <w:p w14:paraId="34A00E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</w:t>
            </w:r>
          </w:p>
        </w:tc>
        <w:tc>
          <w:tcPr>
            <w:tcW w:w="1420" w:type="dxa"/>
          </w:tcPr>
          <w:p w14:paraId="0FD096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6.7%</w:t>
            </w:r>
          </w:p>
        </w:tc>
        <w:tc>
          <w:tcPr>
            <w:tcW w:w="1420" w:type="dxa"/>
          </w:tcPr>
          <w:p w14:paraId="066F25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FF9E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495C88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成功复苏并送检WGS</w:t>
            </w:r>
          </w:p>
        </w:tc>
        <w:tc>
          <w:tcPr>
            <w:tcW w:w="1419" w:type="dxa"/>
          </w:tcPr>
          <w:p w14:paraId="5A46BDE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40EBD4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</w:tcPr>
          <w:p w14:paraId="326EB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48</w:t>
            </w:r>
          </w:p>
        </w:tc>
        <w:tc>
          <w:tcPr>
            <w:tcW w:w="1420" w:type="dxa"/>
          </w:tcPr>
          <w:p w14:paraId="522644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</w:tcPr>
          <w:p w14:paraId="44293C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01F0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20D1A8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复苏失败</w:t>
            </w:r>
          </w:p>
        </w:tc>
        <w:tc>
          <w:tcPr>
            <w:tcW w:w="1419" w:type="dxa"/>
          </w:tcPr>
          <w:p w14:paraId="4D3079E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BF090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</w:tcPr>
          <w:p w14:paraId="359C9F87">
            <w:pP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7</w:t>
            </w:r>
          </w:p>
        </w:tc>
        <w:tc>
          <w:tcPr>
            <w:tcW w:w="1420" w:type="dxa"/>
          </w:tcPr>
          <w:p w14:paraId="31B82F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</w:tcPr>
          <w:p w14:paraId="348DAE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</w:tbl>
    <w:p w14:paraId="36C06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注释：</w:t>
      </w:r>
    </w:p>
    <w:p w14:paraId="5C7FC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</w:t>
      </w:r>
      <w:r>
        <w:rPr>
          <w:rFonts w:hint="eastAsia"/>
          <w:lang w:val="en-US" w:eastAsia="zh-CN"/>
        </w:rPr>
        <w:t>DS-TB [未注册]：</w:t>
      </w:r>
      <w:r>
        <w:rPr>
          <w:rFonts w:hint="default"/>
          <w:lang w:val="en-US" w:eastAsia="zh-CN"/>
        </w:rPr>
        <w:t>药物敏感性肺结核的标准抗结核治疗的观察性研究，2021年-2024年。</w:t>
      </w:r>
    </w:p>
    <w:p w14:paraId="46C6F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</w:t>
      </w:r>
      <w:r>
        <w:rPr>
          <w:rFonts w:hint="eastAsia"/>
          <w:lang w:val="en-US" w:eastAsia="zh-CN"/>
        </w:rPr>
        <w:t>TB-DM [</w:t>
      </w:r>
      <w:r>
        <w:rPr>
          <w:rFonts w:hint="default"/>
          <w:lang w:eastAsia="zh-CN"/>
        </w:rPr>
        <w:t>注册号：ChiCTR2100044663</w:t>
      </w:r>
      <w:r>
        <w:rPr>
          <w:rFonts w:hint="eastAsia"/>
          <w:lang w:val="en-US" w:eastAsia="zh-CN"/>
        </w:rPr>
        <w:t>]：</w:t>
      </w:r>
      <w:r>
        <w:rPr>
          <w:rFonts w:hint="default"/>
          <w:lang w:val="en-US" w:eastAsia="zh-CN"/>
        </w:rPr>
        <w:t>肺结核合并糖尿病的优化抗结核方案的随机对照试验，2021-2024年。</w:t>
      </w:r>
    </w:p>
    <w:p w14:paraId="5B533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</w:t>
      </w:r>
      <w:r>
        <w:rPr>
          <w:rFonts w:hint="eastAsia"/>
          <w:lang w:val="en-US" w:eastAsia="zh-CN"/>
        </w:rPr>
        <w:t>MDR-Chin [</w:t>
      </w:r>
      <w:r>
        <w:rPr>
          <w:rFonts w:hint="default"/>
          <w:lang w:eastAsia="zh-CN"/>
        </w:rPr>
        <w:t>注册号：ChiCTR2000032298</w:t>
      </w:r>
      <w:r>
        <w:rPr>
          <w:rFonts w:hint="eastAsia"/>
          <w:lang w:val="en-US" w:eastAsia="zh-CN"/>
        </w:rPr>
        <w:t>]：</w:t>
      </w:r>
      <w:r>
        <w:rPr>
          <w:rFonts w:hint="default"/>
          <w:lang w:val="en-US" w:eastAsia="zh-CN"/>
        </w:rPr>
        <w:t>耐多药结核病的全口服短程方案的前瞻性临床研究，2019-2021年。</w:t>
      </w:r>
    </w:p>
    <w:p w14:paraId="3B9AC6A3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（4）</w:t>
      </w:r>
      <w:r>
        <w:rPr>
          <w:rFonts w:hint="eastAsia"/>
          <w:lang w:val="en-US" w:eastAsia="zh-CN"/>
        </w:rPr>
        <w:t>SEAL-MDR [</w:t>
      </w:r>
      <w:r>
        <w:rPr>
          <w:rFonts w:hint="default"/>
          <w:lang w:eastAsia="zh-CN"/>
        </w:rPr>
        <w:t>注册号：ChiCTR2100045930</w:t>
      </w:r>
      <w:r>
        <w:rPr>
          <w:rFonts w:hint="eastAsia"/>
          <w:lang w:val="en-US" w:eastAsia="zh-CN"/>
        </w:rPr>
        <w:t>]：</w:t>
      </w:r>
      <w:r>
        <w:rPr>
          <w:rFonts w:hint="default"/>
          <w:lang w:val="en-US" w:eastAsia="zh-CN"/>
        </w:rPr>
        <w:t>耐多药结核病的全口服短程方案的随机撤药试验，2021-202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年。</w:t>
      </w:r>
    </w:p>
    <w:p w14:paraId="504FC603">
      <w:pPr>
        <w:rPr>
          <w:rFonts w:hint="default"/>
          <w:lang w:eastAsia="zh-CN"/>
        </w:rPr>
      </w:pPr>
    </w:p>
    <w:p w14:paraId="66DD9B6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排除标准：</w:t>
      </w:r>
    </w:p>
    <w:p w14:paraId="31FE7719">
      <w:pPr>
        <w:rPr>
          <w:rFonts w:hint="default"/>
          <w:lang w:eastAsia="zh-CN"/>
        </w:rPr>
      </w:pPr>
    </w:p>
    <w:p w14:paraId="1EA251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随访数据不完整或失访的患者。</w:t>
      </w:r>
    </w:p>
    <w:p w14:paraId="02E0F38E">
      <w:pPr>
        <w:rPr>
          <w:rFonts w:hint="default"/>
          <w:lang w:eastAsia="zh-CN"/>
        </w:rPr>
      </w:pPr>
    </w:p>
    <w:p w14:paraId="376B2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区分NTM定植和感染</w:t>
      </w:r>
    </w:p>
    <w:p w14:paraId="25844260">
      <w:pPr>
        <w:rPr>
          <w:rFonts w:hint="eastAsia"/>
          <w:lang w:val="en-US" w:eastAsia="zh-CN"/>
        </w:rPr>
      </w:pPr>
    </w:p>
    <w:p w14:paraId="64A7F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在抗结核治疗中判断NTM的定植与发病，标准如下：</w:t>
      </w:r>
    </w:p>
    <w:p w14:paraId="50EA60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NTM定植（Colonization）：</w:t>
      </w:r>
    </w:p>
    <w:p w14:paraId="72D21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单次NTM阳性培养。</w:t>
      </w:r>
    </w:p>
    <w:p w14:paraId="71DF0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患者临床症状改善或稳定，影像学无明显恶化。</w:t>
      </w:r>
    </w:p>
    <w:p w14:paraId="23C52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抗结核治疗有效，症状逐渐缓解。</w:t>
      </w:r>
    </w:p>
    <w:p w14:paraId="2326EB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可能的NTM疾病（Possible NTM Disease）：如果多次培养结果阳性，特别是来自不同时间点或不同部位的样本，即使没有完全符合确诊标准，也提示NTM可能已经在体内引起了某些活动性变化。</w:t>
      </w:r>
    </w:p>
    <w:p w14:paraId="5CA32A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确诊NTM疾病（Definite NTM Disease）：</w:t>
      </w:r>
    </w:p>
    <w:p w14:paraId="4C4FE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eastAsia"/>
          <w:lang w:val="en-US" w:eastAsia="zh-CN"/>
        </w:rPr>
        <w:t>≥2次</w:t>
      </w:r>
      <w:r>
        <w:rPr>
          <w:rFonts w:hint="default"/>
          <w:lang w:val="en-US" w:eastAsia="zh-CN"/>
        </w:rPr>
        <w:t>NTM阳性培养，尤其是来自不同时间的标本。</w:t>
      </w:r>
    </w:p>
    <w:p w14:paraId="2522A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抗结核治疗无效，患者症状持续或加重。</w:t>
      </w:r>
    </w:p>
    <w:p w14:paraId="04BDE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影像学表现恶化，出现典型的NTM感染特征（如支气管扩张、结节等）。</w:t>
      </w:r>
    </w:p>
    <w:p w14:paraId="55FFF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通过综合微生物学、症状变化和影像学表现进行评估，确保准确判断NTM的定植或发病。</w:t>
      </w:r>
    </w:p>
    <w:p w14:paraId="311E2BAC">
      <w:pPr>
        <w:rPr>
          <w:rFonts w:hint="default"/>
          <w:lang w:eastAsia="zh-CN"/>
        </w:rPr>
      </w:pPr>
    </w:p>
    <w:p w14:paraId="63CA146B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五、研究方法</w:t>
      </w:r>
    </w:p>
    <w:p w14:paraId="26D51E1B">
      <w:pPr>
        <w:rPr>
          <w:rFonts w:hint="default"/>
          <w:lang w:eastAsia="zh-CN"/>
        </w:rPr>
      </w:pPr>
    </w:p>
    <w:p w14:paraId="10890F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数据收集：</w:t>
      </w:r>
    </w:p>
    <w:p w14:paraId="729975A4">
      <w:pPr>
        <w:rPr>
          <w:rFonts w:hint="default"/>
          <w:lang w:eastAsia="zh-CN"/>
        </w:rPr>
      </w:pPr>
    </w:p>
    <w:p w14:paraId="66269F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基线数据：患者基本信息、临床特征、影像学资料、痰培养结果、菌株分型（MTB或NTM）和药敏试验（DST）结果。</w:t>
      </w:r>
    </w:p>
    <w:p w14:paraId="451CFF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随访数据：治疗过程中和治疗后的痰培养结果、菌株分型、DST结果、临床症状、影像学变化、不良反应等。</w:t>
      </w:r>
    </w:p>
    <w:p w14:paraId="1726C749">
      <w:pPr>
        <w:rPr>
          <w:rFonts w:hint="default"/>
          <w:lang w:eastAsia="zh-CN"/>
        </w:rPr>
      </w:pPr>
    </w:p>
    <w:p w14:paraId="1B4DB0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实验室检测：</w:t>
      </w:r>
    </w:p>
    <w:p w14:paraId="47B5DC2D">
      <w:pPr>
        <w:rPr>
          <w:rFonts w:hint="default"/>
          <w:lang w:eastAsia="zh-CN"/>
        </w:rPr>
      </w:pPr>
    </w:p>
    <w:p w14:paraId="0E51815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痰培养和分型：基线时及治疗过程中定期进行痰培养，鉴定MTB或NTM，并进一步鉴定NTM的具体菌种。</w:t>
      </w:r>
    </w:p>
    <w:p w14:paraId="4D20683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药敏试验：对MTB和NTM分别进行相应的DST。</w:t>
      </w:r>
    </w:p>
    <w:p w14:paraId="620F173C">
      <w:pPr>
        <w:rPr>
          <w:rFonts w:hint="default"/>
          <w:lang w:eastAsia="zh-CN"/>
        </w:rPr>
      </w:pPr>
    </w:p>
    <w:p w14:paraId="50154E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 治疗方案：</w:t>
      </w:r>
    </w:p>
    <w:p w14:paraId="25965E72">
      <w:pPr>
        <w:rPr>
          <w:rFonts w:hint="default"/>
          <w:lang w:eastAsia="zh-CN"/>
        </w:rPr>
      </w:pPr>
    </w:p>
    <w:p w14:paraId="0BB2829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</w:t>
      </w:r>
      <w:r>
        <w:rPr>
          <w:rFonts w:hint="default"/>
          <w:b/>
          <w:bCs/>
          <w:lang w:eastAsia="zh-CN"/>
        </w:rPr>
        <w:t xml:space="preserve"> - 抗结核治疗：</w:t>
      </w:r>
    </w:p>
    <w:p w14:paraId="6211994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按照各队列既定方案进行，包括标准抗结核治疗和不同的耐多药结核病治疗方案。</w:t>
      </w:r>
    </w:p>
    <w:p w14:paraId="5DA9A7B5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（1）DS-TB队列（未注册）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药物敏感性肺结核的标准抗结核治疗的观察性研究，2021年-2024年</w:t>
      </w:r>
      <w:r>
        <w:rPr>
          <w:rFonts w:hint="eastAsia"/>
          <w:lang w:eastAsia="zh-CN"/>
        </w:rPr>
        <w:t>）</w:t>
      </w:r>
      <w:r>
        <w:rPr>
          <w:rFonts w:hint="default"/>
          <w:lang w:eastAsia="zh-CN"/>
        </w:rPr>
        <w:t>：2HRZE/4HR。</w:t>
      </w:r>
    </w:p>
    <w:p w14:paraId="74556471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（2）TB-DM队列（注册号：ChiCTR2100044663）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肺结核合并糖尿病的优化抗结核方案的随机对照试验，2021-2024年</w:t>
      </w:r>
      <w:r>
        <w:rPr>
          <w:rFonts w:hint="eastAsia"/>
          <w:lang w:eastAsia="zh-CN"/>
        </w:rPr>
        <w:t>）</w:t>
      </w:r>
      <w:r>
        <w:rPr>
          <w:rFonts w:hint="default"/>
          <w:lang w:eastAsia="zh-CN"/>
        </w:rPr>
        <w:t>：随机分组，1:1进入两组：2HRZE/4HR，2HRZE/7HR。</w:t>
      </w:r>
    </w:p>
    <w:p w14:paraId="6143104D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（3）MDR-Chin队列（注册号：ChiCTR2000032298）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耐多药结核病的全口服短程方案的前瞻性临床研究，2019-2021年</w:t>
      </w:r>
      <w:r>
        <w:rPr>
          <w:rFonts w:hint="eastAsia"/>
          <w:lang w:eastAsia="zh-CN"/>
        </w:rPr>
        <w:t>）</w:t>
      </w:r>
      <w:r>
        <w:rPr>
          <w:rFonts w:hint="default"/>
          <w:lang w:eastAsia="zh-CN"/>
        </w:rPr>
        <w:t>：非随机分组，进入四组：A贝达喹啉、利奈唑胺、左氧氟沙星/莫西沙星、环丝氨酸、吡嗪酰胺</w:t>
      </w:r>
      <w:r>
        <w:rPr>
          <w:rFonts w:hint="eastAsia"/>
          <w:lang w:eastAsia="zh-CN"/>
        </w:rPr>
        <w:t>；</w:t>
      </w:r>
      <w:r>
        <w:rPr>
          <w:rFonts w:hint="default"/>
          <w:lang w:eastAsia="zh-CN"/>
        </w:rPr>
        <w:t>B 利奈唑胺、左氧氟沙星/莫西沙星、环丝氨酸、氯法齐明、吡嗪酰胺</w:t>
      </w:r>
      <w:r>
        <w:rPr>
          <w:rFonts w:hint="eastAsia"/>
          <w:lang w:eastAsia="zh-CN"/>
        </w:rPr>
        <w:t>；</w:t>
      </w:r>
      <w:r>
        <w:rPr>
          <w:rFonts w:hint="default"/>
          <w:lang w:eastAsia="zh-CN"/>
        </w:rPr>
        <w:t>C 贝达喹啉、利奈唑胺、环丝氨酸、氯法齐明、吡嗪酰胺</w:t>
      </w:r>
      <w:r>
        <w:rPr>
          <w:rFonts w:hint="eastAsia"/>
          <w:lang w:eastAsia="zh-CN"/>
        </w:rPr>
        <w:t>；</w:t>
      </w:r>
      <w:r>
        <w:rPr>
          <w:rFonts w:hint="default"/>
          <w:lang w:eastAsia="zh-CN"/>
        </w:rPr>
        <w:t>D 利奈唑胺、环丝氨酸、氯法齐明、吡嗪酰胺、柳氮磺吡啶。D组中的柳氮磺吡啶是一种宿主导向治疗（HDT）。</w:t>
      </w:r>
      <w:r>
        <w:rPr>
          <w:rFonts w:hint="eastAsia"/>
          <w:lang w:eastAsia="zh-CN"/>
        </w:rPr>
        <w:t>各组疗程均为</w:t>
      </w:r>
      <w:r>
        <w:rPr>
          <w:rFonts w:hint="eastAsia"/>
          <w:lang w:val="en-US" w:eastAsia="zh-CN"/>
        </w:rPr>
        <w:t>9个月，疗效欠佳者可延长至12个月。</w:t>
      </w:r>
    </w:p>
    <w:p w14:paraId="2B579FB9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（4）SEAL-MDR队列（注册号：ChiCTR2100045930）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耐多药结核病的全口服短程方案的随机撤药试验，2021-2024年</w:t>
      </w:r>
      <w:r>
        <w:rPr>
          <w:rFonts w:hint="eastAsia"/>
          <w:lang w:eastAsia="zh-CN"/>
        </w:rPr>
        <w:t>）</w:t>
      </w:r>
      <w:r>
        <w:rPr>
          <w:rFonts w:hint="default"/>
          <w:lang w:eastAsia="zh-CN"/>
        </w:rPr>
        <w:t>：入组时不进行随机分组，在抗结核治疗到第6个月进行随机分组，决定撤药（疗程为6个月）还是续药（疗程为9个月）。A贝达喹啉、利奈唑胺、莫西沙星、环丝氨酸</w:t>
      </w:r>
      <w:r>
        <w:rPr>
          <w:rFonts w:hint="eastAsia"/>
          <w:lang w:eastAsia="zh-CN"/>
        </w:rPr>
        <w:t>；</w:t>
      </w:r>
      <w:r>
        <w:rPr>
          <w:rFonts w:hint="default"/>
          <w:lang w:eastAsia="zh-CN"/>
        </w:rPr>
        <w:t>B 利奈唑胺、莫西沙星、环丝氨酸、氯法齐明、吡嗪酰胺</w:t>
      </w:r>
      <w:r>
        <w:rPr>
          <w:rFonts w:hint="eastAsia"/>
          <w:lang w:eastAsia="zh-CN"/>
        </w:rPr>
        <w:t>；</w:t>
      </w:r>
      <w:r>
        <w:rPr>
          <w:rFonts w:hint="default"/>
          <w:lang w:eastAsia="zh-CN"/>
        </w:rPr>
        <w:t>C 贝达喹啉、利奈唑胺、环丝氨酸、氯法齐明、吡嗪酰胺</w:t>
      </w:r>
      <w:r>
        <w:rPr>
          <w:rFonts w:hint="eastAsia"/>
          <w:lang w:eastAsia="zh-CN"/>
        </w:rPr>
        <w:t>；</w:t>
      </w:r>
      <w:r>
        <w:rPr>
          <w:rFonts w:hint="default"/>
          <w:lang w:eastAsia="zh-CN"/>
        </w:rPr>
        <w:t>D 利奈唑胺、环丝氨酸、氯法齐明、吡嗪酰胺、柳氮磺吡啶。</w:t>
      </w:r>
    </w:p>
    <w:p w14:paraId="353C370B">
      <w:pPr>
        <w:rPr>
          <w:rFonts w:hint="default"/>
          <w:lang w:eastAsia="zh-CN"/>
        </w:rPr>
      </w:pPr>
    </w:p>
    <w:p w14:paraId="5C788D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</w:t>
      </w:r>
      <w:r>
        <w:rPr>
          <w:rFonts w:hint="default"/>
          <w:b/>
          <w:bCs/>
          <w:lang w:eastAsia="zh-CN"/>
        </w:rPr>
        <w:t xml:space="preserve"> - NTM</w:t>
      </w:r>
      <w:r>
        <w:rPr>
          <w:rFonts w:hint="eastAsia"/>
          <w:b/>
          <w:bCs/>
          <w:lang w:eastAsia="zh-CN"/>
        </w:rPr>
        <w:t>治疗</w:t>
      </w:r>
      <w:r>
        <w:rPr>
          <w:rFonts w:hint="default"/>
          <w:b/>
          <w:bCs/>
          <w:lang w:eastAsia="zh-CN"/>
        </w:rPr>
        <w:t>：</w:t>
      </w:r>
    </w:p>
    <w:p w14:paraId="628BDF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  <w:lang w:eastAsia="zh-CN"/>
        </w:rPr>
        <w:t>抗结核治疗疗效良好，NTM感染对病情无明显影响</w:t>
      </w:r>
      <w:r>
        <w:rPr>
          <w:rFonts w:hint="eastAsia"/>
          <w:lang w:eastAsia="zh-CN"/>
        </w:rPr>
        <w:t>。和患者协商后，同意</w:t>
      </w:r>
      <w:r>
        <w:rPr>
          <w:rFonts w:hint="default"/>
          <w:lang w:eastAsia="zh-CN"/>
        </w:rPr>
        <w:t>在原方案基础上加用大环内酯类等针对NTM的药物。</w:t>
      </w:r>
    </w:p>
    <w:p w14:paraId="18001B8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  <w:lang w:eastAsia="zh-CN"/>
        </w:rPr>
        <w:t>抗结核治疗疗效欠佳，可能与NTM感染有关</w:t>
      </w:r>
      <w:r>
        <w:rPr>
          <w:rFonts w:hint="eastAsia"/>
          <w:lang w:eastAsia="zh-CN"/>
        </w:rPr>
        <w:t>。</w:t>
      </w:r>
      <w:r>
        <w:rPr>
          <w:rFonts w:hint="default"/>
          <w:lang w:eastAsia="zh-CN"/>
        </w:rPr>
        <w:t>经专家组讨论，调整治疗方案，积极治疗NTM感染。</w:t>
      </w:r>
    </w:p>
    <w:p w14:paraId="1C8809C7">
      <w:pPr>
        <w:rPr>
          <w:rFonts w:hint="default"/>
          <w:lang w:eastAsia="zh-CN"/>
        </w:rPr>
      </w:pPr>
    </w:p>
    <w:p w14:paraId="2144FFA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 随访计划：</w:t>
      </w:r>
    </w:p>
    <w:p w14:paraId="6F0179EB">
      <w:pPr>
        <w:rPr>
          <w:rFonts w:hint="default"/>
          <w:lang w:eastAsia="zh-CN"/>
        </w:rPr>
      </w:pPr>
    </w:p>
    <w:p w14:paraId="0A5A82D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治疗期间：前2个月每半个月进行一次痰培养，之后每月一次。</w:t>
      </w:r>
    </w:p>
    <w:p w14:paraId="0105564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治疗</w:t>
      </w:r>
      <w:r>
        <w:rPr>
          <w:rFonts w:hint="eastAsia"/>
          <w:lang w:eastAsia="zh-CN"/>
        </w:rPr>
        <w:t>完成</w:t>
      </w:r>
      <w:r>
        <w:rPr>
          <w:rFonts w:hint="default"/>
          <w:lang w:eastAsia="zh-CN"/>
        </w:rPr>
        <w:t>后：停药后第1年内每3个月一次痰培养，第二年每6个月一次，2-5年内每年一次。</w:t>
      </w:r>
    </w:p>
    <w:p w14:paraId="55B29D6C">
      <w:pPr>
        <w:rPr>
          <w:rFonts w:hint="default"/>
          <w:lang w:eastAsia="zh-CN"/>
        </w:rPr>
      </w:pPr>
    </w:p>
    <w:p w14:paraId="55BE65E6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六、统计分析</w:t>
      </w:r>
    </w:p>
    <w:p w14:paraId="66384603">
      <w:pPr>
        <w:rPr>
          <w:rFonts w:hint="default"/>
          <w:lang w:eastAsia="zh-CN"/>
        </w:rPr>
      </w:pPr>
    </w:p>
    <w:p w14:paraId="0ACB2EE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描述性统计：</w:t>
      </w:r>
    </w:p>
    <w:p w14:paraId="7994962A">
      <w:pPr>
        <w:rPr>
          <w:rFonts w:hint="default"/>
          <w:lang w:eastAsia="zh-CN"/>
        </w:rPr>
      </w:pPr>
    </w:p>
    <w:p w14:paraId="051855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计算各队列中NTM感染的发生率、菌种分布。</w:t>
      </w:r>
    </w:p>
    <w:p w14:paraId="50C1B2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描述患者的临床特征、影像学表现和实验室指标。</w:t>
      </w:r>
    </w:p>
    <w:p w14:paraId="20D7B64E">
      <w:pPr>
        <w:rPr>
          <w:rFonts w:hint="default"/>
          <w:lang w:eastAsia="zh-CN"/>
        </w:rPr>
      </w:pPr>
    </w:p>
    <w:p w14:paraId="2D1615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比较分析：</w:t>
      </w:r>
    </w:p>
    <w:p w14:paraId="67D58345">
      <w:pPr>
        <w:rPr>
          <w:rFonts w:hint="default"/>
          <w:lang w:eastAsia="zh-CN"/>
        </w:rPr>
      </w:pPr>
    </w:p>
    <w:p w14:paraId="745F6D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比较不同队列和治疗方案下NTM感染的发生率（使用卡方检验或Fisher精确检验）。</w:t>
      </w:r>
    </w:p>
    <w:p w14:paraId="3991937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分析NTM</w:t>
      </w:r>
      <w:r>
        <w:rPr>
          <w:rFonts w:hint="eastAsia"/>
          <w:lang w:eastAsia="zh-CN"/>
        </w:rPr>
        <w:t>治疗后的</w:t>
      </w:r>
      <w:r>
        <w:rPr>
          <w:rFonts w:hint="default"/>
          <w:lang w:eastAsia="zh-CN"/>
        </w:rPr>
        <w:t>疗效，包括</w:t>
      </w:r>
      <w:r>
        <w:rPr>
          <w:rFonts w:hint="eastAsia"/>
          <w:lang w:val="en-US" w:eastAsia="zh-CN"/>
        </w:rPr>
        <w:t>NTM的</w:t>
      </w:r>
      <w:r>
        <w:rPr>
          <w:rFonts w:hint="default"/>
          <w:lang w:eastAsia="zh-CN"/>
        </w:rPr>
        <w:t>痰培养转阴时间、临床症状改善、影像学变化等。</w:t>
      </w:r>
    </w:p>
    <w:p w14:paraId="02A86D5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分析NTM治疗后的安全性，有无在抗结核治疗基础上增加心脏毒性等。</w:t>
      </w:r>
    </w:p>
    <w:p w14:paraId="51504108">
      <w:pPr>
        <w:rPr>
          <w:rFonts w:hint="default"/>
          <w:lang w:eastAsia="zh-CN"/>
        </w:rPr>
      </w:pPr>
    </w:p>
    <w:p w14:paraId="7E99AB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 多因素分析：</w:t>
      </w:r>
    </w:p>
    <w:p w14:paraId="24913955">
      <w:pPr>
        <w:rPr>
          <w:rFonts w:hint="default"/>
          <w:lang w:eastAsia="zh-CN"/>
        </w:rPr>
      </w:pPr>
    </w:p>
    <w:p w14:paraId="49F42A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建立Logistic回归模型，识别影响NTM感染发生的独立风险因素。</w:t>
      </w:r>
    </w:p>
    <w:p w14:paraId="7A1761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</w:t>
      </w:r>
    </w:p>
    <w:p w14:paraId="67D79B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 分子流行病学分析：</w:t>
      </w:r>
    </w:p>
    <w:p w14:paraId="04E47FFC">
      <w:pPr>
        <w:rPr>
          <w:rFonts w:hint="default"/>
          <w:lang w:eastAsia="zh-CN"/>
        </w:rPr>
      </w:pPr>
    </w:p>
    <w:p w14:paraId="0C40F98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- 对NTM菌株进行基因分型和同源性分析。</w:t>
      </w:r>
    </w:p>
    <w:p w14:paraId="4C269894">
      <w:pPr>
        <w:rPr>
          <w:rFonts w:hint="default"/>
          <w:lang w:eastAsia="zh-CN"/>
        </w:rPr>
      </w:pPr>
    </w:p>
    <w:p w14:paraId="115115D7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七、伦理学考虑</w:t>
      </w:r>
    </w:p>
    <w:p w14:paraId="72B0F63D">
      <w:pPr>
        <w:rPr>
          <w:rFonts w:hint="default"/>
          <w:lang w:eastAsia="zh-CN"/>
        </w:rPr>
      </w:pPr>
    </w:p>
    <w:p w14:paraId="390C53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本研究已获得相关伦理委员会的批准。</w:t>
      </w:r>
    </w:p>
    <w:p w14:paraId="6106CB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所有参与者在知情同意的前提下加入研究。</w:t>
      </w:r>
    </w:p>
    <w:p w14:paraId="456040A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保护患者隐私，所有数据仅用于研究目的。</w:t>
      </w:r>
    </w:p>
    <w:p w14:paraId="03F2833C">
      <w:pPr>
        <w:rPr>
          <w:rFonts w:hint="default"/>
          <w:lang w:eastAsia="zh-CN"/>
        </w:rPr>
      </w:pPr>
    </w:p>
    <w:p w14:paraId="65F581B7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八、预期结果</w:t>
      </w:r>
    </w:p>
    <w:p w14:paraId="31A946EB">
      <w:pPr>
        <w:rPr>
          <w:rFonts w:hint="default"/>
          <w:lang w:eastAsia="zh-CN"/>
        </w:rPr>
      </w:pPr>
    </w:p>
    <w:p w14:paraId="2C3982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确定抗结核治疗过程中NTM感染的发生率和主要菌种。</w:t>
      </w:r>
    </w:p>
    <w:p w14:paraId="3354F5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了解不同治疗方案对NTM感染发生的影响，为临床治疗策略提供依据。</w:t>
      </w:r>
    </w:p>
    <w:p w14:paraId="423DD33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探讨</w:t>
      </w:r>
      <w:r>
        <w:rPr>
          <w:rFonts w:hint="eastAsia"/>
          <w:lang w:eastAsia="zh-CN"/>
        </w:rPr>
        <w:t>在抗结核治疗中发生</w:t>
      </w:r>
      <w:r>
        <w:rPr>
          <w:rFonts w:hint="default"/>
          <w:lang w:eastAsia="zh-CN"/>
        </w:rPr>
        <w:t>NTM感染</w:t>
      </w:r>
      <w:r>
        <w:rPr>
          <w:rFonts w:hint="eastAsia"/>
          <w:lang w:eastAsia="zh-CN"/>
        </w:rPr>
        <w:t>后的治疗必要性，患者有无获益，</w:t>
      </w:r>
      <w:r>
        <w:rPr>
          <w:rFonts w:hint="default"/>
          <w:lang w:eastAsia="zh-CN"/>
        </w:rPr>
        <w:t>优化TB-NTM共感染患者的管理。</w:t>
      </w:r>
    </w:p>
    <w:p w14:paraId="3883356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通过分子流行病学分析，深化</w:t>
      </w:r>
      <w:r>
        <w:rPr>
          <w:rFonts w:hint="eastAsia"/>
          <w:lang w:eastAsia="zh-CN"/>
        </w:rPr>
        <w:t>理解</w:t>
      </w:r>
      <w:r>
        <w:rPr>
          <w:rFonts w:hint="default"/>
          <w:lang w:eastAsia="zh-CN"/>
        </w:rPr>
        <w:t>NTM</w:t>
      </w:r>
      <w:r>
        <w:rPr>
          <w:rFonts w:hint="eastAsia"/>
          <w:lang w:eastAsia="zh-CN"/>
        </w:rPr>
        <w:t>感染在人群中分布，有无医源性感染、群集性感染的可能</w:t>
      </w:r>
      <w:r>
        <w:rPr>
          <w:rFonts w:hint="default"/>
          <w:lang w:eastAsia="zh-CN"/>
        </w:rPr>
        <w:t>。</w:t>
      </w:r>
    </w:p>
    <w:p w14:paraId="3D85A061">
      <w:pPr>
        <w:rPr>
          <w:rFonts w:hint="default"/>
          <w:lang w:eastAsia="zh-CN"/>
        </w:rPr>
      </w:pPr>
    </w:p>
    <w:p w14:paraId="6B7BE426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九、研究意义</w:t>
      </w:r>
    </w:p>
    <w:p w14:paraId="4633BE69">
      <w:pPr>
        <w:rPr>
          <w:rFonts w:hint="default"/>
          <w:lang w:eastAsia="zh-CN"/>
        </w:rPr>
      </w:pPr>
    </w:p>
    <w:p w14:paraId="4D1773A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临床意义：为抗结核治疗中NTM感染的诊断和管理提供科学依据，改善患者预后。</w:t>
      </w:r>
    </w:p>
    <w:p w14:paraId="04F875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学术价值：填补前瞻性队列研究</w:t>
      </w:r>
      <w:r>
        <w:rPr>
          <w:rFonts w:hint="eastAsia"/>
          <w:lang w:eastAsia="zh-CN"/>
        </w:rPr>
        <w:t>中</w:t>
      </w:r>
      <w:r>
        <w:rPr>
          <w:rFonts w:hint="default"/>
          <w:lang w:eastAsia="zh-CN"/>
        </w:rPr>
        <w:t>TB-NTM共感染领域的空白，促进对TB-NTM共感染的深入研究。</w:t>
      </w:r>
    </w:p>
    <w:p w14:paraId="5897077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公共卫生意义：有助于制定更有效的结核病和NTM感染防控策略，降低耐药性和治疗失败率。</w:t>
      </w:r>
    </w:p>
    <w:p w14:paraId="40EC230E">
      <w:pPr>
        <w:rPr>
          <w:rFonts w:hint="default"/>
          <w:lang w:eastAsia="zh-CN"/>
        </w:rPr>
      </w:pPr>
    </w:p>
    <w:p w14:paraId="3AC7292E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十、时间计划</w:t>
      </w:r>
    </w:p>
    <w:p w14:paraId="338A23F1">
      <w:pPr>
        <w:rPr>
          <w:rFonts w:hint="default"/>
          <w:lang w:eastAsia="zh-CN"/>
        </w:rPr>
      </w:pPr>
    </w:p>
    <w:p w14:paraId="1B4E8F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数据收集：预计在</w:t>
      </w:r>
      <w:r>
        <w:rPr>
          <w:rFonts w:hint="eastAsia"/>
          <w:lang w:val="en-US" w:eastAsia="zh-CN"/>
        </w:rPr>
        <w:t>2024年</w:t>
      </w:r>
      <w:r>
        <w:rPr>
          <w:rFonts w:hint="default"/>
          <w:lang w:eastAsia="zh-CN"/>
        </w:rPr>
        <w:t>完成四个队列的数据收集</w:t>
      </w:r>
      <w:r>
        <w:rPr>
          <w:rFonts w:hint="eastAsia"/>
          <w:lang w:eastAsia="zh-CN"/>
        </w:rPr>
        <w:t>（</w:t>
      </w:r>
      <w:r>
        <w:rPr>
          <w:rFonts w:hint="default"/>
          <w:lang w:eastAsia="zh-CN"/>
        </w:rPr>
        <w:t>2021年至2024年</w:t>
      </w:r>
      <w:r>
        <w:rPr>
          <w:rFonts w:hint="eastAsia"/>
          <w:lang w:eastAsia="zh-CN"/>
        </w:rPr>
        <w:t>的数据）</w:t>
      </w:r>
      <w:r>
        <w:rPr>
          <w:rFonts w:hint="default"/>
          <w:lang w:eastAsia="zh-CN"/>
        </w:rPr>
        <w:t>。</w:t>
      </w:r>
    </w:p>
    <w:p w14:paraId="56A09D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数据分析：202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eastAsia="zh-CN"/>
        </w:rPr>
        <w:t>年</w:t>
      </w:r>
      <w:r>
        <w:rPr>
          <w:rFonts w:hint="eastAsia"/>
          <w:lang w:eastAsia="zh-CN"/>
        </w:rPr>
        <w:t>上</w:t>
      </w:r>
      <w:r>
        <w:rPr>
          <w:rFonts w:hint="default"/>
          <w:lang w:eastAsia="zh-CN"/>
        </w:rPr>
        <w:t>半年进行数据整理和统计分析。</w:t>
      </w:r>
    </w:p>
    <w:p w14:paraId="2FEFB4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论文撰写和发表：2025年</w:t>
      </w:r>
      <w:r>
        <w:rPr>
          <w:rFonts w:hint="eastAsia"/>
          <w:lang w:eastAsia="zh-CN"/>
        </w:rPr>
        <w:t>下半年</w:t>
      </w:r>
      <w:r>
        <w:rPr>
          <w:rFonts w:hint="default"/>
          <w:lang w:eastAsia="zh-CN"/>
        </w:rPr>
        <w:t>完成论文撰写</w:t>
      </w:r>
      <w:r>
        <w:rPr>
          <w:rFonts w:hint="eastAsia"/>
          <w:lang w:eastAsia="zh-CN"/>
        </w:rPr>
        <w:t>和</w:t>
      </w:r>
      <w:r>
        <w:rPr>
          <w:rFonts w:hint="default"/>
          <w:lang w:eastAsia="zh-CN"/>
        </w:rPr>
        <w:t>发表。</w:t>
      </w:r>
    </w:p>
    <w:p w14:paraId="695CDA78">
      <w:pPr>
        <w:rPr>
          <w:rFonts w:hint="default"/>
          <w:lang w:eastAsia="zh-CN"/>
        </w:rPr>
      </w:pPr>
    </w:p>
    <w:p w14:paraId="0537773A">
      <w:pPr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十一、研究团队</w:t>
      </w:r>
    </w:p>
    <w:p w14:paraId="4A2E968C">
      <w:pPr>
        <w:rPr>
          <w:rFonts w:hint="default"/>
          <w:lang w:eastAsia="zh-CN"/>
        </w:rPr>
      </w:pPr>
    </w:p>
    <w:p w14:paraId="70CA69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主要研究者（PI）：负责整体研究设计和协调。</w:t>
      </w:r>
    </w:p>
    <w:p w14:paraId="782A8C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协作研究者：包括临床医生、微生物学家、流行病学家和统计学家，负责各自领域的工作。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ZhZjNkZDJlNGNjYTE3NWQwMTVkOGZkY2NmNjU4OWEifQ=="/>
  </w:docVars>
  <w:rsids>
    <w:rsidRoot w:val="00172A27"/>
    <w:rsid w:val="00164C26"/>
    <w:rsid w:val="00B52690"/>
    <w:rsid w:val="00E52F76"/>
    <w:rsid w:val="020257AB"/>
    <w:rsid w:val="07011CC2"/>
    <w:rsid w:val="07644792"/>
    <w:rsid w:val="09284798"/>
    <w:rsid w:val="0D097FEC"/>
    <w:rsid w:val="0F2B6FD9"/>
    <w:rsid w:val="10F13271"/>
    <w:rsid w:val="13D529D6"/>
    <w:rsid w:val="183C240D"/>
    <w:rsid w:val="1AA24D9F"/>
    <w:rsid w:val="1CA02342"/>
    <w:rsid w:val="1EF74148"/>
    <w:rsid w:val="220628F4"/>
    <w:rsid w:val="226B2757"/>
    <w:rsid w:val="27CC5A46"/>
    <w:rsid w:val="28DA2E89"/>
    <w:rsid w:val="29824F56"/>
    <w:rsid w:val="2A4254F9"/>
    <w:rsid w:val="2D1F32F4"/>
    <w:rsid w:val="2F77098D"/>
    <w:rsid w:val="2F854E58"/>
    <w:rsid w:val="323B4D81"/>
    <w:rsid w:val="32C6133F"/>
    <w:rsid w:val="34B70380"/>
    <w:rsid w:val="37465815"/>
    <w:rsid w:val="3AE174A3"/>
    <w:rsid w:val="3D03595A"/>
    <w:rsid w:val="425B7C9B"/>
    <w:rsid w:val="43446334"/>
    <w:rsid w:val="44A84E71"/>
    <w:rsid w:val="453749EF"/>
    <w:rsid w:val="454C180E"/>
    <w:rsid w:val="477DCE1E"/>
    <w:rsid w:val="527728CF"/>
    <w:rsid w:val="5536095F"/>
    <w:rsid w:val="573E1E21"/>
    <w:rsid w:val="57C71C02"/>
    <w:rsid w:val="58CE454F"/>
    <w:rsid w:val="595D4517"/>
    <w:rsid w:val="5B487E91"/>
    <w:rsid w:val="5C3C272A"/>
    <w:rsid w:val="5CF9550F"/>
    <w:rsid w:val="5E113BD7"/>
    <w:rsid w:val="5EFEBDE8"/>
    <w:rsid w:val="61A45E36"/>
    <w:rsid w:val="660404C6"/>
    <w:rsid w:val="68CA2609"/>
    <w:rsid w:val="68CC1AED"/>
    <w:rsid w:val="69BB0F42"/>
    <w:rsid w:val="6A637494"/>
    <w:rsid w:val="6BCF62E6"/>
    <w:rsid w:val="6CD3A16D"/>
    <w:rsid w:val="6D535020"/>
    <w:rsid w:val="6E5F49A6"/>
    <w:rsid w:val="6ED07D5B"/>
    <w:rsid w:val="6ED749C9"/>
    <w:rsid w:val="6FFF37D2"/>
    <w:rsid w:val="70DE2EF1"/>
    <w:rsid w:val="71186BD3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2810</Words>
  <Characters>3499</Characters>
  <Lines>0</Lines>
  <Paragraphs>0</Paragraphs>
  <TotalTime>5</TotalTime>
  <ScaleCrop>false</ScaleCrop>
  <LinksUpToDate>false</LinksUpToDate>
  <CharactersWithSpaces>3661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付亮</cp:lastModifiedBy>
  <dcterms:modified xsi:type="dcterms:W3CDTF">2026-03-31T01:22:45Z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1F58033A3D544675A25B19421062B2EC_12</vt:lpwstr>
  </property>
  <property fmtid="{D5CDD505-2E9C-101B-9397-08002B2CF9AE}" pid="6" name="KSOTemplateDocerSaveRecord">
    <vt:lpwstr>eyJoZGlkIjoiZGQxYWVjOGUyMzZjNWRhOTA0ZjJhNWQ1ODFkOGE1ZDkiLCJ1c2VySWQiOiIyMDkyMjY1MzMifQ==</vt:lpwstr>
  </property>
</Properties>
</file>