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486E"/>
          <w:sz w:val="26"/>
        </w:rPr>
        <w:t>TDSC 方法学工具文件</w:t>
      </w:r>
    </w:p>
    <w:p>
      <w:pPr>
        <w:spacing w:before="520" w:after="200"/>
        <w:jc w:val="center"/>
      </w:pPr>
      <w:r>
        <w:rPr>
          <w:b/>
          <w:color w:val="21486E"/>
          <w:sz w:val="44"/>
        </w:rPr>
        <w:t>通用型结核病患者分层工具</w:t>
      </w:r>
    </w:p>
    <w:p>
      <w:pPr>
        <w:spacing w:after="360"/>
        <w:jc w:val="center"/>
      </w:pPr>
      <w:r>
        <w:rPr>
          <w:i/>
          <w:color w:val="505050"/>
          <w:sz w:val="22"/>
        </w:rPr>
        <w:t>General TB Stratification Toolkit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4816"/>
        <w:gridCol w:w="4816"/>
      </w:tblGrid>
      <w:tr>
        <w:tc>
          <w:tcPr>
            <w:tcW w:type="dxa" w:w="2268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t>V1.0（整合修订稿）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t>2026-04-08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文件定位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t>定位：面向广大TB人群的总纲版工具文件，用于建立统一分层语言、研究框架与数据实现规范。</w:t>
            </w:r>
          </w:p>
        </w:tc>
      </w:tr>
    </w:tbl>
    <w:p>
      <w:pPr>
        <w:pStyle w:val="BoxText"/>
        <w:spacing w:before="360"/>
      </w:pPr>
      <w:r>
        <w:rPr>
          <w:b/>
          <w:color w:val="21486E"/>
        </w:rPr>
        <w:t>文件说明：</w:t>
      </w:r>
      <w:r>
        <w:t>定位：面向广大TB人群的总纲版工具文件，用于建立统一分层语言、研究框架与数据实现规范。</w:t>
      </w:r>
    </w:p>
    <w:p>
      <w:pPr>
        <w:pStyle w:val="SmallGray"/>
        <w:spacing w:before="2400"/>
        <w:jc w:val="center"/>
      </w:pPr>
      <w:r>
        <w:t>本文件为经抽提、润色与完善后的正式工作稿。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7E5"/>
          <w:left w:val="single" w:sz="8" w:space="0" w:color="C9D7E5"/>
          <w:bottom w:val="single" w:sz="8" w:space="0" w:color="C9D7E5"/>
          <w:right w:val="single" w:sz="8" w:space="0" w:color="C9D7E5"/>
          <w:insideH w:val="single" w:sz="8" w:space="0" w:color="C9D7E5"/>
          <w:insideV w:val="single" w:sz="8" w:space="0" w:color="C9D7E5"/>
        </w:tblBorders>
      </w:tblPr>
      <w:tblGrid>
        <w:gridCol w:w="9354"/>
      </w:tblGrid>
      <w:tr>
        <w:tc>
          <w:tcPr>
            <w:tcW w:type="dxa" w:w="9632"/>
            <w:shd w:fill="EE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BoxText"/>
            </w:pPr>
            <w:r>
              <w:rPr>
                <w:color w:val="2D2D2D"/>
              </w:rPr>
              <w:t>本总纲版文件用于抽提并上提原TB-DM场景中的成熟做法，形成面向DS-TB、DR-TB及特殊人群TB的通用分层框架。其目标不是替代具体研究方案，而是为不同研究提供稳定、可复用、可审计的分层底座。</w:t>
            </w:r>
          </w:p>
        </w:tc>
      </w:tr>
    </w:tbl>
    <w:p>
      <w:pPr>
        <w:pStyle w:val="Heading1"/>
      </w:pPr>
      <w:r>
        <w:t>1 目的</w:t>
      </w:r>
    </w:p>
    <w:p>
      <w:pPr/>
      <w:r>
        <w:t>建立一套适用于广大结核病人群的通用型患者分层工具，用于基线风险分层、随机化分层因素设定、预设亚组分析、EDC派生变量留痕以及多中心一致性管理。</w:t>
      </w:r>
    </w:p>
    <w:p>
      <w:pPr/>
      <w:r>
        <w:t>本工具强调“可执行、可审计、可迁移”，既可服务于临床试验，也可服务于前瞻性队列和真实世界研究。</w:t>
      </w:r>
    </w:p>
    <w:p>
      <w:pPr>
        <w:pStyle w:val="Heading1"/>
      </w:pPr>
      <w:r>
        <w:t>2 适用范围</w:t>
      </w:r>
    </w:p>
    <w:p>
      <w:pPr/>
      <w:r>
        <w:t>本工具优先适用于以肺结核为主的研究场景，可按表型需要扩展至部分肺外结核或特殊部位结核。</w:t>
      </w:r>
    </w:p>
    <w:p>
      <w:pPr/>
      <w:r>
        <w:t>适用对象包括药物敏感结核病、利福平耐药或耐多药结核病，以及糖尿病、HIV感染、免疫抑制、儿童、老年、孕产妇等特殊人群。</w:t>
      </w:r>
    </w:p>
    <w:p>
      <w:pPr>
        <w:pStyle w:val="Heading1"/>
      </w:pPr>
      <w:r>
        <w:t>3 核心理念与总原则</w:t>
      </w:r>
    </w:p>
    <w:p>
      <w:pPr/>
      <w:r>
        <w:t>采用“三域模型”进行分层：病原学负荷、解剖范围与组织破坏、宿主脆弱性与疾病复杂性。</w:t>
      </w:r>
    </w:p>
    <w:p>
      <w:pPr/>
      <w:r>
        <w:t>坚持“高风险信号优先、平台特异解释、原始结果留痕、缺失不轻判、严重度与复杂性分离”五项总原则。</w:t>
      </w:r>
    </w:p>
    <w:p>
      <w:pPr/>
      <w:r>
        <w:t>本工具首先是一套通用分层语言体系，其次才是具体研究的运行工具；各研究可在附录中规定阈值、映射方式或随机化使用口径，但不宜随意改动总框架。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4816"/>
        <w:gridCol w:w="4816"/>
      </w:tblGrid>
      <w:tr>
        <w:tc>
          <w:tcPr>
            <w:tcW w:type="dxa" w:w="226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高风险信号优先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任何明确提示高风险的病原学、影像或复杂性信息，均可触发分层上调。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平台特异解释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Xpert与Xpert Ultra分别解释，避免跨平台硬换算。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原始数据留痕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所有关键原始结果必须在EDC中完整保留。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缺失不轻判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关键数据缺失时，不得直接判为低风险。</w:t>
            </w:r>
          </w:p>
        </w:tc>
      </w:tr>
      <w:tr>
        <w:tc>
          <w:tcPr>
            <w:tcW w:type="dxa" w:w="226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严重度与复杂性分离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疾病负荷与管理难度需分别评估。</w:t>
            </w:r>
          </w:p>
        </w:tc>
      </w:tr>
    </w:tbl>
    <w:p>
      <w:pPr>
        <w:pStyle w:val="Heading1"/>
      </w:pPr>
      <w:r>
        <w:t>4 三域模型</w:t>
      </w:r>
    </w:p>
    <w:p>
      <w:pPr/>
      <w:r>
        <w:t>4.1 病原学负荷域：整合Xpert / Xpert Ultra、AFB涂片和培养信息，对结核分枝杆菌负荷进行平台内解释和综合判定。</w:t>
      </w:r>
    </w:p>
    <w:p>
      <w:pPr/>
      <w:r>
        <w:t>4.2 影像与组织破坏域：以胸片为主分层口径，必要时辅以CT，对病变范围、空洞、双侧受累及结构破坏进行标准化评估。</w:t>
      </w:r>
    </w:p>
    <w:p>
      <w:pPr/>
      <w:r>
        <w:t>4.3 宿主与复杂性域：独立评估耐药与治疗复杂性、宿主脆弱性以及疾病表型复杂性，避免把“难治”简单等同于“病情重”。</w:t>
      </w:r>
    </w:p>
    <w:p>
      <w:pPr>
        <w:pStyle w:val="Heading1"/>
      </w:pPr>
      <w:r>
        <w:t>5 病原学负荷分层</w:t>
      </w:r>
    </w:p>
    <w:p>
      <w:pPr/>
      <w:r>
        <w:t>病原学负荷采用三级输出：B1（低负荷）、B2（中等负荷）、B3（高负荷）。</w:t>
      </w:r>
    </w:p>
    <w:p>
      <w:pPr/>
      <w:r>
        <w:t>Xpert与Xpert Ultra必须分别解释，不得将两种平台的Ct值直接等同；如仅有半定量等级，应按对应平台原始等级进行分层并保留原始结果。</w:t>
      </w:r>
    </w:p>
    <w:p>
      <w:pPr/>
      <w:r>
        <w:t>AFB原始结果应完整记录，并可折叠为S1、S2、S3三级以支持综合判定；培养结果在可获得时作为补充增强证据。</w:t>
      </w:r>
    </w:p>
    <w:p>
      <w:pPr/>
      <w:r>
        <w:t>若病原学信息缺失或彼此冲突，应进入复核或边界路径，不得直接下调为低风险。</w:t>
      </w:r>
    </w:p>
    <w:p>
      <w:pPr>
        <w:pStyle w:val="Heading1"/>
      </w:pPr>
      <w:r>
        <w:t>6 影像与组织破坏分层</w:t>
      </w:r>
    </w:p>
    <w:p>
      <w:pPr/>
      <w:r>
        <w:t>影像严重度采用三级输出：I1（局限型）、I2（中间型）、I3（广泛或破坏型）。</w:t>
      </w:r>
    </w:p>
    <w:p>
      <w:pPr/>
      <w:r>
        <w:t>核心指标包括病变范围、空洞有无及数量、最大空洞径、单侧或双侧受累、结构破坏征象等。</w:t>
      </w:r>
    </w:p>
    <w:p>
      <w:pPr/>
      <w:r>
        <w:t>最大空洞径大、双侧广泛受累、进行性破坏等应作为Red flag记录；Red flag具有上调分层的效应。</w:t>
      </w:r>
    </w:p>
    <w:p>
      <w:pPr/>
      <w:r>
        <w:t>原则上以CXR作为母研究运行口径，CT用于补充记录、仲裁和发表性分析。</w:t>
      </w:r>
    </w:p>
    <w:p>
      <w:pPr>
        <w:pStyle w:val="Heading1"/>
      </w:pPr>
      <w:r>
        <w:t>7 宿主脆弱性与复杂性分层</w:t>
      </w:r>
    </w:p>
    <w:p>
      <w:pPr/>
      <w:r>
        <w:t>复杂性分层采用三级输出：C0（无明显复杂性）、C1（中等复杂性）、C2（高复杂性）。</w:t>
      </w:r>
    </w:p>
    <w:p>
      <w:pPr/>
      <w:r>
        <w:t>复杂性域至少包括三类信息：耐药与治疗复杂性，宿主脆弱性，以及疾病表型复杂性。</w:t>
      </w:r>
    </w:p>
    <w:p>
      <w:pPr/>
      <w:r>
        <w:t>DR-TB、严重免疫抑制、特殊部位或播散性疾病、病原学证据获取困难且需复杂管理者，可进入较高复杂性层级。</w:t>
      </w:r>
    </w:p>
    <w:p>
      <w:pPr/>
      <w:r>
        <w:t>复杂性不等于严重度。即使病原学负荷不高、影像不重，只要管理复杂性足够高，仍应被识别为高风险对象。</w:t>
      </w:r>
    </w:p>
    <w:p>
      <w:pPr>
        <w:pStyle w:val="Heading1"/>
      </w:pPr>
      <w:r>
        <w:t>8 综合输出分类</w:t>
      </w:r>
    </w:p>
    <w:p>
      <w:pPr/>
      <w:r>
        <w:t>在三域组合基础上，形成T1至T4与Tb五类综合输出。</w:t>
      </w:r>
    </w:p>
    <w:p>
      <w:pPr/>
      <w:r>
        <w:t>T1为低负荷局限型TB；T2为中间型TB；T3为高负荷或广泛破坏型TB；T4为复杂型TB；Tb为边界/待定型TB。</w:t>
      </w:r>
    </w:p>
    <w:p>
      <w:pPr/>
      <w:r>
        <w:t>T4具有覆盖效应：一旦达到高复杂性（C2），原则上优先按复杂型管理，而不是继续拘泥于严重度分层。</w:t>
      </w:r>
    </w:p>
    <w:p>
      <w:pPr>
        <w:pStyle w:val="SmallGray"/>
      </w:pPr>
      <w:r>
        <w:rPr>
          <w:b/>
          <w:color w:val="21486E"/>
        </w:rPr>
        <w:t>表1  通用综合分类输出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DA"/>
          <w:left w:val="single" w:sz="8" w:space="0" w:color="B7C9DA"/>
          <w:bottom w:val="single" w:sz="8" w:space="0" w:color="B7C9DA"/>
          <w:right w:val="single" w:sz="8" w:space="0" w:color="B7C9DA"/>
          <w:insideH w:val="single" w:sz="8" w:space="0" w:color="B7C9DA"/>
          <w:insideV w:val="single" w:sz="8" w:space="0" w:color="B7C9DA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247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2438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4535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判定要点</w:t>
            </w:r>
          </w:p>
        </w:tc>
        <w:tc>
          <w:tcPr>
            <w:tcW w:type="dxa" w:w="1134"/>
            <w:shd w:fill="DCE6F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使用提示</w:t>
            </w:r>
          </w:p>
        </w:tc>
      </w:tr>
      <w:tr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T1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低负荷局限型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通常表现为B1 + I1 + C0，且无明显高风险信号。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可作为低风险参考层。</w:t>
            </w:r>
          </w:p>
        </w:tc>
      </w:tr>
      <w:tr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T2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中间型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存在B2或I2，或出现单个边界项。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异质性较高，应结合研究目的细化。</w:t>
            </w:r>
          </w:p>
        </w:tc>
      </w:tr>
      <w:tr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T3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高负荷/广泛破坏型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B3、I3或存在Red flag。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以严重度主导管理。</w:t>
            </w:r>
          </w:p>
        </w:tc>
      </w:tr>
      <w:tr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T4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复杂型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任意C2，或复杂性明显高于一般人群。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覆盖其他层级，优先按复杂型管理。</w:t>
            </w:r>
          </w:p>
        </w:tc>
      </w:tr>
      <w:tr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Tb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边界/待定型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t>资料缺失、结果冲突或暂时无法判定。</w:t>
            </w:r>
          </w:p>
        </w:tc>
        <w:tc>
          <w:tcPr>
            <w:tcW w:type="dxa" w:w="24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需补充信息后再归类。</w:t>
            </w:r>
          </w:p>
        </w:tc>
      </w:tr>
    </w:tbl>
    <w:p>
      <w:pPr>
        <w:pStyle w:val="Heading1"/>
      </w:pPr>
      <w:r>
        <w:t>9 缺失、不一致与保守判定</w:t>
      </w:r>
    </w:p>
    <w:p>
      <w:pPr/>
      <w:r>
        <w:t>关键指标缺失时，不得判定为T1。</w:t>
      </w:r>
    </w:p>
    <w:p>
      <w:pPr/>
      <w:r>
        <w:t>出现跨域冲突时，原则上按较高风险路径处理，并启动实验室或影像复核流程。</w:t>
      </w:r>
    </w:p>
    <w:p>
      <w:pPr/>
      <w:r>
        <w:t>无法判读、数据不全或结论互相矛盾者，可暂列为Tb（边界/待定型），待补充资料后再行归类。</w:t>
      </w:r>
    </w:p>
    <w:p>
      <w:pPr>
        <w:pStyle w:val="Heading1"/>
      </w:pPr>
      <w:r>
        <w:t>10 数据实现与EDC要求</w:t>
      </w:r>
    </w:p>
    <w:p>
      <w:pPr/>
      <w:r>
        <w:t>EDC中应同时保留原始字段与派生字段，包括平台信息、原始报告、分层中间变量、最终综合分类、Red flag以及复核原因。</w:t>
      </w:r>
    </w:p>
    <w:p>
      <w:pPr/>
      <w:r>
        <w:t>关键分层变量应在随机化或队列归类前锁定，并保留审计追踪。</w:t>
      </w:r>
    </w:p>
    <w:p>
      <w:pPr/>
      <w:r>
        <w:t>任何版本更新都必须同步更新EDC派生逻辑、培训材料和质控规则。</w:t>
      </w:r>
    </w:p>
    <w:p>
      <w:pPr>
        <w:pStyle w:val="Heading1"/>
      </w:pPr>
      <w:r>
        <w:t>11 质量控制与一致性管理</w:t>
      </w:r>
    </w:p>
    <w:p>
      <w:pPr/>
      <w:r>
        <w:t>实验室层面：统一平台解释规则、异常结果复核规则和原始报告录入要求。</w:t>
      </w:r>
    </w:p>
    <w:p>
      <w:pPr/>
      <w:r>
        <w:t>影像层面：统一胸片判读口径，必要时实施双阅片与仲裁机制。</w:t>
      </w:r>
    </w:p>
    <w:p>
      <w:pPr/>
      <w:r>
        <w:t>数据层面：定期输出缺失/异常清单、监测分层比例、评估跨中心一致性，避免分层体系在运行中发生结构性偏倚。</w:t>
      </w:r>
    </w:p>
    <w:p>
      <w:pPr>
        <w:pStyle w:val="Heading1"/>
      </w:pPr>
      <w:r>
        <w:t>12 模块化附录体系</w:t>
      </w:r>
    </w:p>
    <w:p>
      <w:pPr/>
      <w:r>
        <w:t>本总纲版建议采用“1个通用总纲 + 多个人群/场景附录”的结构。</w:t>
      </w:r>
    </w:p>
    <w:p>
      <w:pPr/>
      <w:r>
        <w:t>附录A可用于DS-TB；附录B可用于DR-TB；附录C可用于TB-DM；附录D可用于HIV、儿童、孕产妇、老年等特殊人群。</w:t>
      </w:r>
    </w:p>
    <w:p>
      <w:pPr/>
      <w:r>
        <w:t>具体研究可在附录中规定阈值、边界病例分配策略和随机化应用口径，但应保持与总纲概念一致。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7E5"/>
          <w:left w:val="single" w:sz="8" w:space="0" w:color="C9D7E5"/>
          <w:bottom w:val="single" w:sz="8" w:space="0" w:color="C9D7E5"/>
          <w:right w:val="single" w:sz="8" w:space="0" w:color="C9D7E5"/>
          <w:insideH w:val="single" w:sz="8" w:space="0" w:color="C9D7E5"/>
          <w:insideV w:val="single" w:sz="8" w:space="0" w:color="C9D7E5"/>
        </w:tblBorders>
      </w:tblPr>
      <w:tblGrid>
        <w:gridCol w:w="9354"/>
      </w:tblGrid>
      <w:tr>
        <w:tc>
          <w:tcPr>
            <w:tcW w:type="dxa" w:w="9632"/>
            <w:shd w:fill="EE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BoxText"/>
            </w:pPr>
            <w:r>
              <w:rPr>
                <w:color w:val="2D2D2D"/>
              </w:rPr>
              <w:t>推荐在后续研究文件中，将“边界病例如何映射到低风险或较高风险路径”写入附录，而不要写入总纲定义本身。这样可使总纲保持稳定，又允许不同研究按风险容忍度进行运行层适配。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Gray"/>
      <w:jc w:val="center"/>
    </w:pPr>
    <w:r>
      <w:t xml:space="preserve">TDSC 方法学工具文件  |  第 </w:t>
    </w:r>
    <w:r>
      <w:fldChar w:fldCharType="begin"/>
      <w:instrText xml:space="preserve"> PAGE 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2148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148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2148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pPr>
      <w:spacing w:after="80" w:line="288" w:lineRule="auto"/>
    </w:pPr>
    <w:rPr>
      <w:rFonts w:ascii="Arial" w:hAnsi="Arial" w:eastAsia="微软雅黑"/>
      <w:color w:val="5A5A5A"/>
      <w:sz w:val="18"/>
    </w:rPr>
  </w:style>
  <w:style w:type="paragraph" w:customStyle="1" w:styleId="BoxText">
    <w:name w:val="Box Text"/>
    <w:pPr>
      <w:spacing w:after="80" w:line="300" w:lineRule="auto"/>
    </w:pPr>
    <w:rPr>
      <w:rFonts w:ascii="Arial" w:hAnsi="Arial" w:eastAsia="微软雅黑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