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SC" w:hAnsi="Noto Sans CJK SC" w:eastAsia="Noto Sans CJK SC"/>
          <w:b/>
          <w:color w:val="1F4E5F"/>
          <w:sz w:val="22"/>
        </w:rPr>
        <w:t>结核病患者分层工具模块化体系</w:t>
      </w:r>
    </w:p>
    <w:p>
      <w:pPr>
        <w:spacing w:before="360" w:after="120"/>
        <w:jc w:val="left"/>
      </w:pPr>
      <w:r>
        <w:rPr>
          <w:rFonts w:ascii="Noto Sans CJK SC" w:hAnsi="Noto Sans CJK SC" w:eastAsia="Noto Sans CJK SC"/>
          <w:b/>
          <w:color w:val="222222"/>
          <w:sz w:val="44"/>
        </w:rPr>
        <w:t>附录B：DR-TB患者分层适配规则</w:t>
      </w:r>
    </w:p>
    <w:p>
      <w:pPr>
        <w:spacing w:after="360"/>
        <w:jc w:val="left"/>
      </w:pPr>
      <w:r>
        <w:rPr>
          <w:rFonts w:ascii="Noto Sans CJK SC" w:hAnsi="Noto Sans CJK SC" w:eastAsia="Noto Sans CJK SC"/>
          <w:color w:val="5A6A72"/>
          <w:sz w:val="22"/>
        </w:rPr>
        <w:t>Drug-Resistant Tuberculosis Adaptation Module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8D7DD"/>
          <w:left w:val="single" w:sz="4" w:space="0" w:color="C8D7DD"/>
          <w:bottom w:val="single" w:sz="4" w:space="0" w:color="C8D7DD"/>
          <w:right w:val="single" w:sz="4" w:space="0" w:color="C8D7DD"/>
          <w:insideH w:val="single" w:sz="4" w:space="0" w:color="C8D7DD"/>
          <w:insideV w:val="single" w:sz="4" w:space="0" w:color="C8D7DD"/>
        </w:tblBorders>
      </w:tblPr>
      <w:tblGrid>
        <w:gridCol w:w="4816"/>
        <w:gridCol w:w="4816"/>
      </w:tblGrid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5"/>
          </w:tcPr>
          <w:p>
            <w:r>
              <w:t>文件属性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最终版整合修订稿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5"/>
          </w:tcPr>
          <w:p>
            <w:r>
              <w:t>定位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作为《SOP01A：通用型结核病患者分层工具》的专属附录模块，可直接用于研究方案、SOP体系和团队讨论稿。</w:t>
            </w:r>
          </w:p>
        </w:tc>
      </w:tr>
      <w:tr>
        <w:tc>
          <w:tcPr>
            <w:tcW w:type="dxa" w:w="187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5"/>
          </w:tcPr>
          <w:p>
            <w:r>
              <w:t>版本说明</w:t>
            </w:r>
          </w:p>
        </w:tc>
        <w:tc>
          <w:tcPr>
            <w:tcW w:type="dxa" w:w="61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统一采用正式、专业、可执行的SOP写法；突出分层目标、关键变量、判定规则、EDC与质控要点。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8D7DD"/>
          <w:left w:val="single" w:sz="4" w:space="0" w:color="C8D7DD"/>
          <w:bottom w:val="single" w:sz="4" w:space="0" w:color="C8D7DD"/>
          <w:right w:val="single" w:sz="4" w:space="0" w:color="C8D7DD"/>
          <w:insideH w:val="single" w:sz="4" w:space="0" w:color="C8D7DD"/>
          <w:insideV w:val="single" w:sz="4" w:space="0" w:color="C8D7DD"/>
        </w:tblBorders>
      </w:tblPr>
      <w:tblGrid>
        <w:gridCol w:w="9632"/>
      </w:tblGrid>
      <w:tr>
        <w:tc>
          <w:tcPr>
            <w:tcW w:type="dxa" w:w="7994"/>
            <w:tcMar>
              <w:top w:w="110" w:type="dxa"/>
              <w:start w:w="130" w:type="dxa"/>
              <w:bottom w:w="110" w:type="dxa"/>
              <w:end w:w="130" w:type="dxa"/>
            </w:tcMar>
            <w:shd w:fill="F7FAFB"/>
          </w:tcPr>
          <w:p>
            <w:pPr>
              <w:pStyle w:val="BoxTitle"/>
            </w:pPr>
            <w:r>
              <w:t>总领句</w:t>
            </w:r>
          </w:p>
          <w:p>
            <w:pPr/>
          </w:p>
          <w:p>
            <w:pPr>
              <w:spacing w:after="0"/>
            </w:pPr>
            <w:r>
              <w:t>DR-TB分层的核心任务，不只是预测近期治疗反应，更是识别具有高结构残余风险和高复发倾向的复杂病例。</w:t>
            </w:r>
          </w:p>
        </w:tc>
      </w:tr>
    </w:tbl>
    <w:p>
      <w:r>
        <w:br w:type="page"/>
      </w:r>
    </w:p>
    <w:p>
      <w:pPr>
        <w:pStyle w:val="Heading1"/>
      </w:pPr>
      <w:r>
        <w:t>B1 适配目的</w:t>
      </w:r>
    </w:p>
    <w:p>
      <w:pPr/>
      <w:r>
        <w:rPr>
          <w:rFonts w:ascii="Noto Sans CJK SC" w:hAnsi="Noto Sans CJK SC" w:eastAsia="Noto Sans CJK SC"/>
        </w:rPr>
        <w:t>本附录用于在</w:t>
      </w:r>
      <w:r>
        <w:rPr>
          <w:rFonts w:ascii="Noto Sans CJK SC" w:hAnsi="Noto Sans CJK SC" w:eastAsia="Noto Sans CJK SC"/>
          <w:b/>
        </w:rPr>
        <w:t>耐药结核病（DR-TB）</w:t>
      </w:r>
      <w:r>
        <w:rPr>
          <w:rFonts w:ascii="Noto Sans CJK SC" w:hAnsi="Noto Sans CJK SC" w:eastAsia="Noto Sans CJK SC"/>
        </w:rPr>
        <w:t>人群中，对《SOP01A：通用型结核病患者分层工具》进行场景化适配，以支持方案选择、基线风险分层、随机化分层及预设亚组分析。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识别具有高结构残余风险和高复发倾向的患者；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为短程方案、长程方案及个体化方案提供统一分层语言；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避免将“早期细菌学转阴”误当作DR-TB基线低风险的主要定义依据；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提高多中心研究中影像、耐药信息与治疗史采集的一致性。</w:t>
      </w:r>
    </w:p>
    <w:p>
      <w:pPr>
        <w:pStyle w:val="Heading1"/>
      </w:pPr>
      <w:r>
        <w:t>B2 适用范围</w:t>
      </w:r>
    </w:p>
    <w:p>
      <w:pPr/>
      <w:r>
        <w:rPr>
          <w:rFonts w:ascii="Noto Sans CJK SC" w:hAnsi="Noto Sans CJK SC" w:eastAsia="Noto Sans CJK SC"/>
        </w:rPr>
        <w:t>本附录优先适用于</w:t>
      </w:r>
      <w:r>
        <w:rPr>
          <w:rFonts w:ascii="Noto Sans CJK SC" w:hAnsi="Noto Sans CJK SC" w:eastAsia="Noto Sans CJK SC"/>
          <w:b/>
        </w:rPr>
        <w:t>肺DR-TB</w:t>
      </w:r>
      <w:r>
        <w:rPr>
          <w:rFonts w:ascii="Noto Sans CJK SC" w:hAnsi="Noto Sans CJK SC" w:eastAsia="Noto Sans CJK SC"/>
        </w:rPr>
        <w:t>，包括RR-TB、MDR-TB、准广泛耐药结核病和广泛耐药结核病的临床试验与真实世界研究。对于严重肺外DR-TB，尤其是粟粒TB和TB脑膜炎，应更倾向于复杂型评估和长程个体化管理。</w:t>
      </w:r>
    </w:p>
    <w:p>
      <w:pPr>
        <w:pStyle w:val="Heading1"/>
      </w:pPr>
      <w:r>
        <w:t>B3 核心理念</w:t>
      </w:r>
    </w:p>
    <w:p>
      <w:pPr/>
      <w:r>
        <w:rPr>
          <w:rFonts w:ascii="Noto Sans CJK SC" w:hAnsi="Noto Sans CJK SC" w:eastAsia="Noto Sans CJK SC"/>
        </w:rPr>
        <w:t>DR-TB模块采用以下判定哲学：</w:t>
      </w:r>
      <w:r>
        <w:rPr>
          <w:rFonts w:ascii="Noto Sans CJK SC" w:hAnsi="Noto Sans CJK SC" w:eastAsia="Noto Sans CJK SC"/>
          <w:b/>
        </w:rPr>
        <w:t>结构破坏为主轴，病程复杂性为第二主轴，病原学持续性用于动态校正。</w:t>
      </w:r>
      <w:r>
        <w:rPr>
          <w:rFonts w:ascii="Noto Sans CJK SC" w:hAnsi="Noto Sans CJK SC" w:eastAsia="Noto Sans CJK SC"/>
        </w:rPr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空洞及肺结构破坏程度最接近“治愈后残余高风险生态位”；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耐药复杂性与既往治疗史决定未来方案强度、失败风险与复发风险；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早期细菌学转阴仍重要，但更适合用于治疗中动态修正，而不宜主导基线低/高风险定义。</w:t>
      </w:r>
    </w:p>
    <w:p>
      <w:pPr/>
      <w:r>
        <w:rPr>
          <w:rFonts w:ascii="Noto Sans CJK SC" w:hAnsi="Noto Sans CJK SC" w:eastAsia="Noto Sans CJK SC"/>
        </w:rPr>
        <w:t>在DR-TB中，高风险层的入口应当偏早。只要出现多空洞、大空洞、双侧广泛破坏或毁损倾向，就应尽早进入高复发/高复杂层，而不应等待治疗中是否“早转阴”后再决定。</w:t>
      </w:r>
    </w:p>
    <w:p>
      <w:pPr>
        <w:pStyle w:val="Heading1"/>
      </w:pPr>
      <w:r>
        <w:t>B4 关键变量与分层角色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7DD"/>
          <w:left w:val="single" w:sz="4" w:space="0" w:color="C8D7DD"/>
          <w:bottom w:val="single" w:sz="4" w:space="0" w:color="C8D7DD"/>
          <w:right w:val="single" w:sz="4" w:space="0" w:color="C8D7DD"/>
          <w:insideH w:val="single" w:sz="4" w:space="0" w:color="C8D7DD"/>
          <w:insideV w:val="single" w:sz="4" w:space="0" w:color="C8D7DD"/>
        </w:tblBorders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757"/>
            <w:shd w:fill="1F4E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变量域</w:t>
            </w:r>
          </w:p>
        </w:tc>
        <w:tc>
          <w:tcPr>
            <w:tcW w:type="dxa" w:w="2608"/>
            <w:shd w:fill="1F4E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具体变量</w:t>
            </w:r>
          </w:p>
        </w:tc>
        <w:tc>
          <w:tcPr>
            <w:tcW w:type="dxa" w:w="1701"/>
            <w:shd w:fill="1F4E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模型地位</w:t>
            </w:r>
          </w:p>
        </w:tc>
        <w:tc>
          <w:tcPr>
            <w:tcW w:type="dxa" w:w="2721"/>
            <w:shd w:fill="1F4E5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建议作用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结构破坏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有无空洞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反映残余病灶生态位与复发风险基础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结构破坏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空洞数量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比单一有/无空洞更能区分风险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结构破坏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最大空洞径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大空洞提示更高风险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影像范围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双侧受累 / 广泛实质破坏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决定是否属于广泛病变表型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慢性损伤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毁损肺、广泛纤维化、支扩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反映长期病程与高复发倾向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耐药复杂性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RR/MDR/pre-XDR/XDR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决定治疗复杂性与药物可用性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治疗史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原发耐药 vs 演化型耐药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区分原发传播型与复杂演化型DR-TB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药物可用性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FQ、Bdq、Lzd、Dlm、Pa等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核心变量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直接影响方案强度和失败/复发风险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病原学负荷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基线Xpert / AFB / 培养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辅助变量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仍重要，但不宜凌驾于结构破坏之上</w:t>
            </w:r>
          </w:p>
        </w:tc>
      </w:tr>
      <w:tr>
        <w:trPr>
          <w:cantSplit/>
        </w:trP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pPr>
              <w:jc w:val="center"/>
            </w:pPr>
            <w:r>
              <w:t>早期反应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2–3个月培养转阴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t>动态修正变量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用于治疗中校正，不作为基线主导变量</w:t>
            </w:r>
          </w:p>
        </w:tc>
      </w:tr>
    </w:tbl>
    <w:p/>
    <w:p>
      <w:pPr>
        <w:pStyle w:val="Heading1"/>
      </w:pPr>
      <w:r>
        <w:t>B5 分层输出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7DD"/>
          <w:left w:val="single" w:sz="4" w:space="0" w:color="C8D7DD"/>
          <w:bottom w:val="single" w:sz="4" w:space="0" w:color="C8D7DD"/>
          <w:right w:val="single" w:sz="4" w:space="0" w:color="C8D7DD"/>
          <w:insideH w:val="single" w:sz="4" w:space="0" w:color="C8D7DD"/>
          <w:insideV w:val="single" w:sz="4" w:space="0" w:color="C8D7DD"/>
        </w:tblBorders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531"/>
            <w:shd w:fill="1F4E5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层级</w:t>
            </w:r>
          </w:p>
        </w:tc>
        <w:tc>
          <w:tcPr>
            <w:tcW w:type="dxa" w:w="2608"/>
            <w:shd w:fill="1F4E5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中文命名</w:t>
            </w:r>
          </w:p>
        </w:tc>
        <w:tc>
          <w:tcPr>
            <w:tcW w:type="dxa" w:w="4649"/>
            <w:shd w:fill="1F4E5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</w:rPr>
              <w:t>核心判定要点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5"/>
          </w:tcPr>
          <w:p>
            <w:pPr>
              <w:jc w:val="center"/>
            </w:pPr>
            <w:r>
              <w:t>DR-S1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r>
              <w:t>结构受损轻、病程较简单型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无空洞或仅极轻度局限性破坏；非双侧广泛受累；耐药谱相对简单；关键药物可用性较好。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5"/>
          </w:tcPr>
          <w:p>
            <w:pPr>
              <w:jc w:val="center"/>
            </w:pPr>
            <w:r>
              <w:t>DR-S2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r>
              <w:t>空洞型/中度复杂型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存在空洞但范围尚局限，或结构破坏中等，或治疗史开始变复杂。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5"/>
          </w:tcPr>
          <w:p>
            <w:pPr>
              <w:jc w:val="center"/>
            </w:pPr>
            <w:r>
              <w:t>DR-S3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r>
              <w:t>广泛破坏高复发风险型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多空洞、大空洞、双侧广泛病变、广泛肺实质破坏、毁损肺或明显慢性结构破坏。</w:t>
            </w:r>
          </w:p>
        </w:tc>
      </w:tr>
      <w:tr>
        <w:trPr>
          <w:cantSplit/>
        </w:trP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AF2F5"/>
          </w:tcPr>
          <w:p>
            <w:pPr>
              <w:jc w:val="center"/>
            </w:pPr>
            <w:r>
              <w:t>DR-C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AFB"/>
          </w:tcPr>
          <w:p>
            <w:r>
              <w:t>复杂演化型DR-TB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pre-XDR/XDR、关键药物受限、多次治疗失败、长期迁延、严重肺外DR-TB或需个体化强化管理。</w:t>
            </w:r>
          </w:p>
        </w:tc>
      </w:tr>
    </w:tbl>
    <w:p/>
    <w:p>
      <w:pPr>
        <w:pStyle w:val="Heading1"/>
      </w:pPr>
      <w:r>
        <w:t>B6 具体判定规则</w:t>
      </w:r>
    </w:p>
    <w:p>
      <w:pPr>
        <w:pStyle w:val="Heading2"/>
      </w:pPr>
      <w:r>
        <w:t>B6.1 DR-S1（结构受损轻、病程较简单型）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结构破坏：无空洞，或仅有极轻微、局限性改变；无双侧广泛病变；无毁损肺或明显慢性破坏。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复杂性：耐药谱不复杂；无明显关键药物不可用；既往二线药暴露有限；无严重肺外TB或重度宿主脆弱性。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病原学：可为低或中等负荷，但不得有与影像明显冲突的高危信号。</w:t>
      </w:r>
    </w:p>
    <w:p>
      <w:pPr>
        <w:pStyle w:val="Heading2"/>
      </w:pPr>
      <w:r>
        <w:t>B6.2 DR-S2（空洞型/中度复杂型）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有空洞，但数量少、范围局限；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结构破坏中等；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既往治疗史提示中度复杂性；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病原学负荷较高，但未达广泛破坏表型。</w:t>
      </w:r>
    </w:p>
    <w:p>
      <w:pPr>
        <w:pStyle w:val="Heading2"/>
      </w:pPr>
      <w:r>
        <w:t>B6.3 DR-S3（广泛破坏高复发风险型）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多空洞；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大空洞；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双侧广泛病变；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广泛肺实质破坏；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毁损肺或重度慢性破坏征象。</w:t>
      </w:r>
    </w:p>
    <w:p>
      <w:pPr>
        <w:pStyle w:val="Heading2"/>
      </w:pPr>
      <w:r>
        <w:t>B6.4 DR-C（复杂演化型DR-TB）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准广泛耐药结核病或广泛耐药结核病；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关键药物耐药或疑似无效；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既往多次治疗失败或长期迁延；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严重肺外DR-TB；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研究者认为需个体化强化管理者。</w:t>
      </w:r>
    </w:p>
    <w:p>
      <w:pPr/>
      <w:r>
        <w:rPr>
          <w:rFonts w:ascii="Noto Sans CJK SC" w:hAnsi="Noto Sans CJK SC" w:eastAsia="Noto Sans CJK SC"/>
        </w:rPr>
        <w:t>建议在EDC中新增研究性/操作性字段：</w:t>
      </w:r>
      <w:r>
        <w:rPr>
          <w:rFonts w:ascii="Noto Sans CJK SC" w:hAnsi="Noto Sans CJK SC" w:eastAsia="Noto Sans CJK SC"/>
          <w:b/>
        </w:rPr>
        <w:t>DR-TB来源/演化模式</w:t>
      </w:r>
      <w:r>
        <w:rPr>
          <w:rFonts w:ascii="Noto Sans CJK SC" w:hAnsi="Noto Sans CJK SC" w:eastAsia="Noto Sans CJK SC"/>
        </w:rPr>
        <w:t>（原发传播型、获得性/演化型、不确定）。该字段有助于区分“结构损伤相对轻的原发DR-TB”与“在反复治疗和长期不愈过程中逐步演化而成的复杂DR-TB”。</w:t>
      </w:r>
    </w:p>
    <w:p>
      <w:pPr>
        <w:pStyle w:val="Heading1"/>
      </w:pPr>
      <w:r>
        <w:t>B7 缺失与冲突处理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关键影像变量缺失时，不应直接判为DR-S1；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关键耐药信息缺失时，应倾向于更高复杂性层级或待判；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仅有“细菌学转阴较快”而无结构破坏资料者，不应下调风险层级；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病原学负荷低但影像提示多空洞/广泛破坏者，按较高层级处理；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病原学改善较快但耐药谱复杂、结构破坏重者，不应下调至低风险层；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严重肺外TB、关键药物耐药或复杂宿主脆弱性一旦成立，可直接升级为DR-C。</w:t>
      </w:r>
    </w:p>
    <w:p>
      <w:pPr>
        <w:pStyle w:val="Heading1"/>
      </w:pPr>
      <w:r>
        <w:t>B8 治疗开始后的动态校正</w:t>
      </w:r>
    </w:p>
    <w:p>
      <w:pPr/>
      <w:r>
        <w:rPr>
          <w:rFonts w:ascii="Noto Sans CJK SC" w:hAnsi="Noto Sans CJK SC" w:eastAsia="Noto Sans CJK SC"/>
        </w:rPr>
        <w:t>DR-TB的基线分层不以早期转阴为主导，但治疗开始后仍建议重点记录2个月、3个月及以后培养转阴情况、涂片持续阳性或再阳转、症状与影像改善情况，以及PPTR信号、方案调整或药物停减。</w:t>
      </w:r>
    </w:p>
    <w:p>
      <w:pPr/>
      <w:r>
        <w:rPr>
          <w:rFonts w:ascii="Noto Sans CJK SC" w:hAnsi="Noto Sans CJK SC" w:eastAsia="Noto Sans CJK SC"/>
        </w:rPr>
        <w:t>在DR-TB中，</w:t>
      </w:r>
      <w:r>
        <w:rPr>
          <w:rFonts w:ascii="Noto Sans CJK SC" w:hAnsi="Noto Sans CJK SC" w:eastAsia="Noto Sans CJK SC"/>
          <w:b/>
        </w:rPr>
        <w:t>早期细菌学反应更适合用于动态校正治疗路径，而不应替代基线对空洞、结构破坏和复杂性的识别。</w:t>
      </w:r>
      <w:r>
        <w:rPr>
          <w:rFonts w:ascii="Noto Sans CJK SC" w:hAnsi="Noto Sans CJK SC" w:eastAsia="Noto Sans CJK SC"/>
        </w:rPr>
      </w:r>
    </w:p>
    <w:p>
      <w:pPr>
        <w:pStyle w:val="Heading1"/>
      </w:pPr>
      <w:r>
        <w:t>B9 EDC实现建议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原始字段：Xpert/Ultra平台与原始结果、AFB原始分级、培养结果、空洞有无/数量/最大径、单侧/双侧受累、广泛破坏、毁损肺、支扩、纤维化、RR/MDR/pre-XDR/XDR分类、关键药物耐药与可用性、既往二线药暴露史、既往治疗结局与病程来源/演化模式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派生字段：结构破坏层级、复杂性层级、DR-S1/DR-S2/DR-S3/DR-C分类、缺失/冲突标记、是否属于高复发风险路径标记。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所有关键分层字段应在随机化或方案分配前锁定，并保留版本控制与审计追踪。</w:t>
      </w:r>
    </w:p>
    <w:p>
      <w:pPr>
        <w:pStyle w:val="Heading1"/>
      </w:pPr>
      <w:r>
        <w:t>B10 质量控制建议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影像QC：空洞判定、数量记录和最大径测量必须标准化；双侧广泛病变、毁损肺和慢性破坏征象应设中心化阅片规则；必要时双阅片与仲裁。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耐药与治疗史QC：既往药物暴露史应尽量完整核实；基线DST结果与后续补充DST结果需及时更新；关键药物“疑似无效”情形要形成标准留痕。</w:t>
      </w:r>
    </w:p>
    <w:p>
      <w:pPr>
        <w:ind w:left="227" w:hanging="170"/>
      </w:pPr>
      <w:r>
        <w:rPr>
          <w:rFonts w:ascii="Noto Sans CJK SC" w:hAnsi="Noto Sans CJK SC" w:eastAsia="Noto Sans CJK SC"/>
        </w:rPr>
        <w:t>• 运行监测：建议在前50例、100例、200例完成基线分层后，监测DR-S3与DR-C比例；若高风险层比例异常偏低，应优先检查空洞记录、广泛破坏判读和治疗史采集流程。</w:t>
      </w:r>
    </w:p>
    <w:p>
      <w:pPr>
        <w:pStyle w:val="Heading1"/>
      </w:pPr>
      <w:r>
        <w:t>B11 本附录的总领句</w:t>
      </w:r>
    </w:p>
    <w:p>
      <w:pPr>
        <w:spacing w:before="80" w:after="80"/>
        <w:ind w:left="283" w:right="227"/>
      </w:pPr>
      <w:r>
        <w:rPr>
          <w:rFonts w:ascii="Noto Sans CJK SC" w:hAnsi="Noto Sans CJK SC" w:eastAsia="Noto Sans CJK SC"/>
          <w:b/>
        </w:rPr>
        <w:t>DR-TB分层的核心任务，不只是预测近期治疗反应，更是识别具有高结构残余风险和高复发倾向的复杂病例。</w:t>
      </w:r>
    </w:p>
    <w:sectPr w:rsidR="00FC693F" w:rsidRPr="0006063C" w:rsidSect="00034616">
      <w:footerReference w:type="default" r:id="rId9"/>
      <w:pgSz w:w="12240" w:h="15840"/>
      <w:pgMar w:top="1247" w:right="1247" w:bottom="1191" w:left="136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>
      <w:r>
        <w:t/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57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line="288" w:lineRule="auto" w:after="80"/>
    </w:pPr>
    <w:rPr>
      <w:rFonts w:ascii="Noto Sans CJK SC" w:hAnsi="Noto Sans CJK SC" w:eastAsia="Noto Sans CJK SC"/>
      <w:color w:val="5A6A72"/>
      <w:sz w:val="18"/>
    </w:rPr>
  </w:style>
  <w:style w:type="paragraph" w:customStyle="1" w:styleId="BoxTitle">
    <w:name w:val="Box Title"/>
    <w:basedOn w:val="Normal"/>
    <w:pPr>
      <w:spacing w:after="60"/>
    </w:pPr>
    <w:rPr>
      <w:rFonts w:ascii="Noto Sans CJK SC" w:hAnsi="Noto Sans CJK SC" w:eastAsia="Noto Sans CJK SC"/>
      <w:b/>
      <w:color w:val="1F4E5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