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 CJK SC" w:hAnsi="Noto Sans CJK SC" w:eastAsia="Noto Sans CJK SC"/>
          <w:b/>
          <w:color w:val="1F4E5F"/>
          <w:sz w:val="22"/>
        </w:rPr>
        <w:t>结核病患者分层工具模块化体系</w:t>
      </w:r>
    </w:p>
    <w:p>
      <w:pPr>
        <w:spacing w:before="360" w:after="120"/>
        <w:jc w:val="left"/>
      </w:pPr>
      <w:r>
        <w:rPr>
          <w:rFonts w:ascii="Noto Sans CJK SC" w:hAnsi="Noto Sans CJK SC" w:eastAsia="Noto Sans CJK SC"/>
          <w:b/>
          <w:color w:val="222222"/>
          <w:sz w:val="44"/>
        </w:rPr>
        <w:t>附录A：DS-TB患者分层适配规则</w:t>
      </w:r>
    </w:p>
    <w:p>
      <w:pPr>
        <w:spacing w:after="360"/>
        <w:jc w:val="left"/>
      </w:pPr>
      <w:r>
        <w:rPr>
          <w:rFonts w:ascii="Noto Sans CJK SC" w:hAnsi="Noto Sans CJK SC" w:eastAsia="Noto Sans CJK SC"/>
          <w:color w:val="5A6A72"/>
          <w:sz w:val="22"/>
        </w:rPr>
        <w:t>Drug-Susceptible Tuberculosis Adaptation Module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8D7DD"/>
          <w:left w:val="single" w:sz="4" w:space="0" w:color="C8D7DD"/>
          <w:bottom w:val="single" w:sz="4" w:space="0" w:color="C8D7DD"/>
          <w:right w:val="single" w:sz="4" w:space="0" w:color="C8D7DD"/>
          <w:insideH w:val="single" w:sz="4" w:space="0" w:color="C8D7DD"/>
          <w:insideV w:val="single" w:sz="4" w:space="0" w:color="C8D7DD"/>
        </w:tblBorders>
      </w:tblPr>
      <w:tblGrid>
        <w:gridCol w:w="4816"/>
        <w:gridCol w:w="4816"/>
      </w:tblGrid>
      <w:t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5"/>
          </w:tcPr>
          <w:p>
            <w:r>
              <w:t>文件属性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最终版整合修订稿</w:t>
            </w:r>
          </w:p>
        </w:tc>
      </w:tr>
      <w:t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5"/>
          </w:tcPr>
          <w:p>
            <w:r>
              <w:t>定位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作为《SOP01A：通用型结核病患者分层工具》的专属附录模块，可直接用于研究方案、SOP体系和团队讨论稿。</w:t>
            </w:r>
          </w:p>
        </w:tc>
      </w:tr>
      <w:t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5"/>
          </w:tcPr>
          <w:p>
            <w:r>
              <w:t>版本说明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统一采用正式、专业、可执行的SOP写法；突出分层目标、关键变量、判定规则、EDC与质控要点。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8D7DD"/>
          <w:left w:val="single" w:sz="4" w:space="0" w:color="C8D7DD"/>
          <w:bottom w:val="single" w:sz="4" w:space="0" w:color="C8D7DD"/>
          <w:right w:val="single" w:sz="4" w:space="0" w:color="C8D7DD"/>
          <w:insideH w:val="single" w:sz="4" w:space="0" w:color="C8D7DD"/>
          <w:insideV w:val="single" w:sz="4" w:space="0" w:color="C8D7DD"/>
        </w:tblBorders>
      </w:tblPr>
      <w:tblGrid>
        <w:gridCol w:w="9632"/>
      </w:tblGrid>
      <w:tr>
        <w:tc>
          <w:tcPr>
            <w:tcW w:type="dxa" w:w="7994"/>
            <w:tcMar>
              <w:top w:w="110" w:type="dxa"/>
              <w:start w:w="130" w:type="dxa"/>
              <w:bottom w:w="110" w:type="dxa"/>
              <w:end w:w="130" w:type="dxa"/>
            </w:tcMar>
            <w:shd w:fill="F7FAFB"/>
          </w:tcPr>
          <w:p>
            <w:pPr>
              <w:pStyle w:val="BoxTitle"/>
            </w:pPr>
            <w:r>
              <w:t>总领句</w:t>
            </w:r>
          </w:p>
          <w:p>
            <w:pPr/>
          </w:p>
          <w:p>
            <w:pPr>
              <w:spacing w:after="0"/>
            </w:pPr>
            <w:r>
              <w:t>DS-TB分层的核心任务，是识别“低菌量、局限病变、非复杂表型”的非重症患者，而不是仅凭单一病原学指标定义轻症。</w:t>
            </w:r>
          </w:p>
        </w:tc>
      </w:tr>
    </w:tbl>
    <w:p>
      <w:r>
        <w:br w:type="page"/>
      </w:r>
    </w:p>
    <w:p>
      <w:pPr>
        <w:pStyle w:val="Heading1"/>
      </w:pPr>
      <w:r>
        <w:t>A1 适配目的</w:t>
      </w:r>
    </w:p>
    <w:p>
      <w:pPr/>
      <w:r>
        <w:rPr>
          <w:rFonts w:ascii="Noto Sans CJK SC" w:hAnsi="Noto Sans CJK SC" w:eastAsia="Noto Sans CJK SC"/>
        </w:rPr>
        <w:t>本附录用于在</w:t>
      </w:r>
      <w:r>
        <w:rPr>
          <w:rFonts w:ascii="Noto Sans CJK SC" w:hAnsi="Noto Sans CJK SC" w:eastAsia="Noto Sans CJK SC"/>
          <w:b/>
        </w:rPr>
        <w:t>药物敏感结核病（DS-TB）</w:t>
      </w:r>
      <w:r>
        <w:rPr>
          <w:rFonts w:ascii="Noto Sans CJK SC" w:hAnsi="Noto Sans CJK SC" w:eastAsia="Noto Sans CJK SC"/>
        </w:rPr>
        <w:t>人群中，对《SOP01A：通用型结核病患者分层工具》进行场景化适配，以支持基线风险分层、随机化分层、预设亚组分析以及多中心研究中的一致性判定。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识别更接近低菌量、局限病变、非复杂表型的患者；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为短程治疗、标准疗程治疗及相关亚组分析提供统一分层语言；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避免将单一病原学低负荷误判为“轻症DS-TB”；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保证跨中心实验室与影像判读的一致性、可审计性与可执行性。</w:t>
      </w:r>
    </w:p>
    <w:p>
      <w:pPr>
        <w:pStyle w:val="Heading1"/>
      </w:pPr>
      <w:r>
        <w:t>A2 适用范围</w:t>
      </w:r>
    </w:p>
    <w:p>
      <w:pPr/>
      <w:r>
        <w:rPr>
          <w:rFonts w:ascii="Noto Sans CJK SC" w:hAnsi="Noto Sans CJK SC" w:eastAsia="Noto Sans CJK SC"/>
        </w:rPr>
        <w:t>本附录优先适用于</w:t>
      </w:r>
      <w:r>
        <w:rPr>
          <w:rFonts w:ascii="Noto Sans CJK SC" w:hAnsi="Noto Sans CJK SC" w:eastAsia="Noto Sans CJK SC"/>
          <w:b/>
        </w:rPr>
        <w:t>肺DS-TB</w:t>
      </w:r>
      <w:r>
        <w:rPr>
          <w:rFonts w:ascii="Noto Sans CJK SC" w:hAnsi="Noto Sans CJK SC" w:eastAsia="Noto Sans CJK SC"/>
        </w:rPr>
        <w:t>的临床试验和真实世界研究。对于需要个体化强化管理的严重肺外结核、重度免疫抑制或研究者明确判断不适合低风险路径的病例，不建议直接套用DS-TB低风险分层，而应进入复杂型评估。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优先适用：肺DS-TB；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慎用或不直接适用：结核性脑膜炎、播散性/粟粒性结核、骨关节结核、腹部结核等严重肺外结核；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应升级评估：重度免疫抑制、显著营养不良、近期反复治疗且表型复杂者。</w:t>
      </w:r>
    </w:p>
    <w:p>
      <w:pPr>
        <w:pStyle w:val="Heading1"/>
      </w:pPr>
      <w:r>
        <w:t>A3 核心理念</w:t>
      </w:r>
    </w:p>
    <w:p>
      <w:pPr/>
      <w:r>
        <w:rPr>
          <w:rFonts w:ascii="Noto Sans CJK SC" w:hAnsi="Noto Sans CJK SC" w:eastAsia="Noto Sans CJK SC"/>
        </w:rPr>
        <w:t>DS-TB模块采用以下判定哲学：</w:t>
      </w:r>
      <w:r>
        <w:rPr>
          <w:rFonts w:ascii="Noto Sans CJK SC" w:hAnsi="Noto Sans CJK SC" w:eastAsia="Noto Sans CJK SC"/>
          <w:b/>
        </w:rPr>
        <w:t>菌量为主轴，影像为闸门，复杂性为排除或升级条件。</w:t>
      </w:r>
      <w:r>
        <w:rPr>
          <w:rFonts w:ascii="Noto Sans CJK SC" w:hAnsi="Noto Sans CJK SC" w:eastAsia="Noto Sans CJK SC"/>
        </w:rPr>
      </w:r>
    </w:p>
    <w:p>
      <w:pPr>
        <w:ind w:left="227" w:hanging="170"/>
      </w:pPr>
      <w:r>
        <w:rPr>
          <w:rFonts w:ascii="Noto Sans CJK SC" w:hAnsi="Noto Sans CJK SC" w:eastAsia="Noto Sans CJK SC"/>
        </w:rPr>
        <w:t>• 病原学负荷决定患者是否接近低菌量表型；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影像范围与空洞决定患者是否仍可被视为局限型、非广泛型；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特殊部位和宿主复杂性决定患者是否应退出低风险路径。</w:t>
      </w:r>
    </w:p>
    <w:p>
      <w:pPr/>
      <w:r>
        <w:rPr>
          <w:rFonts w:ascii="Noto Sans CJK SC" w:hAnsi="Noto Sans CJK SC" w:eastAsia="Noto Sans CJK SC"/>
        </w:rPr>
        <w:t>在DS-TB中，最低风险层的入口应当偏严。没有“低菌量 + 非空洞 + 局限病变”三项条件的共同支持，不宜轻易进入最低风险层。</w:t>
      </w:r>
    </w:p>
    <w:p>
      <w:pPr>
        <w:pStyle w:val="Heading1"/>
      </w:pPr>
      <w:r>
        <w:t>A4 关键变量与分层角色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7DD"/>
          <w:left w:val="single" w:sz="4" w:space="0" w:color="C8D7DD"/>
          <w:bottom w:val="single" w:sz="4" w:space="0" w:color="C8D7DD"/>
          <w:right w:val="single" w:sz="4" w:space="0" w:color="C8D7DD"/>
          <w:insideH w:val="single" w:sz="4" w:space="0" w:color="C8D7DD"/>
          <w:insideV w:val="single" w:sz="4" w:space="0" w:color="C8D7DD"/>
        </w:tblBorders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757"/>
            <w:shd w:fill="1F4E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变量域</w:t>
            </w:r>
          </w:p>
        </w:tc>
        <w:tc>
          <w:tcPr>
            <w:tcW w:type="dxa" w:w="2608"/>
            <w:shd w:fill="1F4E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具体变量</w:t>
            </w:r>
          </w:p>
        </w:tc>
        <w:tc>
          <w:tcPr>
            <w:tcW w:type="dxa" w:w="1701"/>
            <w:shd w:fill="1F4E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模型地位</w:t>
            </w:r>
          </w:p>
        </w:tc>
        <w:tc>
          <w:tcPr>
            <w:tcW w:type="dxa" w:w="2721"/>
            <w:shd w:fill="1F4E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建议作用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t>病原学负荷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Xpert / Ultra半定量或Ct值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核心变量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反映基线菌量，进入主模型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t>病原学负荷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AFB涂片分级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核心变量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与分子结果共同定义低/中/高菌量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t>病原学负荷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培养阳性/阴性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辅助变量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提高病原学判定完整性，权重低于Xpert/AFB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t>影像范围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单叶 vs 多叶 / 双侧受累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门槛变量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决定是否属于局限型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t>影像破坏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有无空洞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门槛变量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一旦有空洞，通常不再定义为最低风险层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t>影像严重度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Ralph score / PLI / 受累范围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核心变量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细化成人DS-TB的影像严重程度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t>特殊表型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粟粒TB、TBM、骨关节TB等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排除变量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不宜进入低风险/短程路径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t>宿主复杂性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重度免疫抑制、显著脆弱状态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升级变量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即使肺部不重，也不宜轻判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t>既往治疗史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近2年内既往TB治疗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升级变量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提示并非单纯新发低风险DS-TB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t>早期反应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2个月或Week 8细菌学变化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动态修正变量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用于治疗中校正，不主导基线轻症定义</w:t>
            </w:r>
          </w:p>
        </w:tc>
      </w:tr>
    </w:tbl>
    <w:p/>
    <w:p>
      <w:pPr>
        <w:pStyle w:val="Heading1"/>
      </w:pPr>
      <w:r>
        <w:t>A5 分层输出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7DD"/>
          <w:left w:val="single" w:sz="4" w:space="0" w:color="C8D7DD"/>
          <w:bottom w:val="single" w:sz="4" w:space="0" w:color="C8D7DD"/>
          <w:right w:val="single" w:sz="4" w:space="0" w:color="C8D7DD"/>
          <w:insideH w:val="single" w:sz="4" w:space="0" w:color="C8D7DD"/>
          <w:insideV w:val="single" w:sz="4" w:space="0" w:color="C8D7DD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531"/>
            <w:shd w:fill="1F4E5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层级</w:t>
            </w:r>
          </w:p>
        </w:tc>
        <w:tc>
          <w:tcPr>
            <w:tcW w:type="dxa" w:w="2608"/>
            <w:shd w:fill="1F4E5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中文命名</w:t>
            </w:r>
          </w:p>
        </w:tc>
        <w:tc>
          <w:tcPr>
            <w:tcW w:type="dxa" w:w="4649"/>
            <w:shd w:fill="1F4E5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核心判定要点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5"/>
          </w:tcPr>
          <w:p>
            <w:pPr>
              <w:jc w:val="center"/>
            </w:pPr>
            <w:r>
              <w:t>DS-M1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B"/>
          </w:tcPr>
          <w:p>
            <w:r>
              <w:t>低负荷局限型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低菌量、无空洞、病变局限、无粟粒样表现、无复杂宿主或特殊部位因素。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5"/>
          </w:tcPr>
          <w:p>
            <w:pPr>
              <w:jc w:val="center"/>
            </w:pPr>
            <w:r>
              <w:t>DS-M2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B"/>
          </w:tcPr>
          <w:p>
            <w:r>
              <w:t>中间型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菌量或影像有一项处于边界区，或两者存在轻度不一致。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5"/>
          </w:tcPr>
          <w:p>
            <w:pPr>
              <w:jc w:val="center"/>
            </w:pPr>
            <w:r>
              <w:t>DS-M3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B"/>
          </w:tcPr>
          <w:p>
            <w:r>
              <w:t>广泛/空洞型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存在明确空洞、双侧病变、广泛实质损伤或研究者判定为广泛肺结核。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5"/>
          </w:tcPr>
          <w:p>
            <w:pPr>
              <w:jc w:val="center"/>
            </w:pPr>
            <w:r>
              <w:t>DS-C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B"/>
          </w:tcPr>
          <w:p>
            <w:r>
              <w:t>复杂型DS-TB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严重肺外TB、重度免疫抑制、近期反复治疗且表型复杂，或研究者认为需个体化强化管理。</w:t>
            </w:r>
          </w:p>
        </w:tc>
      </w:tr>
    </w:tbl>
    <w:p/>
    <w:p>
      <w:pPr>
        <w:pStyle w:val="Heading1"/>
      </w:pPr>
      <w:r>
        <w:t>A6 具体判定规则</w:t>
      </w:r>
    </w:p>
    <w:p>
      <w:pPr>
        <w:pStyle w:val="Heading2"/>
      </w:pPr>
      <w:r>
        <w:t>A6.1 DS-M1（低负荷局限型）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病原学：分子检测提示低分子负荷，且/或AFB阴性或极低度阳性；如有培养结果，不提示高负荷。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影像：无空洞；病变局限于单叶或总体范围有限；无双侧广泛受累；无粟粒样改变。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复杂性：无严重肺外结核、无重度免疫抑制、无显著复杂病程。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操作原则：DS-M1必须由“低菌量证据 + 非空洞局限影像”共同支持；仅有单一低菌量证据，不足以定义为DS-M1。</w:t>
      </w:r>
    </w:p>
    <w:p>
      <w:pPr>
        <w:pStyle w:val="Heading2"/>
      </w:pPr>
      <w:r>
        <w:t>A6.2 DS-M2（中间型）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病原学为中等负荷，但影像局限；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病原学低，但影像略超局限标准；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无空洞，但存在多叶受累；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病原学与影像存在边界性不一致；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关键变量不完全缺失，但尚不足以进入DS-M1。</w:t>
      </w:r>
    </w:p>
    <w:p>
      <w:pPr>
        <w:pStyle w:val="Heading2"/>
      </w:pPr>
      <w:r>
        <w:t>A6.3 DS-M3（广泛/空洞型）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存在明确空洞；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双侧病变；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明显广泛实质损伤；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研究者依据胸片/CT判定为广泛肺病变。</w:t>
      </w:r>
    </w:p>
    <w:p>
      <w:pPr>
        <w:pStyle w:val="Heading2"/>
      </w:pPr>
      <w:r>
        <w:t>A6.4 DS-C（复杂型DS-TB）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TBM、播散性结核、骨关节TB、腹部TB等严重肺外结核；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重度免疫抑制；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近2年内反复治疗且当前表型复杂；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研究者认为需个体化强化管理者。</w:t>
      </w:r>
    </w:p>
    <w:p>
      <w:pPr>
        <w:pStyle w:val="Heading1"/>
      </w:pPr>
      <w:r>
        <w:t>A7 缺失与冲突处理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关键病原学变量缺失时，不应直接判为DS-M1；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关键影像变量缺失时，不应直接判为DS-M1；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仅有单一低负荷证据而无影像支持时，可暂列DS-M2或待判；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病原学低但影像提示空洞/双侧/广泛者，按较高层级处理；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病原学较高但影像局限者，优先归入DS-M2而非DS-M1；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特殊部位或严重宿主复杂性一旦成立，可直接升级为DS-C。</w:t>
      </w:r>
    </w:p>
    <w:p>
      <w:pPr>
        <w:pStyle w:val="Heading1"/>
      </w:pPr>
      <w:r>
        <w:t>A8 治疗开始后的动态校正</w:t>
      </w:r>
    </w:p>
    <w:p>
      <w:pPr/>
      <w:r>
        <w:rPr>
          <w:rFonts w:ascii="Noto Sans CJK SC" w:hAnsi="Noto Sans CJK SC" w:eastAsia="Noto Sans CJK SC"/>
        </w:rPr>
        <w:t>DS-TB的基线分层不以早期反应为主导，但治疗开始后仍建议记录第8周或第2个月的症状改善、AFB转阴、培养转阴及必要时Xpert/Ultra变化。</w:t>
      </w:r>
    </w:p>
    <w:p>
      <w:pPr/>
      <w:r>
        <w:rPr>
          <w:rFonts w:ascii="Noto Sans CJK SC" w:hAnsi="Noto Sans CJK SC" w:eastAsia="Noto Sans CJK SC"/>
        </w:rPr>
        <w:t>在DS-TB中，</w:t>
      </w:r>
      <w:r>
        <w:rPr>
          <w:rFonts w:ascii="Noto Sans CJK SC" w:hAnsi="Noto Sans CJK SC" w:eastAsia="Noto Sans CJK SC"/>
          <w:b/>
        </w:rPr>
        <w:t>早期细菌学变化更适合用于动态校正和疗效监测，而不宜反过来定义基线轻症。</w:t>
      </w:r>
      <w:r>
        <w:rPr>
          <w:rFonts w:ascii="Noto Sans CJK SC" w:hAnsi="Noto Sans CJK SC" w:eastAsia="Noto Sans CJK SC"/>
        </w:rPr>
      </w:r>
    </w:p>
    <w:p>
      <w:pPr>
        <w:pStyle w:val="Heading1"/>
      </w:pPr>
      <w:r>
        <w:t>A9 EDC实现建议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原始字段：Xpert/Ultra平台与原始结果、Ct值或半定量等级、AFB原始分级、培养结果、胸片日期与原始判读、空洞有无及最大空洞径、单叶/多叶/双侧受累、粟粒样表现、特殊部位与宿主复杂性。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派生字段：病原学负荷层级、影像层级、复杂性层级、DS-M1/DS-M2/DS-M3/DS-C分类、缺失/冲突标记、是否适合低风险路径标记。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所有关键分层字段应在随机化或队列分配前锁定，并保留审计追踪。</w:t>
      </w:r>
    </w:p>
    <w:p>
      <w:pPr>
        <w:pStyle w:val="Heading1"/>
      </w:pPr>
      <w:r>
        <w:t>A10 质量控制建议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实验室QC：平台特异解释必须统一，Xpert与Ultra不得直接共用Ct阈值，AFB原始结果必须保留。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影像QC：空洞判定、单叶/多叶及单侧/双侧判定需标准化；必要时实行双阅片与仲裁。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运行监测：建议在前50例、100例、200例完成基线分层后，监测DS-M1比例是否过低或过高；若比例异常，优先检查影像判读和关键信息采集流程，而非贸然放宽最低风险层标准。</w:t>
      </w:r>
    </w:p>
    <w:p>
      <w:pPr>
        <w:pStyle w:val="Heading1"/>
      </w:pPr>
      <w:r>
        <w:t>A11 本附录的总领句</w:t>
      </w:r>
    </w:p>
    <w:p>
      <w:pPr>
        <w:spacing w:before="80" w:after="80"/>
        <w:ind w:left="283" w:right="227"/>
      </w:pPr>
      <w:r>
        <w:rPr>
          <w:rFonts w:ascii="Noto Sans CJK SC" w:hAnsi="Noto Sans CJK SC" w:eastAsia="Noto Sans CJK SC"/>
          <w:b/>
        </w:rPr>
        <w:t>DS-TB分层的核心任务，是识别“低菌量、局限病变、非复杂表型”的非重症患者，而不是仅凭单一病原学指标定义轻症。</w:t>
      </w:r>
    </w:p>
    <w:sectPr w:rsidR="00FC693F" w:rsidRPr="0006063C" w:rsidSect="00034616">
      <w:footerReference w:type="default" r:id="rId9"/>
      <w:pgSz w:w="12240" w:h="15840"/>
      <w:pgMar w:top="1247" w:right="1247" w:bottom="1191" w:left="1361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>
      <w:r>
        <w:t/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Noto Sans CJK SC" w:hAnsi="Noto Sans CJK SC" w:eastAsia="Noto Sans CJK SC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4576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basedOn w:val="Normal"/>
    <w:pPr>
      <w:spacing w:line="288" w:lineRule="auto" w:after="80"/>
    </w:pPr>
    <w:rPr>
      <w:rFonts w:ascii="Noto Sans CJK SC" w:hAnsi="Noto Sans CJK SC" w:eastAsia="Noto Sans CJK SC"/>
      <w:color w:val="5A6A72"/>
      <w:sz w:val="18"/>
    </w:rPr>
  </w:style>
  <w:style w:type="paragraph" w:customStyle="1" w:styleId="BoxTitle">
    <w:name w:val="Box Title"/>
    <w:basedOn w:val="Normal"/>
    <w:pPr>
      <w:spacing w:after="60"/>
    </w:pPr>
    <w:rPr>
      <w:rFonts w:ascii="Noto Sans CJK SC" w:hAnsi="Noto Sans CJK SC" w:eastAsia="Noto Sans CJK SC"/>
      <w:b/>
      <w:color w:val="1F4E5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