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86E"/>
          <w:sz w:val="26"/>
        </w:rPr>
        <w:t>TDSC 方法学工具文件</w:t>
      </w:r>
    </w:p>
    <w:p>
      <w:pPr>
        <w:spacing w:before="520" w:after="200"/>
        <w:jc w:val="center"/>
      </w:pPr>
      <w:r>
        <w:rPr>
          <w:b/>
          <w:color w:val="21486E"/>
          <w:sz w:val="44"/>
        </w:rPr>
        <w:t>TB-DM人群结核病患者分层适配版</w:t>
      </w:r>
    </w:p>
    <w:p>
      <w:pPr>
        <w:spacing w:after="360"/>
        <w:jc w:val="center"/>
      </w:pPr>
      <w:r>
        <w:rPr>
          <w:i/>
          <w:color w:val="505050"/>
          <w:sz w:val="22"/>
        </w:rPr>
        <w:t>TB-DM Adaptation Module for General TB Stratification Toolkit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V1.0（整合修订稿）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2026-04-08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文件定位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定位：在通用型结核病患者分层工具基础上，为TB-DM高负荷、高影像严重度人群提供场景适配规则。</w:t>
            </w:r>
          </w:p>
        </w:tc>
      </w:tr>
    </w:tbl>
    <w:p>
      <w:pPr>
        <w:pStyle w:val="BoxText"/>
        <w:spacing w:before="360"/>
      </w:pPr>
      <w:r>
        <w:rPr>
          <w:b/>
          <w:color w:val="21486E"/>
        </w:rPr>
        <w:t>文件说明：</w:t>
      </w:r>
      <w:r>
        <w:t>定位：在通用型结核病患者分层工具基础上，为TB-DM高负荷、高影像严重度人群提供场景适配规则。</w:t>
      </w:r>
    </w:p>
    <w:p>
      <w:pPr>
        <w:pStyle w:val="SmallGray"/>
        <w:spacing w:before="2400"/>
        <w:jc w:val="center"/>
      </w:pPr>
      <w:r>
        <w:t>本文件为经抽提、润色与完善后的正式工作稿。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5"/>
          <w:left w:val="single" w:sz="8" w:space="0" w:color="C9D7E5"/>
          <w:bottom w:val="single" w:sz="8" w:space="0" w:color="C9D7E5"/>
          <w:right w:val="single" w:sz="8" w:space="0" w:color="C9D7E5"/>
          <w:insideH w:val="single" w:sz="8" w:space="0" w:color="C9D7E5"/>
          <w:insideV w:val="single" w:sz="8" w:space="0" w:color="C9D7E5"/>
        </w:tblBorders>
      </w:tblPr>
      <w:tblGrid>
        <w:gridCol w:w="9354"/>
      </w:tblGrid>
      <w:tr>
        <w:tc>
          <w:tcPr>
            <w:tcW w:type="dxa" w:w="9632"/>
            <w:shd w:fill="EE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BoxText"/>
            </w:pPr>
            <w:r>
              <w:rPr>
                <w:color w:val="2D2D2D"/>
              </w:rPr>
              <w:t>本文件不是重新定义TB-DM人群的疾病严重度，而是在不改变通用框架核心概念的前提下，为TB-DM研究提供可执行的运行层适配方案。其关键目标是提升高负荷人群中的分层分辨率，避免所有病例简单塌陷到高风险层。</w:t>
            </w:r>
          </w:p>
        </w:tc>
      </w:tr>
    </w:tbl>
    <w:p>
      <w:pPr>
        <w:pStyle w:val="Heading1"/>
      </w:pPr>
      <w:r>
        <w:t>1 目的</w:t>
      </w:r>
    </w:p>
    <w:p>
      <w:pPr/>
      <w:r>
        <w:t>将通用型结核病患者分层框架适配至结核病合并糖尿病（TB-DM）人群，用于短程治疗研究、队列分层、随机化实施和EDC派生变量管理。</w:t>
      </w:r>
    </w:p>
    <w:p>
      <w:pPr/>
      <w:r>
        <w:t>在保持安全性的前提下，提高TB-DM人群中低风险和边界风险对象的识别能力，避免因人群整体偏重导致分层失去区分度。</w:t>
      </w:r>
    </w:p>
    <w:p>
      <w:pPr>
        <w:pStyle w:val="Heading1"/>
      </w:pPr>
      <w:r>
        <w:t>2 适用范围</w:t>
      </w:r>
    </w:p>
    <w:p>
      <w:pPr/>
      <w:r>
        <w:t>适用于以肺结核合并糖尿病为主的临床试验、前瞻性队列和真实世界研究。</w:t>
      </w:r>
    </w:p>
    <w:p>
      <w:pPr/>
      <w:r>
        <w:t>对具有糖代谢异常但尚未完全满足糖尿病定义的对象，可按具体研究方案决定是否纳入本附录适配范围。</w:t>
      </w:r>
    </w:p>
    <w:p>
      <w:pPr>
        <w:pStyle w:val="Heading1"/>
      </w:pPr>
      <w:r>
        <w:t>3 TB-DM人群的分层挑战</w:t>
      </w:r>
    </w:p>
    <w:p>
      <w:pPr/>
      <w:r>
        <w:t>TB-DM人群通常具有更高的病原学负荷、更高比例的空洞和双侧病变，以及更重的影像破坏程度。</w:t>
      </w:r>
    </w:p>
    <w:p>
      <w:pPr/>
      <w:r>
        <w:t>若直接采用普通结核人群的固定低风险阈值，容易造成T3比例过高、T1比例过低，从而降低分层的研究价值和运行效率。</w:t>
      </w:r>
    </w:p>
    <w:p>
      <w:pPr/>
      <w:r>
        <w:t>因此，本附录的重点不是改变疾病本身的定义，而是通过运行层适配提高边界病例处理的稳定性和可招募性。</w:t>
      </w:r>
    </w:p>
    <w:p>
      <w:pPr>
        <w:pStyle w:val="Heading1"/>
      </w:pPr>
      <w:r>
        <w:t>4 适配原则</w:t>
      </w:r>
    </w:p>
    <w:p>
      <w:pPr/>
      <w:r>
        <w:t>4.1 不改变通用框架中的三域结构，不改变B、I、C和T1-T4、Tb的基本定义。</w:t>
      </w:r>
    </w:p>
    <w:p>
      <w:pPr/>
      <w:r>
        <w:t>4.2 允许在TB-DM场景中增加一个运行层概念——T1e（轻症扩展层），但T1e仅用于研究运行和统计敏感性分析，不宜上升为普适疾病分类概念。</w:t>
      </w:r>
    </w:p>
    <w:p>
      <w:pPr/>
      <w:r>
        <w:t>4.3 允许“单边界放宽”策略：在无红旗变量、无明确高严重度证据时，部分边界病例可进入低风险路径，但必须在EDC中单独标记。</w:t>
      </w:r>
    </w:p>
    <w:p>
      <w:pPr>
        <w:pStyle w:val="Heading1"/>
      </w:pPr>
      <w:r>
        <w:t>5 TB-DM适配后的综合输出</w:t>
      </w:r>
    </w:p>
    <w:p>
      <w:pPr/>
      <w:r>
        <w:t>TB-DM适配版保留T1、T2、T3、T4和Tb五类，并增加T1e作为运行层标记。</w:t>
      </w:r>
    </w:p>
    <w:p>
      <w:pPr/>
      <w:r>
        <w:t>其中，T1代表明确低风险；T1e代表总体偏轻但存在单个边界项的扩展低风险层；T2代表中间型；T3代表高严重度；T4代表高复杂性；Tb代表边界/待定型。</w:t>
      </w:r>
    </w:p>
    <w:p>
      <w:pPr>
        <w:pStyle w:val="SmallGray"/>
      </w:pPr>
      <w:r>
        <w:rPr>
          <w:b/>
          <w:color w:val="21486E"/>
        </w:rPr>
        <w:t>表1  TB-DM适配后的综合输出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43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4535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判定要点</w:t>
            </w:r>
          </w:p>
        </w:tc>
        <w:tc>
          <w:tcPr>
            <w:tcW w:type="dxa" w:w="1134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使用提示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T1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明确低风险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三域均偏低，证据完整，无红旗变量。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可进入低风险路径。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T1e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轻症扩展层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总体偏轻，但允许存在1个边界项。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需单独打标并做敏感性分析。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T2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中间型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边界项较多，或无法稳定归入T1/T1e。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建议作为独立中间层管理。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T3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高严重度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B3、I3或存在Red flag。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以严重度主导。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T4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高复杂性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任意C2。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覆盖其他层级，优先按复杂型管理。</w:t>
            </w:r>
          </w:p>
        </w:tc>
      </w:tr>
    </w:tbl>
    <w:p>
      <w:pPr>
        <w:pStyle w:val="Heading1"/>
      </w:pPr>
      <w:r>
        <w:t>6 明确低风险（T1）</w:t>
      </w:r>
    </w:p>
    <w:p>
      <w:pPr/>
      <w:r>
        <w:t>T1通常要求病原学、影像和复杂性三域同时处于较低层级，且证据完整。</w:t>
      </w:r>
    </w:p>
    <w:p>
      <w:pPr/>
      <w:r>
        <w:t>建议满足以下条件：B1且证据完整；I1；C0；无红旗变量；无其他明确中重度证据。</w:t>
      </w:r>
    </w:p>
    <w:p>
      <w:pPr/>
      <w:r>
        <w:t>若仅有单一低负荷病原学证据，原则上不能直接定义为T1。</w:t>
      </w:r>
    </w:p>
    <w:p>
      <w:pPr>
        <w:pStyle w:val="Heading1"/>
      </w:pPr>
      <w:r>
        <w:t>7 轻症扩展层（T1e）</w:t>
      </w:r>
    </w:p>
    <w:p>
      <w:pPr/>
      <w:r>
        <w:t>T1e用于TB-DM人群中特定的边界低风险病例，是本附录最关键的运行层概念。</w:t>
      </w:r>
    </w:p>
    <w:p>
      <w:pPr/>
      <w:r>
        <w:t>T1e的设置逻辑是：总体仍偏轻，但允许存在1个边界偏高项；该类对象可进入低风险路径，同时必须接受独立打标和敏感性分析。</w:t>
      </w:r>
    </w:p>
    <w:p>
      <w:pPr/>
      <w:r>
        <w:t>推荐情形包括：B2 + I1；B1 + I2；B1 + S2；仅有单一低负荷病原学证据且影像为I1；B1 + I1 + C1但复杂性尚未达到高复杂性。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概念属性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T1e是运行层概念，不是普适疾病分类概念。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适用前提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无Red flag、无明确B3或I3证据、无高复杂性。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主要用途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提高TB-DM高负荷人群中的分层分辨率与可招募性。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统计要求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必须独立打标，进入敏感性分析。</w:t>
            </w:r>
          </w:p>
        </w:tc>
      </w:tr>
    </w:tbl>
    <w:p>
      <w:pPr>
        <w:pStyle w:val="Heading1"/>
      </w:pPr>
      <w:r>
        <w:t>8 中间型（T2）</w:t>
      </w:r>
    </w:p>
    <w:p>
      <w:pPr/>
      <w:r>
        <w:t>T2用于不满足T1、又不宜进入T1e的中间表型对象。</w:t>
      </w:r>
    </w:p>
    <w:p>
      <w:pPr/>
      <w:r>
        <w:t>推荐归入T2的情形包括：同时存在两个及以上边界项，或虽总体不重但不确定因素较多，难以稳定归入低风险路径者。</w:t>
      </w:r>
    </w:p>
    <w:p>
      <w:pPr>
        <w:pStyle w:val="Heading1"/>
      </w:pPr>
      <w:r>
        <w:t>9 高严重度（T3）与高复杂性（T4）</w:t>
      </w:r>
    </w:p>
    <w:p>
      <w:pPr/>
      <w:r>
        <w:t>T3的判定重点在严重度：B3、I3或存在Red flag者，原则上可直接进入T3。</w:t>
      </w:r>
    </w:p>
    <w:p>
      <w:pPr/>
      <w:r>
        <w:t>T4的判定重点在复杂性：任意C2者应优先进入T4，不再拘泥于其病原学或影像是否偏轻。</w:t>
      </w:r>
    </w:p>
    <w:p>
      <w:pPr/>
      <w:r>
        <w:t>在TB-DM研究中，T4通常用于合并DR-TB、严重免疫抑制、特殊部位疾病或明显复杂管理需求的病例。</w:t>
      </w:r>
    </w:p>
    <w:p>
      <w:pPr>
        <w:pStyle w:val="Heading1"/>
      </w:pPr>
      <w:r>
        <w:t>10 HbA1c与糖代谢变量的角色</w:t>
      </w:r>
    </w:p>
    <w:p>
      <w:pPr/>
      <w:r>
        <w:t>HbA1c不参与T1-T4定义，也不应作为严重度本身的一部分。</w:t>
      </w:r>
    </w:p>
    <w:p>
      <w:pPr/>
      <w:r>
        <w:t>HbA1c更适合作为随机化分层因素、亚组分析变量或疗效异质性探索变量。</w:t>
      </w:r>
    </w:p>
    <w:p>
      <w:pPr/>
      <w:r>
        <w:t>这种处理可避免把代谢控制状态误解释为肺结核疾病严重度。</w:t>
      </w:r>
    </w:p>
    <w:p>
      <w:pPr>
        <w:pStyle w:val="Heading1"/>
      </w:pPr>
      <w:r>
        <w:t>11 Week 8早期反应模块</w:t>
      </w:r>
    </w:p>
    <w:p>
      <w:pPr/>
      <w:r>
        <w:t>TB-DM人群可保留Week 8早期反应评估，用于风险提示、病例讨论和预设亚组分析。</w:t>
      </w:r>
    </w:p>
    <w:p>
      <w:pPr/>
      <w:r>
        <w:t>PCD（症状持续且涂片仍阳性）和PPTR（研究者怀疑疗效欠佳并考虑调整治疗）可继续作为关键触发信号。</w:t>
      </w:r>
    </w:p>
    <w:p>
      <w:pPr/>
      <w:r>
        <w:t>但Week 8信号仍应被视为管理层面的预警信息，不直接改变基线分层类别，也不直接取代预先规定的随机资格判定标准。</w:t>
      </w:r>
    </w:p>
    <w:p>
      <w:pPr>
        <w:pStyle w:val="Heading1"/>
      </w:pPr>
      <w:r>
        <w:t>12 EDC实现与关键留痕</w:t>
      </w:r>
    </w:p>
    <w:p>
      <w:pPr/>
      <w:r>
        <w:t>除通用版要求外，TB-DM适配版应额外保留T1e标记、边界项类型、映射原因以及敏感性分析所需的运行标签。</w:t>
      </w:r>
    </w:p>
    <w:p>
      <w:pPr/>
      <w:r>
        <w:t>所有轻症扩展层病例都应可以在EDC中被回溯识别，避免在统计分析时混入普通T1对象。</w:t>
      </w:r>
    </w:p>
    <w:p>
      <w:pPr>
        <w:pStyle w:val="Heading1"/>
      </w:pPr>
      <w:r>
        <w:t>13 质量控制与运行监测</w:t>
      </w:r>
    </w:p>
    <w:p>
      <w:pPr/>
      <w:r>
        <w:t>TB-DM研究应特别监测T1与T1e合并后的比例，评估分层体系是否过严或过宽。</w:t>
      </w:r>
    </w:p>
    <w:p>
      <w:pPr/>
      <w:r>
        <w:t>若低风险路径比例长期过低，应回顾是否存在系统性过度上调；若比例过高，则应警惕安全性和误分层风险。</w:t>
      </w:r>
    </w:p>
    <w:p>
      <w:pPr/>
      <w:r>
        <w:t>实验室冲突、空洞判读不一致、T1e病例集中于某些中心等情形，均应纳入重点质控。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5"/>
          <w:left w:val="single" w:sz="8" w:space="0" w:color="C9D7E5"/>
          <w:bottom w:val="single" w:sz="8" w:space="0" w:color="C9D7E5"/>
          <w:right w:val="single" w:sz="8" w:space="0" w:color="C9D7E5"/>
          <w:insideH w:val="single" w:sz="8" w:space="0" w:color="C9D7E5"/>
          <w:insideV w:val="single" w:sz="8" w:space="0" w:color="C9D7E5"/>
        </w:tblBorders>
      </w:tblPr>
      <w:tblGrid>
        <w:gridCol w:w="9354"/>
      </w:tblGrid>
      <w:tr>
        <w:tc>
          <w:tcPr>
            <w:tcW w:type="dxa" w:w="9632"/>
            <w:shd w:fill="EE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BoxText"/>
            </w:pPr>
            <w:r>
              <w:rPr>
                <w:color w:val="2D2D2D"/>
              </w:rPr>
              <w:t>建议将“T1 + T1e”的合并比例作为运行期监测指标之一，用于观察分层规则是否在TB-DM高负荷人群中发生系统性偏斜；但不宜根据结局数据对阈值进行事后追逐式调整。</w:t>
            </w:r>
          </w:p>
        </w:tc>
      </w:tr>
    </w:tbl>
    <w:p>
      <w:pPr>
        <w:pStyle w:val="Heading1"/>
      </w:pPr>
      <w:r>
        <w:t>14 文件定位</w:t>
      </w:r>
    </w:p>
    <w:p>
      <w:pPr/>
      <w:r>
        <w:t>本文件是通用型结核病患者分层工具的TB-DM适配附录，不宜脱离总纲单独理解。</w:t>
      </w:r>
    </w:p>
    <w:p>
      <w:pPr/>
      <w:r>
        <w:t>其核心贡献在于：将“轻症扩展层”明确定位为研究运行概念，而不是TB-DM人群的普适疾病分类概念。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center"/>
    </w:pPr>
    <w:r>
      <w:t xml:space="preserve">TDSC 方法学工具文件  |  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80" w:line="288" w:lineRule="auto"/>
    </w:pPr>
    <w:rPr>
      <w:rFonts w:ascii="Arial" w:hAnsi="Arial" w:eastAsia="微软雅黑"/>
      <w:color w:val="5A5A5A"/>
      <w:sz w:val="18"/>
    </w:rPr>
  </w:style>
  <w:style w:type="paragraph" w:customStyle="1" w:styleId="BoxText">
    <w:name w:val="Box Text"/>
    <w:pPr>
      <w:spacing w:after="80" w:line="300" w:lineRule="auto"/>
    </w:pPr>
    <w:rPr>
      <w:rFonts w:ascii="Arial" w:hAnsi="Arial" w:eastAsia="微软雅黑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