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C7414">
      <w:pPr>
        <w:spacing w:line="360" w:lineRule="auto"/>
        <w:jc w:val="center"/>
        <w:outlineLvl w:val="0"/>
        <w:rPr>
          <w:rFonts w:hint="default" w:ascii="Times New Roman" w:hAnsi="Times New Roman" w:eastAsia="宋体" w:cs="Times New Roman"/>
          <w:b/>
          <w:bCs/>
          <w:sz w:val="36"/>
          <w:szCs w:val="44"/>
          <w:highlight w:val="none"/>
          <w:lang w:eastAsia="zh-CN"/>
        </w:rPr>
      </w:pPr>
      <w:bookmarkStart w:id="18" w:name="_GoBack"/>
      <w:bookmarkEnd w:id="18"/>
    </w:p>
    <w:p w14:paraId="066EC98D">
      <w:pPr>
        <w:spacing w:line="360" w:lineRule="auto"/>
        <w:jc w:val="center"/>
        <w:outlineLvl w:val="0"/>
        <w:rPr>
          <w:rFonts w:hint="default" w:ascii="Times New Roman" w:hAnsi="Times New Roman" w:eastAsia="宋体" w:cs="Times New Roman"/>
          <w:sz w:val="36"/>
          <w:szCs w:val="44"/>
          <w:highlight w:val="none"/>
          <w:lang w:eastAsia="zh-CN"/>
        </w:rPr>
      </w:pPr>
      <w:r>
        <w:rPr>
          <w:rFonts w:hint="default" w:ascii="Times New Roman" w:hAnsi="Times New Roman" w:eastAsia="宋体" w:cs="Times New Roman"/>
          <w:b/>
          <w:bCs/>
          <w:sz w:val="36"/>
          <w:szCs w:val="44"/>
          <w:highlight w:val="none"/>
          <w:lang w:eastAsia="zh-CN"/>
        </w:rPr>
        <w:t>研究方案</w:t>
      </w:r>
    </w:p>
    <w:p w14:paraId="52B045DC">
      <w:pPr>
        <w:spacing w:line="360" w:lineRule="auto"/>
        <w:jc w:val="center"/>
        <w:rPr>
          <w:rFonts w:hint="default" w:ascii="Times New Roman" w:hAnsi="Times New Roman" w:eastAsia="宋体" w:cs="Times New Roman"/>
          <w:sz w:val="36"/>
          <w:szCs w:val="44"/>
          <w:highlight w:val="none"/>
        </w:rPr>
      </w:pPr>
    </w:p>
    <w:p w14:paraId="3D3FBB8A">
      <w:pPr>
        <w:snapToGrid w:val="0"/>
        <w:spacing w:line="360" w:lineRule="auto"/>
        <w:jc w:val="left"/>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项目名称：</w:t>
      </w:r>
      <w:r>
        <w:rPr>
          <w:rFonts w:hint="eastAsia" w:ascii="Times New Roman" w:hAnsi="Times New Roman" w:cs="Times New Roman"/>
          <w:b/>
          <w:bCs/>
          <w:sz w:val="28"/>
          <w:szCs w:val="36"/>
          <w:highlight w:val="none"/>
          <w:lang w:val="en-US" w:eastAsia="zh-CN"/>
        </w:rPr>
        <w:t>贝达喹啉、德拉马尼、利奈唑胺、莫西沙星联合方案</w:t>
      </w:r>
      <w:r>
        <w:rPr>
          <w:rFonts w:hint="default" w:ascii="Times New Roman" w:hAnsi="Times New Roman" w:eastAsia="宋体" w:cs="Times New Roman"/>
          <w:b/>
          <w:bCs/>
          <w:sz w:val="28"/>
          <w:szCs w:val="36"/>
          <w:highlight w:val="none"/>
          <w:lang w:val="en-US" w:eastAsia="zh-CN"/>
        </w:rPr>
        <w:t>治疗耐多药结核病的</w:t>
      </w:r>
      <w:r>
        <w:rPr>
          <w:rFonts w:hint="eastAsia" w:ascii="Times New Roman" w:hAnsi="Times New Roman" w:cs="Times New Roman"/>
          <w:b/>
          <w:bCs/>
          <w:sz w:val="28"/>
          <w:szCs w:val="36"/>
          <w:highlight w:val="none"/>
          <w:lang w:val="en-US" w:eastAsia="zh-CN"/>
        </w:rPr>
        <w:t>临床研究</w:t>
      </w:r>
    </w:p>
    <w:p w14:paraId="3C3124D8">
      <w:pPr>
        <w:snapToGrid w:val="0"/>
        <w:spacing w:line="360" w:lineRule="auto"/>
        <w:jc w:val="left"/>
        <w:rPr>
          <w:rFonts w:hint="default" w:ascii="Times New Roman" w:hAnsi="Times New Roman" w:eastAsia="宋体" w:cs="Times New Roman"/>
          <w:b/>
          <w:bCs/>
          <w:sz w:val="28"/>
          <w:szCs w:val="36"/>
          <w:highlight w:val="none"/>
          <w:lang w:val="en-US" w:eastAsia="zh-CN"/>
        </w:rPr>
      </w:pPr>
      <w:r>
        <w:rPr>
          <w:rFonts w:hint="default" w:ascii="Times New Roman" w:hAnsi="Times New Roman" w:eastAsia="宋体" w:cs="Times New Roman"/>
          <w:sz w:val="28"/>
          <w:szCs w:val="36"/>
          <w:highlight w:val="none"/>
          <w:lang w:val="en-US" w:eastAsia="zh-CN"/>
        </w:rPr>
        <w:t>英文名称：</w:t>
      </w:r>
      <w:r>
        <w:rPr>
          <w:rFonts w:hint="eastAsia" w:ascii="Times New Roman" w:hAnsi="Times New Roman" w:eastAsia="宋体" w:cs="Times New Roman"/>
          <w:b/>
          <w:bCs/>
          <w:sz w:val="28"/>
          <w:szCs w:val="36"/>
          <w:highlight w:val="none"/>
          <w:lang w:val="en-US" w:eastAsia="zh-CN"/>
        </w:rPr>
        <w:t xml:space="preserve">Bedaquiline, Delamanid and Linezolid with or without Moxifloxacin for Multidrug-resistant Tuberculosis: A Single-arm, Strategy-guided Clinical </w:t>
      </w:r>
      <w:r>
        <w:rPr>
          <w:rFonts w:hint="eastAsia" w:ascii="Times New Roman" w:hAnsi="Times New Roman" w:cs="Times New Roman"/>
          <w:b/>
          <w:bCs/>
          <w:sz w:val="28"/>
          <w:szCs w:val="36"/>
          <w:highlight w:val="none"/>
          <w:lang w:val="en-US" w:eastAsia="zh-CN"/>
        </w:rPr>
        <w:t>Study</w:t>
      </w:r>
      <w:r>
        <w:rPr>
          <w:rFonts w:hint="eastAsia" w:ascii="Times New Roman" w:hAnsi="Times New Roman" w:eastAsia="宋体" w:cs="Times New Roman"/>
          <w:b/>
          <w:bCs/>
          <w:sz w:val="28"/>
          <w:szCs w:val="36"/>
          <w:highlight w:val="none"/>
          <w:lang w:val="en-US" w:eastAsia="zh-CN"/>
        </w:rPr>
        <w:t xml:space="preserve"> [</w:t>
      </w:r>
      <w:r>
        <w:rPr>
          <w:rFonts w:hint="eastAsia" w:ascii="Times New Roman" w:hAnsi="Times New Roman" w:cs="Times New Roman"/>
          <w:b/>
          <w:bCs/>
          <w:color w:val="0000FF"/>
          <w:sz w:val="28"/>
          <w:szCs w:val="36"/>
          <w:highlight w:val="none"/>
          <w:lang w:val="en-US" w:eastAsia="zh-CN"/>
        </w:rPr>
        <w:t>BDL/M study</w:t>
      </w:r>
      <w:r>
        <w:rPr>
          <w:rFonts w:hint="eastAsia" w:ascii="Times New Roman" w:hAnsi="Times New Roman" w:eastAsia="宋体" w:cs="Times New Roman"/>
          <w:b/>
          <w:bCs/>
          <w:sz w:val="28"/>
          <w:szCs w:val="36"/>
          <w:highlight w:val="none"/>
          <w:lang w:val="en-US" w:eastAsia="zh-CN"/>
        </w:rPr>
        <w:t>]</w:t>
      </w:r>
    </w:p>
    <w:p w14:paraId="6EB5F939">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61F71808">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14D00CA7">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24BEA173">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3BEC017A">
      <w:pPr>
        <w:snapToGrid w:val="0"/>
        <w:spacing w:line="360" w:lineRule="auto"/>
        <w:jc w:val="left"/>
        <w:rPr>
          <w:rFonts w:hint="default" w:ascii="Times New Roman" w:hAnsi="Times New Roman" w:eastAsia="宋体" w:cs="Times New Roman"/>
          <w:b/>
          <w:bCs/>
          <w:sz w:val="28"/>
          <w:szCs w:val="36"/>
          <w:highlight w:val="none"/>
          <w:lang w:val="en-US" w:eastAsia="zh-CN"/>
        </w:rPr>
      </w:pPr>
    </w:p>
    <w:p w14:paraId="42950548">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申报科室：</w:t>
      </w:r>
      <w:r>
        <w:rPr>
          <w:rFonts w:hint="default" w:ascii="Times New Roman" w:hAnsi="Times New Roman" w:eastAsia="宋体" w:cs="Times New Roman"/>
          <w:sz w:val="28"/>
          <w:szCs w:val="36"/>
          <w:highlight w:val="none"/>
          <w:lang w:val="en-US" w:eastAsia="zh-CN"/>
        </w:rPr>
        <w:t>肺</w:t>
      </w:r>
      <w:r>
        <w:rPr>
          <w:rFonts w:hint="eastAsia" w:ascii="Times New Roman" w:hAnsi="Times New Roman" w:cs="Times New Roman"/>
          <w:sz w:val="28"/>
          <w:szCs w:val="36"/>
          <w:highlight w:val="none"/>
          <w:lang w:val="en-US" w:eastAsia="zh-CN"/>
        </w:rPr>
        <w:t>病</w:t>
      </w:r>
      <w:r>
        <w:rPr>
          <w:rFonts w:hint="default" w:ascii="Times New Roman" w:hAnsi="Times New Roman" w:eastAsia="宋体" w:cs="Times New Roman"/>
          <w:sz w:val="28"/>
          <w:szCs w:val="36"/>
          <w:highlight w:val="none"/>
          <w:lang w:val="en-US" w:eastAsia="zh-CN"/>
        </w:rPr>
        <w:t>二科</w:t>
      </w:r>
    </w:p>
    <w:p w14:paraId="64916D85">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项目负责人：</w:t>
      </w:r>
      <w:r>
        <w:rPr>
          <w:rFonts w:hint="eastAsia" w:ascii="Times New Roman" w:hAnsi="Times New Roman" w:cs="Times New Roman"/>
          <w:sz w:val="28"/>
          <w:szCs w:val="36"/>
          <w:highlight w:val="none"/>
          <w:lang w:val="en-US" w:eastAsia="zh-CN"/>
        </w:rPr>
        <w:t>付亮</w:t>
      </w:r>
    </w:p>
    <w:p w14:paraId="02460291">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承担单位：</w:t>
      </w:r>
      <w:r>
        <w:rPr>
          <w:rFonts w:hint="default" w:ascii="Times New Roman" w:hAnsi="Times New Roman" w:eastAsia="宋体" w:cs="Times New Roman"/>
          <w:sz w:val="28"/>
          <w:szCs w:val="36"/>
          <w:highlight w:val="none"/>
          <w:lang w:val="en-US" w:eastAsia="zh-CN"/>
        </w:rPr>
        <w:t>深圳市第三人民医院</w:t>
      </w:r>
    </w:p>
    <w:p w14:paraId="3CEBC7D2">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联系电话：</w:t>
      </w:r>
      <w:r>
        <w:rPr>
          <w:rFonts w:hint="default" w:ascii="Times New Roman" w:hAnsi="Times New Roman" w:eastAsia="宋体" w:cs="Times New Roman"/>
          <w:sz w:val="28"/>
          <w:szCs w:val="36"/>
          <w:highlight w:val="none"/>
          <w:lang w:val="en-US" w:eastAsia="zh-CN"/>
        </w:rPr>
        <w:t>1</w:t>
      </w:r>
      <w:r>
        <w:rPr>
          <w:rFonts w:hint="eastAsia" w:ascii="Times New Roman" w:hAnsi="Times New Roman" w:cs="Times New Roman"/>
          <w:sz w:val="28"/>
          <w:szCs w:val="36"/>
          <w:highlight w:val="none"/>
          <w:lang w:val="en-US" w:eastAsia="zh-CN"/>
        </w:rPr>
        <w:t>5989869571</w:t>
      </w:r>
    </w:p>
    <w:p w14:paraId="24663EC0">
      <w:pPr>
        <w:snapToGrid w:val="0"/>
        <w:spacing w:line="360" w:lineRule="auto"/>
        <w:jc w:val="left"/>
        <w:outlineLvl w:val="9"/>
        <w:rPr>
          <w:rFonts w:hint="default" w:ascii="Times New Roman" w:hAnsi="Times New Roman" w:eastAsia="宋体" w:cs="Times New Roman"/>
          <w:sz w:val="28"/>
          <w:szCs w:val="36"/>
          <w:highlight w:val="none"/>
          <w:lang w:val="en-US" w:eastAsia="zh-CN"/>
        </w:rPr>
      </w:pPr>
      <w:r>
        <w:rPr>
          <w:rFonts w:hint="default" w:ascii="Times New Roman" w:hAnsi="Times New Roman" w:eastAsia="宋体" w:cs="Times New Roman"/>
          <w:sz w:val="28"/>
          <w:szCs w:val="36"/>
          <w:highlight w:val="none"/>
        </w:rPr>
        <w:t>填表日期：</w:t>
      </w:r>
      <w:r>
        <w:rPr>
          <w:rFonts w:hint="default" w:ascii="Times New Roman" w:hAnsi="Times New Roman" w:eastAsia="宋体" w:cs="Times New Roman"/>
          <w:sz w:val="28"/>
          <w:szCs w:val="36"/>
          <w:highlight w:val="none"/>
          <w:lang w:val="en-US" w:eastAsia="zh-CN"/>
        </w:rPr>
        <w:t>202</w:t>
      </w:r>
      <w:r>
        <w:rPr>
          <w:rFonts w:hint="eastAsia" w:ascii="Times New Roman" w:hAnsi="Times New Roman" w:cs="Times New Roman"/>
          <w:sz w:val="28"/>
          <w:szCs w:val="36"/>
          <w:highlight w:val="none"/>
          <w:lang w:val="en-US" w:eastAsia="zh-CN"/>
        </w:rPr>
        <w:t>4</w:t>
      </w:r>
      <w:r>
        <w:rPr>
          <w:rFonts w:hint="default" w:ascii="Times New Roman" w:hAnsi="Times New Roman" w:eastAsia="宋体" w:cs="Times New Roman"/>
          <w:sz w:val="28"/>
          <w:szCs w:val="36"/>
          <w:highlight w:val="none"/>
          <w:lang w:val="en-US" w:eastAsia="zh-CN"/>
        </w:rPr>
        <w:t>年</w:t>
      </w:r>
      <w:r>
        <w:rPr>
          <w:rFonts w:hint="eastAsia" w:ascii="Times New Roman" w:hAnsi="Times New Roman" w:cs="Times New Roman"/>
          <w:sz w:val="28"/>
          <w:szCs w:val="36"/>
          <w:highlight w:val="none"/>
          <w:lang w:val="en-US" w:eastAsia="zh-CN"/>
        </w:rPr>
        <w:t>11</w:t>
      </w:r>
      <w:r>
        <w:rPr>
          <w:rFonts w:hint="default" w:ascii="Times New Roman" w:hAnsi="Times New Roman" w:eastAsia="宋体" w:cs="Times New Roman"/>
          <w:sz w:val="28"/>
          <w:szCs w:val="36"/>
          <w:highlight w:val="none"/>
          <w:lang w:val="en-US" w:eastAsia="zh-CN"/>
        </w:rPr>
        <w:t>月</w:t>
      </w:r>
      <w:r>
        <w:rPr>
          <w:rFonts w:hint="eastAsia" w:ascii="Times New Roman" w:hAnsi="Times New Roman" w:cs="Times New Roman"/>
          <w:sz w:val="28"/>
          <w:szCs w:val="36"/>
          <w:highlight w:val="none"/>
          <w:lang w:val="en-US" w:eastAsia="zh-CN"/>
        </w:rPr>
        <w:t>29</w:t>
      </w:r>
      <w:r>
        <w:rPr>
          <w:rFonts w:hint="default" w:ascii="Times New Roman" w:hAnsi="Times New Roman" w:eastAsia="宋体" w:cs="Times New Roman"/>
          <w:sz w:val="28"/>
          <w:szCs w:val="36"/>
          <w:highlight w:val="none"/>
          <w:lang w:val="en-US" w:eastAsia="zh-CN"/>
        </w:rPr>
        <w:t>日</w:t>
      </w:r>
    </w:p>
    <w:p w14:paraId="3A454C32">
      <w:pPr>
        <w:spacing w:line="360" w:lineRule="auto"/>
        <w:jc w:val="left"/>
        <w:rPr>
          <w:rFonts w:hint="default" w:ascii="Times New Roman" w:hAnsi="Times New Roman" w:eastAsia="宋体" w:cs="Times New Roman"/>
          <w:sz w:val="28"/>
          <w:szCs w:val="36"/>
          <w:highlight w:val="none"/>
        </w:rPr>
      </w:pPr>
    </w:p>
    <w:p w14:paraId="59943391">
      <w:pPr>
        <w:spacing w:line="360" w:lineRule="auto"/>
        <w:jc w:val="left"/>
        <w:rPr>
          <w:rFonts w:hint="default" w:ascii="Times New Roman" w:hAnsi="Times New Roman" w:eastAsia="宋体" w:cs="Times New Roman"/>
          <w:sz w:val="28"/>
          <w:szCs w:val="36"/>
          <w:highlight w:val="none"/>
        </w:rPr>
      </w:pPr>
    </w:p>
    <w:p w14:paraId="4F0A6900">
      <w:pPr>
        <w:spacing w:line="360" w:lineRule="auto"/>
        <w:jc w:val="left"/>
        <w:rPr>
          <w:rFonts w:hint="default" w:ascii="Times New Roman" w:hAnsi="Times New Roman" w:eastAsia="宋体" w:cs="Times New Roman"/>
          <w:sz w:val="28"/>
          <w:szCs w:val="36"/>
          <w:highlight w:val="none"/>
        </w:rPr>
      </w:pPr>
    </w:p>
    <w:p w14:paraId="3A13DFC6">
      <w:pPr>
        <w:spacing w:line="360" w:lineRule="auto"/>
        <w:jc w:val="left"/>
        <w:rPr>
          <w:rFonts w:hint="default" w:ascii="Times New Roman" w:hAnsi="Times New Roman" w:eastAsia="宋体" w:cs="Times New Roman"/>
          <w:sz w:val="28"/>
          <w:szCs w:val="36"/>
          <w:highlight w:val="none"/>
        </w:rPr>
      </w:pPr>
    </w:p>
    <w:p w14:paraId="3F35F5B9">
      <w:pPr>
        <w:spacing w:line="360" w:lineRule="auto"/>
        <w:jc w:val="left"/>
        <w:rPr>
          <w:rFonts w:hint="default" w:ascii="Times New Roman" w:hAnsi="Times New Roman" w:eastAsia="宋体" w:cs="Times New Roman"/>
          <w:sz w:val="28"/>
          <w:szCs w:val="36"/>
          <w:highlight w:val="none"/>
        </w:rPr>
      </w:pPr>
    </w:p>
    <w:p w14:paraId="2AB7416F">
      <w:pPr>
        <w:spacing w:line="360" w:lineRule="auto"/>
        <w:jc w:val="left"/>
        <w:rPr>
          <w:rFonts w:hint="default" w:ascii="Times New Roman" w:hAnsi="Times New Roman" w:eastAsia="宋体" w:cs="Times New Roman"/>
          <w:sz w:val="28"/>
          <w:szCs w:val="36"/>
          <w:highlight w:val="none"/>
        </w:rPr>
      </w:pPr>
    </w:p>
    <w:p w14:paraId="6FF81E1F">
      <w:pPr>
        <w:spacing w:line="360" w:lineRule="auto"/>
        <w:jc w:val="both"/>
        <w:outlineLvl w:val="0"/>
        <w:rPr>
          <w:rFonts w:hint="default" w:ascii="Times New Roman" w:hAnsi="Times New Roman" w:eastAsia="宋体" w:cs="Times New Roman"/>
          <w:b/>
          <w:bCs/>
          <w:sz w:val="24"/>
          <w:highlight w:val="none"/>
        </w:rPr>
      </w:pPr>
    </w:p>
    <w:tbl>
      <w:tblPr>
        <w:tblStyle w:val="9"/>
        <w:tblW w:w="8419"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78"/>
        <w:gridCol w:w="1093"/>
        <w:gridCol w:w="1952"/>
        <w:gridCol w:w="1292"/>
        <w:gridCol w:w="2704"/>
      </w:tblGrid>
      <w:tr w14:paraId="2B3587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1" w:hRule="exact"/>
        </w:trPr>
        <w:tc>
          <w:tcPr>
            <w:tcW w:w="8419" w:type="dxa"/>
            <w:gridSpan w:val="5"/>
            <w:tcBorders>
              <w:right w:val="single" w:color="000000" w:sz="4" w:space="0"/>
            </w:tcBorders>
            <w:vAlign w:val="center"/>
          </w:tcPr>
          <w:p w14:paraId="71834A34">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b/>
                <w:bCs/>
                <w:color w:val="000000"/>
                <w:sz w:val="21"/>
                <w:szCs w:val="21"/>
                <w:highlight w:val="none"/>
              </w:rPr>
              <w:t>项目基本情况</w:t>
            </w:r>
          </w:p>
        </w:tc>
      </w:tr>
      <w:tr w14:paraId="42D35A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exact"/>
        </w:trPr>
        <w:tc>
          <w:tcPr>
            <w:tcW w:w="1378" w:type="dxa"/>
            <w:vMerge w:val="restart"/>
            <w:vAlign w:val="center"/>
          </w:tcPr>
          <w:p w14:paraId="0BFCF6E6">
            <w:pPr>
              <w:pStyle w:val="13"/>
              <w:keepNext w:val="0"/>
              <w:keepLines w:val="0"/>
              <w:suppressLineNumbers w:val="0"/>
              <w:spacing w:before="174" w:beforeAutospacing="0" w:after="0" w:afterAutospacing="0"/>
              <w:ind w:left="0" w:right="0"/>
              <w:jc w:val="left"/>
              <w:rPr>
                <w:rFonts w:hint="eastAsia" w:ascii="Times New Roman" w:hAnsi="Times New Roman" w:eastAsia="宋体" w:cs="Times New Roman"/>
                <w:b/>
                <w:bCs/>
                <w:color w:val="000000"/>
                <w:sz w:val="21"/>
                <w:szCs w:val="21"/>
                <w:highlight w:val="none"/>
                <w:lang w:eastAsia="zh-CN"/>
              </w:rPr>
            </w:pPr>
            <w:r>
              <w:rPr>
                <w:rFonts w:hint="default" w:ascii="Times New Roman" w:hAnsi="Times New Roman" w:eastAsia="宋体" w:cs="Times New Roman"/>
                <w:b/>
                <w:bCs/>
                <w:color w:val="000000"/>
                <w:sz w:val="21"/>
                <w:szCs w:val="21"/>
                <w:highlight w:val="none"/>
              </w:rPr>
              <w:t>课题基本</w:t>
            </w:r>
          </w:p>
          <w:p w14:paraId="31B4EF33">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b/>
                <w:bCs/>
                <w:color w:val="000000"/>
                <w:sz w:val="21"/>
                <w:szCs w:val="21"/>
                <w:highlight w:val="none"/>
              </w:rPr>
              <w:t>信息</w:t>
            </w:r>
          </w:p>
        </w:tc>
        <w:tc>
          <w:tcPr>
            <w:tcW w:w="1093" w:type="dxa"/>
            <w:tcBorders>
              <w:right w:val="single" w:color="000000" w:sz="4" w:space="0"/>
            </w:tcBorders>
            <w:vAlign w:val="center"/>
          </w:tcPr>
          <w:p w14:paraId="60F29A2B">
            <w:pPr>
              <w:pStyle w:val="13"/>
              <w:keepNext w:val="0"/>
              <w:keepLines w:val="0"/>
              <w:suppressLineNumbers w:val="0"/>
              <w:spacing w:before="43" w:beforeAutospacing="0" w:after="0" w:afterAutospacing="0" w:line="267" w:lineRule="exact"/>
              <w:ind w:left="107"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项目名称</w:t>
            </w:r>
          </w:p>
        </w:tc>
        <w:tc>
          <w:tcPr>
            <w:tcW w:w="5948" w:type="dxa"/>
            <w:gridSpan w:val="3"/>
            <w:tcBorders>
              <w:right w:val="single" w:color="000000" w:sz="4" w:space="0"/>
            </w:tcBorders>
            <w:vAlign w:val="center"/>
          </w:tcPr>
          <w:p w14:paraId="77927412">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highlight w:val="none"/>
              </w:rPr>
              <w:t>贝达喹啉、德拉马尼、利奈唑胺、莫西沙星联合方案治疗耐多药结核病的临床研究</w:t>
            </w:r>
          </w:p>
        </w:tc>
      </w:tr>
      <w:tr w14:paraId="4ABF3C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4" w:hRule="exact"/>
        </w:trPr>
        <w:tc>
          <w:tcPr>
            <w:tcW w:w="1378" w:type="dxa"/>
            <w:vMerge w:val="continue"/>
            <w:vAlign w:val="center"/>
          </w:tcPr>
          <w:p w14:paraId="641D17A3">
            <w:pPr>
              <w:pStyle w:val="13"/>
              <w:keepNext w:val="0"/>
              <w:keepLines w:val="0"/>
              <w:suppressLineNumbers w:val="0"/>
              <w:spacing w:before="174" w:beforeAutospacing="0" w:after="0" w:afterAutospacing="0"/>
              <w:ind w:left="13" w:right="137"/>
              <w:jc w:val="left"/>
              <w:rPr>
                <w:rFonts w:hint="default" w:ascii="Times New Roman" w:hAnsi="Times New Roman" w:eastAsia="宋体" w:cs="Times New Roman"/>
                <w:color w:val="000000"/>
                <w:sz w:val="21"/>
                <w:szCs w:val="21"/>
                <w:highlight w:val="none"/>
              </w:rPr>
            </w:pPr>
          </w:p>
        </w:tc>
        <w:tc>
          <w:tcPr>
            <w:tcW w:w="1093" w:type="dxa"/>
            <w:tcBorders>
              <w:right w:val="single" w:color="000000" w:sz="4" w:space="0"/>
            </w:tcBorders>
            <w:vAlign w:val="center"/>
          </w:tcPr>
          <w:p w14:paraId="7BDAD159">
            <w:pPr>
              <w:pStyle w:val="13"/>
              <w:keepNext w:val="0"/>
              <w:keepLines w:val="0"/>
              <w:suppressLineNumbers w:val="0"/>
              <w:spacing w:before="43" w:beforeAutospacing="0" w:after="0" w:afterAutospacing="0" w:line="267" w:lineRule="exact"/>
              <w:ind w:left="107"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研究类别</w:t>
            </w:r>
          </w:p>
        </w:tc>
        <w:tc>
          <w:tcPr>
            <w:tcW w:w="5948" w:type="dxa"/>
            <w:gridSpan w:val="3"/>
            <w:tcBorders>
              <w:right w:val="single" w:color="000000" w:sz="4" w:space="0"/>
            </w:tcBorders>
            <w:vAlign w:val="center"/>
          </w:tcPr>
          <w:p w14:paraId="597422E6">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临床研究</w:t>
            </w:r>
            <w:r>
              <w:rPr>
                <w:rFonts w:hint="default" w:ascii="Times New Roman" w:hAnsi="Times New Roman" w:eastAsia="宋体" w:cs="Times New Roman"/>
                <w:color w:val="000000"/>
                <w:sz w:val="21"/>
                <w:szCs w:val="21"/>
                <w:highlight w:val="none"/>
              </w:rPr>
              <w:sym w:font="Wingdings 2" w:char="0052"/>
            </w:r>
            <w:r>
              <w:rPr>
                <w:rFonts w:hint="default" w:ascii="Times New Roman" w:hAnsi="Times New Roman" w:eastAsia="宋体" w:cs="Times New Roman"/>
                <w:color w:val="000000"/>
                <w:sz w:val="21"/>
                <w:szCs w:val="21"/>
                <w:highlight w:val="none"/>
              </w:rPr>
              <w:t xml:space="preserve">    转化应用研究</w:t>
            </w:r>
            <w:r>
              <w:rPr>
                <w:rFonts w:hint="default" w:ascii="Times New Roman" w:hAnsi="Times New Roman" w:eastAsia="宋体" w:cs="Times New Roman"/>
                <w:color w:val="000000"/>
                <w:sz w:val="21"/>
                <w:szCs w:val="21"/>
                <w:highlight w:val="none"/>
              </w:rPr>
              <w:sym w:font="Wingdings 2" w:char="00A3"/>
            </w:r>
          </w:p>
        </w:tc>
      </w:tr>
      <w:tr w14:paraId="7C16FE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2" w:hRule="exact"/>
        </w:trPr>
        <w:tc>
          <w:tcPr>
            <w:tcW w:w="1378" w:type="dxa"/>
            <w:vMerge w:val="continue"/>
            <w:vAlign w:val="center"/>
          </w:tcPr>
          <w:p w14:paraId="4E8E43DB">
            <w:pPr>
              <w:pStyle w:val="13"/>
              <w:keepNext w:val="0"/>
              <w:keepLines w:val="0"/>
              <w:suppressLineNumbers w:val="0"/>
              <w:spacing w:before="174" w:beforeAutospacing="0" w:after="0" w:afterAutospacing="0"/>
              <w:ind w:left="13" w:right="137"/>
              <w:jc w:val="left"/>
              <w:rPr>
                <w:rFonts w:hint="default" w:ascii="Times New Roman" w:hAnsi="Times New Roman" w:eastAsia="宋体" w:cs="Times New Roman"/>
                <w:color w:val="000000"/>
                <w:sz w:val="21"/>
                <w:szCs w:val="21"/>
                <w:highlight w:val="none"/>
              </w:rPr>
            </w:pPr>
          </w:p>
        </w:tc>
        <w:tc>
          <w:tcPr>
            <w:tcW w:w="1093" w:type="dxa"/>
            <w:tcBorders>
              <w:right w:val="single" w:color="000000" w:sz="4" w:space="0"/>
            </w:tcBorders>
            <w:vAlign w:val="center"/>
          </w:tcPr>
          <w:p w14:paraId="03C1EC42">
            <w:pPr>
              <w:pStyle w:val="13"/>
              <w:keepNext w:val="0"/>
              <w:keepLines w:val="0"/>
              <w:suppressLineNumbers w:val="0"/>
              <w:spacing w:before="43" w:beforeAutospacing="0" w:after="0" w:afterAutospacing="0" w:line="267" w:lineRule="exact"/>
              <w:ind w:left="107"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学科</w:t>
            </w:r>
          </w:p>
        </w:tc>
        <w:tc>
          <w:tcPr>
            <w:tcW w:w="1952" w:type="dxa"/>
            <w:tcBorders>
              <w:right w:val="single" w:color="000000" w:sz="4" w:space="0"/>
            </w:tcBorders>
            <w:vAlign w:val="center"/>
          </w:tcPr>
          <w:p w14:paraId="3965DF76">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结核病学</w:t>
            </w:r>
          </w:p>
        </w:tc>
        <w:tc>
          <w:tcPr>
            <w:tcW w:w="1292" w:type="dxa"/>
            <w:tcBorders>
              <w:right w:val="single" w:color="000000" w:sz="4" w:space="0"/>
            </w:tcBorders>
            <w:vAlign w:val="center"/>
          </w:tcPr>
          <w:p w14:paraId="3B02CA25">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研究期限</w:t>
            </w:r>
          </w:p>
        </w:tc>
        <w:tc>
          <w:tcPr>
            <w:tcW w:w="2704" w:type="dxa"/>
            <w:tcBorders>
              <w:right w:val="single" w:color="000000" w:sz="4" w:space="0"/>
            </w:tcBorders>
            <w:vAlign w:val="center"/>
          </w:tcPr>
          <w:p w14:paraId="54ABD8D7">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202</w:t>
            </w:r>
            <w:r>
              <w:rPr>
                <w:rFonts w:hint="eastAsia" w:ascii="Times New Roman" w:hAnsi="Times New Roman" w:cs="Times New Roman"/>
                <w:color w:val="000000"/>
                <w:sz w:val="21"/>
                <w:szCs w:val="21"/>
                <w:highlight w:val="none"/>
                <w:lang w:val="en-US" w:eastAsia="zh-CN"/>
              </w:rPr>
              <w:t>3</w:t>
            </w:r>
            <w:r>
              <w:rPr>
                <w:rFonts w:hint="default" w:ascii="Times New Roman" w:hAnsi="Times New Roman" w:cs="Times New Roman"/>
                <w:color w:val="000000"/>
                <w:sz w:val="21"/>
                <w:szCs w:val="21"/>
                <w:highlight w:val="none"/>
                <w:lang w:val="en-US" w:eastAsia="zh-CN"/>
              </w:rPr>
              <w:t>年</w:t>
            </w:r>
            <w:r>
              <w:rPr>
                <w:rFonts w:hint="eastAsia" w:ascii="Times New Roman" w:hAnsi="Times New Roman" w:cs="Times New Roman"/>
                <w:color w:val="000000"/>
                <w:sz w:val="21"/>
                <w:szCs w:val="21"/>
                <w:highlight w:val="none"/>
                <w:lang w:val="en-US" w:eastAsia="zh-CN"/>
              </w:rPr>
              <w:t>01</w:t>
            </w:r>
            <w:r>
              <w:rPr>
                <w:rFonts w:hint="default" w:ascii="Times New Roman" w:hAnsi="Times New Roman" w:cs="Times New Roman"/>
                <w:color w:val="000000"/>
                <w:sz w:val="21"/>
                <w:szCs w:val="21"/>
                <w:highlight w:val="none"/>
                <w:lang w:val="en-US" w:eastAsia="zh-CN"/>
              </w:rPr>
              <w:t>月</w:t>
            </w:r>
            <w:r>
              <w:rPr>
                <w:rFonts w:hint="eastAsia" w:ascii="Times New Roman" w:hAnsi="Times New Roman" w:cs="Times New Roman"/>
                <w:color w:val="000000"/>
                <w:sz w:val="21"/>
                <w:szCs w:val="21"/>
                <w:highlight w:val="none"/>
                <w:lang w:val="en-US" w:eastAsia="zh-CN"/>
              </w:rPr>
              <w:t>10</w:t>
            </w:r>
            <w:r>
              <w:rPr>
                <w:rFonts w:hint="default" w:ascii="Times New Roman" w:hAnsi="Times New Roman" w:cs="Times New Roman"/>
                <w:color w:val="000000"/>
                <w:sz w:val="21"/>
                <w:szCs w:val="21"/>
                <w:highlight w:val="none"/>
                <w:lang w:val="en-US" w:eastAsia="zh-CN"/>
              </w:rPr>
              <w:t>日</w:t>
            </w:r>
            <w:r>
              <w:rPr>
                <w:rFonts w:hint="default" w:ascii="Times New Roman" w:hAnsi="Times New Roman" w:eastAsia="宋体" w:cs="Times New Roman"/>
                <w:color w:val="000000"/>
                <w:sz w:val="21"/>
                <w:szCs w:val="21"/>
                <w:highlight w:val="none"/>
                <w:lang w:val="en-US" w:eastAsia="zh-CN"/>
              </w:rPr>
              <w:t>-202</w:t>
            </w:r>
            <w:r>
              <w:rPr>
                <w:rFonts w:hint="eastAsia"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val="en-US" w:eastAsia="zh-CN"/>
              </w:rPr>
              <w:t>年</w:t>
            </w:r>
            <w:r>
              <w:rPr>
                <w:rFonts w:hint="default" w:ascii="Times New Roman" w:hAnsi="Times New Roman" w:eastAsia="宋体" w:cs="Times New Roman"/>
                <w:color w:val="000000"/>
                <w:sz w:val="21"/>
                <w:szCs w:val="21"/>
                <w:highlight w:val="none"/>
                <w:lang w:val="en-US" w:eastAsia="zh-CN"/>
              </w:rPr>
              <w:t>12</w:t>
            </w:r>
            <w:r>
              <w:rPr>
                <w:rFonts w:hint="default" w:ascii="Times New Roman" w:hAnsi="Times New Roman" w:cs="Times New Roman"/>
                <w:color w:val="000000"/>
                <w:sz w:val="21"/>
                <w:szCs w:val="21"/>
                <w:highlight w:val="none"/>
                <w:lang w:val="en-US" w:eastAsia="zh-CN"/>
              </w:rPr>
              <w:t>月</w:t>
            </w:r>
            <w:r>
              <w:rPr>
                <w:rFonts w:hint="default" w:ascii="Times New Roman" w:hAnsi="Times New Roman" w:eastAsia="宋体" w:cs="Times New Roman"/>
                <w:color w:val="000000"/>
                <w:sz w:val="21"/>
                <w:szCs w:val="21"/>
                <w:highlight w:val="none"/>
                <w:lang w:val="en-US" w:eastAsia="zh-CN"/>
              </w:rPr>
              <w:t>31</w:t>
            </w:r>
            <w:r>
              <w:rPr>
                <w:rFonts w:hint="default" w:ascii="Times New Roman" w:hAnsi="Times New Roman" w:cs="Times New Roman"/>
                <w:color w:val="000000"/>
                <w:sz w:val="21"/>
                <w:szCs w:val="21"/>
                <w:highlight w:val="none"/>
                <w:lang w:val="en-US" w:eastAsia="zh-CN"/>
              </w:rPr>
              <w:t>日</w:t>
            </w:r>
          </w:p>
        </w:tc>
      </w:tr>
      <w:tr w14:paraId="5AB207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110" w:hRule="exact"/>
        </w:trPr>
        <w:tc>
          <w:tcPr>
            <w:tcW w:w="1378" w:type="dxa"/>
            <w:vAlign w:val="center"/>
          </w:tcPr>
          <w:p w14:paraId="008A4A03">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b/>
                <w:bCs/>
                <w:color w:val="000000"/>
                <w:sz w:val="21"/>
                <w:szCs w:val="21"/>
                <w:highlight w:val="none"/>
              </w:rPr>
              <w:t>项目中文摘要</w:t>
            </w:r>
          </w:p>
        </w:tc>
        <w:tc>
          <w:tcPr>
            <w:tcW w:w="7041" w:type="dxa"/>
            <w:gridSpan w:val="4"/>
            <w:tcBorders>
              <w:right w:val="single" w:color="000000" w:sz="4" w:space="0"/>
            </w:tcBorders>
            <w:vAlign w:val="center"/>
          </w:tcPr>
          <w:p w14:paraId="73FC5CD4">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rPr>
            </w:pPr>
            <w:r>
              <w:rPr>
                <w:rFonts w:hint="default" w:ascii="Times New Roman" w:hAnsi="Times New Roman" w:cs="Times New Roman"/>
                <w:sz w:val="21"/>
                <w:szCs w:val="21"/>
                <w:highlight w:val="none"/>
                <w:lang w:val="en-US" w:eastAsia="zh-CN"/>
              </w:rPr>
              <w:t>耐多药结核病（MDR-TB）仍是全球重要的公共卫生挑战。世界卫生组织（WHO）推荐使用贝达喹啉-普托马尼-利奈唑胺-莫西沙星（BPaLM）6个月方案作为首选治疗方案，然而，普托马尼在中国尚未上市。德拉马尼与普托马尼属于同类药物，且体外杀菌活性更强，可能成为一种替代选择。本研究是一项单臂策略性临床研究，旨在评估贝达喹啉、德拉马尼、利奈唑胺联合或不联合莫西沙星（BDL/M）方案治疗耐多药结核病的疗效。计划在深圳市第三人民医院及其他参与中心纳入年龄14-75岁、经细菌学确诊的耐多药结核病患者。所有受试者最初均接受贝达喹啉、德拉马尼和利奈唑胺治疗，后续治疗策略将根据莫西沙星药敏结果确定：莫西沙星敏感者继续使用BDLM方案，莫西沙星耐药者继续使用BDL方案。标准疗程为6个月，根据治疗反应可延长至9个月，治疗成功后随访6-12个月。主要终点是治疗开始后12个月时的不良结局（细菌学失败、临床失败、复发和再感染）发生率；次要终点包括2个月时的痰培养转阴率、培养转阴时间、严重不良事件发生率和全因死亡率。计划纳入158例受试者，考虑了10%的失访率。该样本量在单侧显著性水平0.05、非劣效界值10%的条件下，有80%的把握度证实本方案对比WHO推荐的BPaLM方案的非劣效性。本研究将首次评估BDL/M方案治疗耐多药结核病的有效性和安全性，研究结果将为普托马尼未上市地区提供替代治疗方案的证据，并为今后开展大规模临床试验奠定基础。本研究已在中国临床试验注册中心注册。</w:t>
            </w:r>
          </w:p>
        </w:tc>
      </w:tr>
      <w:tr w14:paraId="17088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6" w:hRule="exact"/>
        </w:trPr>
        <w:tc>
          <w:tcPr>
            <w:tcW w:w="1378" w:type="dxa"/>
            <w:vAlign w:val="center"/>
          </w:tcPr>
          <w:p w14:paraId="279ADD44">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关键词</w:t>
            </w:r>
          </w:p>
        </w:tc>
        <w:tc>
          <w:tcPr>
            <w:tcW w:w="7041" w:type="dxa"/>
            <w:gridSpan w:val="4"/>
            <w:tcBorders>
              <w:right w:val="single" w:color="000000" w:sz="4" w:space="0"/>
            </w:tcBorders>
            <w:vAlign w:val="center"/>
          </w:tcPr>
          <w:p w14:paraId="6550AFA3">
            <w:pPr>
              <w:pStyle w:val="13"/>
              <w:keepNext w:val="0"/>
              <w:keepLines w:val="0"/>
              <w:suppressLineNumbers w:val="0"/>
              <w:spacing w:before="174" w:beforeAutospacing="0" w:after="0" w:afterAutospacing="0"/>
              <w:ind w:left="109" w:right="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eastAsia="zh-CN"/>
              </w:rPr>
              <w:t>耐多药</w:t>
            </w:r>
            <w:r>
              <w:rPr>
                <w:rFonts w:hint="eastAsia" w:ascii="Times New Roman" w:hAnsi="Times New Roman" w:cs="Times New Roman"/>
                <w:color w:val="000000"/>
                <w:sz w:val="21"/>
                <w:szCs w:val="21"/>
                <w:highlight w:val="none"/>
                <w:lang w:eastAsia="zh-CN"/>
              </w:rPr>
              <w:t>结核病</w:t>
            </w:r>
            <w:r>
              <w:rPr>
                <w:rFonts w:hint="default" w:ascii="Times New Roman" w:hAnsi="Times New Roman" w:eastAsia="宋体" w:cs="Times New Roman"/>
                <w:color w:val="000000"/>
                <w:sz w:val="21"/>
                <w:szCs w:val="21"/>
                <w:highlight w:val="none"/>
                <w:lang w:eastAsia="zh-CN"/>
              </w:rPr>
              <w:t>；</w:t>
            </w:r>
            <w:r>
              <w:rPr>
                <w:rFonts w:hint="eastAsia" w:ascii="Times New Roman" w:hAnsi="Times New Roman" w:cs="Times New Roman"/>
                <w:color w:val="000000"/>
                <w:sz w:val="21"/>
                <w:szCs w:val="21"/>
                <w:highlight w:val="none"/>
                <w:lang w:eastAsia="zh-CN"/>
              </w:rPr>
              <w:t>短程；贝达喹啉；德拉马尼；利奈唑胺</w:t>
            </w:r>
          </w:p>
        </w:tc>
      </w:tr>
      <w:tr w14:paraId="4FEDC3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79" w:hRule="exact"/>
        </w:trPr>
        <w:tc>
          <w:tcPr>
            <w:tcW w:w="1378" w:type="dxa"/>
            <w:vAlign w:val="center"/>
          </w:tcPr>
          <w:p w14:paraId="0A9DB6B6">
            <w:pPr>
              <w:pStyle w:val="13"/>
              <w:keepNext w:val="0"/>
              <w:keepLines w:val="0"/>
              <w:suppressLineNumbers w:val="0"/>
              <w:spacing w:before="174" w:beforeAutospacing="0" w:after="0" w:afterAutospacing="0"/>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合作单位</w:t>
            </w:r>
          </w:p>
        </w:tc>
        <w:tc>
          <w:tcPr>
            <w:tcW w:w="7041" w:type="dxa"/>
            <w:gridSpan w:val="4"/>
            <w:tcBorders>
              <w:right w:val="single" w:color="000000" w:sz="4" w:space="0"/>
            </w:tcBorders>
          </w:tcPr>
          <w:p w14:paraId="2508350F">
            <w:pPr>
              <w:pStyle w:val="13"/>
              <w:keepNext w:val="0"/>
              <w:keepLines w:val="0"/>
              <w:numPr>
                <w:ilvl w:val="0"/>
                <w:numId w:val="0"/>
              </w:numPr>
              <w:suppressLineNumbers w:val="0"/>
              <w:spacing w:before="174" w:beforeAutospacing="0" w:after="0" w:afterAutospacing="0"/>
              <w:ind w:left="0" w:leftChars="0" w:right="0" w:firstLine="100" w:firstLineChars="48"/>
              <w:jc w:val="left"/>
              <w:rPr>
                <w:rFonts w:hint="default" w:ascii="Times New Roman" w:hAnsi="Times New Roman" w:cs="Times New Roman"/>
                <w:color w:val="000000"/>
                <w:sz w:val="21"/>
                <w:szCs w:val="21"/>
                <w:highlight w:val="none"/>
                <w:lang w:val="en-US" w:eastAsia="zh-CN"/>
              </w:rPr>
            </w:pPr>
          </w:p>
        </w:tc>
      </w:tr>
    </w:tbl>
    <w:p w14:paraId="486C9983">
      <w:pPr>
        <w:spacing w:line="360" w:lineRule="auto"/>
        <w:jc w:val="left"/>
        <w:rPr>
          <w:rFonts w:hint="default" w:ascii="Times New Roman" w:hAnsi="Times New Roman" w:eastAsia="宋体" w:cs="Times New Roman"/>
          <w:sz w:val="21"/>
          <w:szCs w:val="21"/>
          <w:highlight w:val="none"/>
          <w:lang w:val="en-US" w:eastAsia="zh-CN"/>
        </w:rPr>
      </w:pPr>
    </w:p>
    <w:p w14:paraId="11B4DB6B">
      <w:pPr>
        <w:spacing w:line="360" w:lineRule="auto"/>
        <w:jc w:val="left"/>
        <w:rPr>
          <w:rFonts w:hint="default" w:ascii="Times New Roman" w:hAnsi="Times New Roman" w:eastAsia="宋体" w:cs="Times New Roman"/>
          <w:sz w:val="21"/>
          <w:szCs w:val="21"/>
          <w:highlight w:val="none"/>
          <w:lang w:val="en-US" w:eastAsia="zh-CN"/>
        </w:rPr>
      </w:pPr>
    </w:p>
    <w:p w14:paraId="24C6D9A2">
      <w:pPr>
        <w:pStyle w:val="5"/>
        <w:rPr>
          <w:rFonts w:hint="default"/>
          <w:lang w:val="en-US" w:eastAsia="zh-CN"/>
        </w:rPr>
      </w:pPr>
    </w:p>
    <w:p w14:paraId="209C8F55">
      <w:pPr>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b/>
          <w:bCs/>
          <w:color w:val="000000"/>
          <w:sz w:val="30"/>
          <w:szCs w:val="30"/>
          <w:highlight w:val="none"/>
          <w:lang w:val="zh-CN" w:bidi="zh-CN"/>
        </w:rPr>
        <w:t>项目组参与者和合作单位</w:t>
      </w:r>
      <w:r>
        <w:rPr>
          <w:rFonts w:hint="default" w:ascii="Times New Roman" w:hAnsi="Times New Roman" w:eastAsia="宋体" w:cs="Times New Roman"/>
          <w:b/>
          <w:bCs/>
          <w:color w:val="000000"/>
          <w:kern w:val="2"/>
          <w:sz w:val="30"/>
          <w:szCs w:val="30"/>
          <w:highlight w:val="none"/>
          <w:lang w:val="zh-CN" w:bidi="zh-CN"/>
        </w:rPr>
        <w:t xml:space="preserve">（注: </w:t>
      </w:r>
      <w:r>
        <w:rPr>
          <w:rFonts w:hint="default" w:ascii="Times New Roman" w:hAnsi="Times New Roman" w:eastAsia="宋体" w:cs="Times New Roman"/>
          <w:b/>
          <w:bCs/>
          <w:color w:val="000000"/>
          <w:kern w:val="2"/>
          <w:sz w:val="30"/>
          <w:szCs w:val="30"/>
          <w:highlight w:val="none"/>
          <w:lang w:val="zh-CN" w:eastAsia="zh-CN" w:bidi="zh-CN"/>
        </w:rPr>
        <w:t>含</w:t>
      </w:r>
      <w:r>
        <w:rPr>
          <w:rFonts w:hint="default" w:ascii="Times New Roman" w:hAnsi="Times New Roman" w:eastAsia="宋体" w:cs="Times New Roman"/>
          <w:b/>
          <w:bCs/>
          <w:color w:val="000000"/>
          <w:kern w:val="2"/>
          <w:sz w:val="30"/>
          <w:szCs w:val="30"/>
          <w:highlight w:val="none"/>
          <w:lang w:val="zh-CN" w:bidi="zh-CN"/>
        </w:rPr>
        <w:t>项目申请人）</w:t>
      </w:r>
    </w:p>
    <w:tbl>
      <w:tblPr>
        <w:tblStyle w:val="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920"/>
        <w:gridCol w:w="876"/>
        <w:gridCol w:w="486"/>
        <w:gridCol w:w="915"/>
        <w:gridCol w:w="719"/>
        <w:gridCol w:w="1502"/>
        <w:gridCol w:w="1884"/>
        <w:gridCol w:w="765"/>
      </w:tblGrid>
      <w:tr w14:paraId="5EE4C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264" w:type="pct"/>
            <w:tcBorders>
              <w:top w:val="single" w:color="auto" w:sz="4" w:space="0"/>
              <w:left w:val="single" w:color="auto" w:sz="4" w:space="0"/>
              <w:bottom w:val="single" w:color="auto" w:sz="4" w:space="0"/>
              <w:right w:val="single" w:color="auto" w:sz="4" w:space="0"/>
            </w:tcBorders>
            <w:vAlign w:val="center"/>
          </w:tcPr>
          <w:p w14:paraId="46303048">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序号</w:t>
            </w:r>
          </w:p>
        </w:tc>
        <w:tc>
          <w:tcPr>
            <w:tcW w:w="540" w:type="pct"/>
            <w:tcBorders>
              <w:top w:val="single" w:color="auto" w:sz="4" w:space="0"/>
              <w:left w:val="nil"/>
              <w:bottom w:val="single" w:color="auto" w:sz="4" w:space="0"/>
              <w:right w:val="single" w:color="auto" w:sz="4" w:space="0"/>
            </w:tcBorders>
            <w:vAlign w:val="center"/>
          </w:tcPr>
          <w:p w14:paraId="2368AE16">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姓名</w:t>
            </w:r>
          </w:p>
        </w:tc>
        <w:tc>
          <w:tcPr>
            <w:tcW w:w="514" w:type="pct"/>
            <w:tcBorders>
              <w:top w:val="single" w:color="auto" w:sz="4" w:space="0"/>
              <w:left w:val="nil"/>
              <w:bottom w:val="single" w:color="auto" w:sz="4" w:space="0"/>
              <w:right w:val="single" w:color="auto" w:sz="4" w:space="0"/>
            </w:tcBorders>
            <w:vAlign w:val="center"/>
          </w:tcPr>
          <w:p w14:paraId="49181C01">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出生年月</w:t>
            </w:r>
          </w:p>
        </w:tc>
        <w:tc>
          <w:tcPr>
            <w:tcW w:w="285" w:type="pct"/>
            <w:tcBorders>
              <w:top w:val="single" w:color="auto" w:sz="4" w:space="0"/>
              <w:left w:val="nil"/>
              <w:bottom w:val="single" w:color="auto" w:sz="4" w:space="0"/>
              <w:right w:val="single" w:color="auto" w:sz="4" w:space="0"/>
            </w:tcBorders>
            <w:vAlign w:val="center"/>
          </w:tcPr>
          <w:p w14:paraId="763BA597">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性别</w:t>
            </w:r>
          </w:p>
        </w:tc>
        <w:tc>
          <w:tcPr>
            <w:tcW w:w="537" w:type="pct"/>
            <w:tcBorders>
              <w:top w:val="single" w:color="auto" w:sz="4" w:space="0"/>
              <w:left w:val="nil"/>
              <w:bottom w:val="single" w:color="auto" w:sz="4" w:space="0"/>
              <w:right w:val="single" w:color="auto" w:sz="4" w:space="0"/>
            </w:tcBorders>
            <w:vAlign w:val="center"/>
          </w:tcPr>
          <w:p w14:paraId="7822EC77">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职称</w:t>
            </w:r>
          </w:p>
        </w:tc>
        <w:tc>
          <w:tcPr>
            <w:tcW w:w="422" w:type="pct"/>
            <w:tcBorders>
              <w:top w:val="single" w:color="auto" w:sz="4" w:space="0"/>
              <w:left w:val="nil"/>
              <w:bottom w:val="single" w:color="auto" w:sz="4" w:space="0"/>
              <w:right w:val="single" w:color="auto" w:sz="4" w:space="0"/>
            </w:tcBorders>
            <w:vAlign w:val="center"/>
          </w:tcPr>
          <w:p w14:paraId="706B4E8C">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学位</w:t>
            </w:r>
          </w:p>
        </w:tc>
        <w:tc>
          <w:tcPr>
            <w:tcW w:w="881" w:type="pct"/>
            <w:tcBorders>
              <w:top w:val="single" w:color="auto" w:sz="4" w:space="0"/>
              <w:left w:val="nil"/>
              <w:bottom w:val="single" w:color="auto" w:sz="4" w:space="0"/>
              <w:right w:val="single" w:color="auto" w:sz="4" w:space="0"/>
            </w:tcBorders>
            <w:vAlign w:val="center"/>
          </w:tcPr>
          <w:p w14:paraId="16B384DC">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工作部门</w:t>
            </w:r>
          </w:p>
        </w:tc>
        <w:tc>
          <w:tcPr>
            <w:tcW w:w="1106" w:type="pct"/>
            <w:tcBorders>
              <w:top w:val="single" w:color="auto" w:sz="4" w:space="0"/>
              <w:left w:val="nil"/>
              <w:bottom w:val="single" w:color="auto" w:sz="4" w:space="0"/>
              <w:right w:val="single" w:color="auto" w:sz="4" w:space="0"/>
            </w:tcBorders>
            <w:vAlign w:val="center"/>
          </w:tcPr>
          <w:p w14:paraId="3432F1FD">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项目分工</w:t>
            </w:r>
          </w:p>
        </w:tc>
        <w:tc>
          <w:tcPr>
            <w:tcW w:w="449" w:type="pct"/>
            <w:tcBorders>
              <w:top w:val="single" w:color="auto" w:sz="4" w:space="0"/>
              <w:left w:val="nil"/>
              <w:bottom w:val="single" w:color="auto" w:sz="4" w:space="0"/>
              <w:right w:val="single" w:color="auto" w:sz="4" w:space="0"/>
            </w:tcBorders>
            <w:vAlign w:val="center"/>
          </w:tcPr>
          <w:p w14:paraId="4394F112">
            <w:pPr>
              <w:pStyle w:val="13"/>
              <w:keepNext w:val="0"/>
              <w:keepLines w:val="0"/>
              <w:suppressLineNumbers w:val="0"/>
              <w:spacing w:before="174" w:beforeAutospacing="0" w:after="0" w:afterAutospacing="0" w:line="360" w:lineRule="auto"/>
              <w:ind w:left="0" w:right="0"/>
              <w:jc w:val="left"/>
              <w:rPr>
                <w:rFonts w:hint="default" w:ascii="Times New Roman" w:hAnsi="Times New Roman" w:eastAsia="宋体" w:cs="Times New Roman"/>
                <w:b/>
                <w:bCs/>
                <w:color w:val="000000"/>
                <w:sz w:val="21"/>
                <w:szCs w:val="21"/>
                <w:highlight w:val="none"/>
              </w:rPr>
            </w:pPr>
            <w:r>
              <w:rPr>
                <w:rFonts w:hint="default" w:ascii="Times New Roman" w:hAnsi="Times New Roman" w:eastAsia="宋体" w:cs="Times New Roman"/>
                <w:b/>
                <w:bCs/>
                <w:color w:val="000000"/>
                <w:sz w:val="21"/>
                <w:szCs w:val="21"/>
                <w:highlight w:val="none"/>
              </w:rPr>
              <w:t>签字</w:t>
            </w:r>
          </w:p>
        </w:tc>
      </w:tr>
      <w:tr w14:paraId="6670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264" w:type="pct"/>
            <w:tcBorders>
              <w:top w:val="single" w:color="auto" w:sz="4" w:space="0"/>
              <w:left w:val="single" w:color="auto" w:sz="4" w:space="0"/>
              <w:bottom w:val="single" w:color="auto" w:sz="4" w:space="0"/>
              <w:right w:val="single" w:color="auto" w:sz="4" w:space="0"/>
            </w:tcBorders>
            <w:vAlign w:val="center"/>
          </w:tcPr>
          <w:p w14:paraId="2719FBBF">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w:t>
            </w:r>
          </w:p>
        </w:tc>
        <w:tc>
          <w:tcPr>
            <w:tcW w:w="540" w:type="pct"/>
            <w:tcBorders>
              <w:top w:val="single" w:color="auto" w:sz="4" w:space="0"/>
              <w:left w:val="nil"/>
              <w:bottom w:val="single" w:color="auto" w:sz="4" w:space="0"/>
              <w:right w:val="single" w:color="auto" w:sz="4" w:space="0"/>
            </w:tcBorders>
            <w:vAlign w:val="center"/>
          </w:tcPr>
          <w:p w14:paraId="1C254650">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付亮</w:t>
            </w:r>
          </w:p>
        </w:tc>
        <w:tc>
          <w:tcPr>
            <w:tcW w:w="514" w:type="pct"/>
            <w:tcBorders>
              <w:top w:val="single" w:color="auto" w:sz="4" w:space="0"/>
              <w:left w:val="nil"/>
              <w:bottom w:val="single" w:color="auto" w:sz="4" w:space="0"/>
              <w:right w:val="single" w:color="auto" w:sz="4" w:space="0"/>
            </w:tcBorders>
            <w:vAlign w:val="center"/>
          </w:tcPr>
          <w:p w14:paraId="5A6AA16F">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val="en-US" w:eastAsia="zh-CN"/>
              </w:rPr>
              <w:t>1981.07</w:t>
            </w:r>
          </w:p>
        </w:tc>
        <w:tc>
          <w:tcPr>
            <w:tcW w:w="285" w:type="pct"/>
            <w:tcBorders>
              <w:top w:val="single" w:color="auto" w:sz="4" w:space="0"/>
              <w:left w:val="nil"/>
              <w:bottom w:val="single" w:color="auto" w:sz="4" w:space="0"/>
              <w:right w:val="single" w:color="auto" w:sz="4" w:space="0"/>
            </w:tcBorders>
            <w:vAlign w:val="center"/>
          </w:tcPr>
          <w:p w14:paraId="657AD4AC">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男</w:t>
            </w:r>
          </w:p>
        </w:tc>
        <w:tc>
          <w:tcPr>
            <w:tcW w:w="537" w:type="pct"/>
            <w:tcBorders>
              <w:top w:val="single" w:color="auto" w:sz="4" w:space="0"/>
              <w:left w:val="nil"/>
              <w:bottom w:val="single" w:color="auto" w:sz="4" w:space="0"/>
              <w:right w:val="single" w:color="auto" w:sz="4" w:space="0"/>
            </w:tcBorders>
            <w:vAlign w:val="center"/>
          </w:tcPr>
          <w:p w14:paraId="7C68EA1D">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主治医师</w:t>
            </w:r>
          </w:p>
        </w:tc>
        <w:tc>
          <w:tcPr>
            <w:tcW w:w="422" w:type="pct"/>
            <w:tcBorders>
              <w:top w:val="single" w:color="auto" w:sz="4" w:space="0"/>
              <w:left w:val="nil"/>
              <w:bottom w:val="single" w:color="auto" w:sz="4" w:space="0"/>
              <w:right w:val="single" w:color="auto" w:sz="4" w:space="0"/>
            </w:tcBorders>
            <w:vAlign w:val="center"/>
          </w:tcPr>
          <w:p w14:paraId="0C586835">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sz w:val="21"/>
                <w:szCs w:val="21"/>
                <w:highlight w:val="none"/>
                <w:lang w:eastAsia="zh-CN"/>
              </w:rPr>
              <w:t>硕士</w:t>
            </w:r>
          </w:p>
        </w:tc>
        <w:tc>
          <w:tcPr>
            <w:tcW w:w="881" w:type="pct"/>
            <w:tcBorders>
              <w:top w:val="single" w:color="auto" w:sz="4" w:space="0"/>
              <w:left w:val="nil"/>
              <w:bottom w:val="single" w:color="auto" w:sz="4" w:space="0"/>
              <w:right w:val="single" w:color="auto" w:sz="4" w:space="0"/>
            </w:tcBorders>
            <w:vAlign w:val="center"/>
          </w:tcPr>
          <w:p w14:paraId="77B0B373">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深圳市第三人民医院肺二科</w:t>
            </w:r>
          </w:p>
        </w:tc>
        <w:tc>
          <w:tcPr>
            <w:tcW w:w="1106" w:type="pct"/>
            <w:tcBorders>
              <w:top w:val="single" w:color="auto" w:sz="4" w:space="0"/>
              <w:left w:val="nil"/>
              <w:bottom w:val="single" w:color="auto" w:sz="4" w:space="0"/>
              <w:right w:val="single" w:color="auto" w:sz="4" w:space="0"/>
            </w:tcBorders>
            <w:vAlign w:val="center"/>
          </w:tcPr>
          <w:p w14:paraId="74E47FA5">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val="en-US" w:eastAsia="zh-CN"/>
              </w:rPr>
              <w:t>课题负责、</w:t>
            </w:r>
            <w:r>
              <w:rPr>
                <w:rFonts w:hint="eastAsia" w:ascii="Times New Roman" w:hAnsi="Times New Roman" w:cs="Times New Roman"/>
                <w:sz w:val="21"/>
                <w:szCs w:val="21"/>
                <w:highlight w:val="none"/>
                <w:lang w:val="en-US" w:eastAsia="zh-CN"/>
              </w:rPr>
              <w:t>设计、</w:t>
            </w:r>
            <w:r>
              <w:rPr>
                <w:rFonts w:hint="default" w:ascii="Times New Roman" w:hAnsi="Times New Roman" w:eastAsia="宋体" w:cs="Times New Roman"/>
                <w:sz w:val="21"/>
                <w:szCs w:val="21"/>
                <w:highlight w:val="none"/>
                <w:lang w:val="en-US" w:eastAsia="zh-CN"/>
              </w:rPr>
              <w:t>实施、分析</w:t>
            </w:r>
          </w:p>
        </w:tc>
        <w:tc>
          <w:tcPr>
            <w:tcW w:w="449" w:type="pct"/>
            <w:tcBorders>
              <w:top w:val="single" w:color="auto" w:sz="4" w:space="0"/>
              <w:left w:val="nil"/>
              <w:bottom w:val="single" w:color="auto" w:sz="4" w:space="0"/>
              <w:right w:val="single" w:color="auto" w:sz="4" w:space="0"/>
            </w:tcBorders>
            <w:vAlign w:val="center"/>
          </w:tcPr>
          <w:p w14:paraId="2A9777FB">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p>
        </w:tc>
      </w:tr>
      <w:tr w14:paraId="30503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264" w:type="pct"/>
            <w:tcBorders>
              <w:top w:val="single" w:color="auto" w:sz="4" w:space="0"/>
              <w:left w:val="single" w:color="auto" w:sz="4" w:space="0"/>
              <w:bottom w:val="single" w:color="auto" w:sz="4" w:space="0"/>
              <w:right w:val="single" w:color="auto" w:sz="4" w:space="0"/>
            </w:tcBorders>
            <w:vAlign w:val="center"/>
          </w:tcPr>
          <w:p w14:paraId="752CE648">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r>
              <w:rPr>
                <w:rFonts w:hint="eastAsia" w:ascii="Times New Roman" w:hAnsi="Times New Roman" w:cs="Times New Roman"/>
                <w:sz w:val="21"/>
                <w:szCs w:val="21"/>
                <w:highlight w:val="none"/>
                <w:lang w:val="en-US" w:eastAsia="zh-CN"/>
              </w:rPr>
              <w:t>2</w:t>
            </w:r>
          </w:p>
        </w:tc>
        <w:tc>
          <w:tcPr>
            <w:tcW w:w="540" w:type="pct"/>
            <w:tcBorders>
              <w:top w:val="single" w:color="auto" w:sz="4" w:space="0"/>
              <w:left w:val="nil"/>
              <w:bottom w:val="single" w:color="auto" w:sz="4" w:space="0"/>
              <w:right w:val="single" w:color="auto" w:sz="4" w:space="0"/>
            </w:tcBorders>
            <w:vAlign w:val="center"/>
          </w:tcPr>
          <w:p w14:paraId="51CCC2E3">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任坦坦</w:t>
            </w:r>
          </w:p>
        </w:tc>
        <w:tc>
          <w:tcPr>
            <w:tcW w:w="514" w:type="pct"/>
            <w:tcBorders>
              <w:top w:val="single" w:color="auto" w:sz="4" w:space="0"/>
              <w:left w:val="nil"/>
              <w:bottom w:val="single" w:color="auto" w:sz="4" w:space="0"/>
              <w:right w:val="single" w:color="auto" w:sz="4" w:space="0"/>
            </w:tcBorders>
            <w:vAlign w:val="center"/>
          </w:tcPr>
          <w:p w14:paraId="66412704">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1987.09</w:t>
            </w:r>
          </w:p>
        </w:tc>
        <w:tc>
          <w:tcPr>
            <w:tcW w:w="285" w:type="pct"/>
            <w:tcBorders>
              <w:top w:val="single" w:color="auto" w:sz="4" w:space="0"/>
              <w:left w:val="nil"/>
              <w:bottom w:val="single" w:color="auto" w:sz="4" w:space="0"/>
              <w:right w:val="single" w:color="auto" w:sz="4" w:space="0"/>
            </w:tcBorders>
            <w:vAlign w:val="center"/>
          </w:tcPr>
          <w:p w14:paraId="7B6BED28">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女</w:t>
            </w:r>
          </w:p>
        </w:tc>
        <w:tc>
          <w:tcPr>
            <w:tcW w:w="537" w:type="pct"/>
            <w:tcBorders>
              <w:top w:val="single" w:color="auto" w:sz="4" w:space="0"/>
              <w:left w:val="nil"/>
              <w:bottom w:val="single" w:color="auto" w:sz="4" w:space="0"/>
              <w:right w:val="single" w:color="auto" w:sz="4" w:space="0"/>
            </w:tcBorders>
            <w:vAlign w:val="center"/>
          </w:tcPr>
          <w:p w14:paraId="4EEA2077">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主治医师</w:t>
            </w:r>
          </w:p>
        </w:tc>
        <w:tc>
          <w:tcPr>
            <w:tcW w:w="422" w:type="pct"/>
            <w:tcBorders>
              <w:top w:val="single" w:color="auto" w:sz="4" w:space="0"/>
              <w:left w:val="nil"/>
              <w:bottom w:val="single" w:color="auto" w:sz="4" w:space="0"/>
              <w:right w:val="single" w:color="auto" w:sz="4" w:space="0"/>
            </w:tcBorders>
            <w:vAlign w:val="center"/>
          </w:tcPr>
          <w:p w14:paraId="63D8A627">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硕士</w:t>
            </w:r>
          </w:p>
        </w:tc>
        <w:tc>
          <w:tcPr>
            <w:tcW w:w="881" w:type="pct"/>
            <w:tcBorders>
              <w:top w:val="single" w:color="auto" w:sz="4" w:space="0"/>
              <w:left w:val="nil"/>
              <w:bottom w:val="single" w:color="auto" w:sz="4" w:space="0"/>
              <w:right w:val="single" w:color="auto" w:sz="4" w:space="0"/>
            </w:tcBorders>
            <w:vAlign w:val="center"/>
          </w:tcPr>
          <w:p w14:paraId="6911B5AF">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深圳市第三人民医院肺二科</w:t>
            </w:r>
          </w:p>
        </w:tc>
        <w:tc>
          <w:tcPr>
            <w:tcW w:w="1106" w:type="pct"/>
            <w:tcBorders>
              <w:top w:val="single" w:color="auto" w:sz="4" w:space="0"/>
              <w:left w:val="nil"/>
              <w:bottom w:val="single" w:color="auto" w:sz="4" w:space="0"/>
              <w:right w:val="single" w:color="auto" w:sz="4" w:space="0"/>
            </w:tcBorders>
            <w:vAlign w:val="center"/>
          </w:tcPr>
          <w:p w14:paraId="5CC33208">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课题实施</w:t>
            </w:r>
          </w:p>
        </w:tc>
        <w:tc>
          <w:tcPr>
            <w:tcW w:w="449" w:type="pct"/>
            <w:tcBorders>
              <w:top w:val="single" w:color="auto" w:sz="4" w:space="0"/>
              <w:left w:val="nil"/>
              <w:bottom w:val="single" w:color="auto" w:sz="4" w:space="0"/>
              <w:right w:val="single" w:color="auto" w:sz="4" w:space="0"/>
            </w:tcBorders>
            <w:vAlign w:val="center"/>
          </w:tcPr>
          <w:p w14:paraId="6D1F47AE">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p>
        </w:tc>
      </w:tr>
      <w:tr w14:paraId="06A4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264" w:type="pct"/>
            <w:tcBorders>
              <w:top w:val="single" w:color="auto" w:sz="4" w:space="0"/>
              <w:left w:val="single" w:color="auto" w:sz="4" w:space="0"/>
              <w:bottom w:val="single" w:color="auto" w:sz="4" w:space="0"/>
              <w:right w:val="single" w:color="auto" w:sz="4" w:space="0"/>
            </w:tcBorders>
            <w:vAlign w:val="center"/>
          </w:tcPr>
          <w:p w14:paraId="509E39D7">
            <w:pPr>
              <w:keepNext w:val="0"/>
              <w:keepLines w:val="0"/>
              <w:suppressLineNumbers w:val="0"/>
              <w:spacing w:before="0" w:beforeAutospacing="0" w:after="0" w:afterAutospacing="0" w:line="360" w:lineRule="auto"/>
              <w:ind w:left="-40" w:leftChars="0" w:right="0" w:hanging="2" w:firstLineChars="0"/>
              <w:jc w:val="left"/>
              <w:rPr>
                <w:rFonts w:hint="eastAsia"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3</w:t>
            </w:r>
          </w:p>
        </w:tc>
        <w:tc>
          <w:tcPr>
            <w:tcW w:w="540" w:type="pct"/>
            <w:tcBorders>
              <w:top w:val="single" w:color="auto" w:sz="4" w:space="0"/>
              <w:left w:val="nil"/>
              <w:bottom w:val="single" w:color="auto" w:sz="4" w:space="0"/>
              <w:right w:val="single" w:color="auto" w:sz="4" w:space="0"/>
            </w:tcBorders>
            <w:vAlign w:val="center"/>
          </w:tcPr>
          <w:p w14:paraId="553FE375">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eastAsia" w:ascii="Times New Roman" w:hAnsi="Times New Roman" w:cs="Times New Roman"/>
                <w:sz w:val="21"/>
                <w:szCs w:val="21"/>
                <w:highlight w:val="none"/>
                <w:lang w:val="en-US" w:eastAsia="zh-CN"/>
              </w:rPr>
              <w:t>卢水华</w:t>
            </w:r>
          </w:p>
        </w:tc>
        <w:tc>
          <w:tcPr>
            <w:tcW w:w="514" w:type="pct"/>
            <w:tcBorders>
              <w:top w:val="single" w:color="auto" w:sz="4" w:space="0"/>
              <w:left w:val="nil"/>
              <w:bottom w:val="single" w:color="auto" w:sz="4" w:space="0"/>
              <w:right w:val="single" w:color="auto" w:sz="4" w:space="0"/>
            </w:tcBorders>
            <w:vAlign w:val="center"/>
          </w:tcPr>
          <w:p w14:paraId="191BF25F">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eastAsia" w:ascii="Times New Roman" w:hAnsi="Times New Roman" w:cs="Times New Roman"/>
                <w:sz w:val="21"/>
                <w:szCs w:val="21"/>
                <w:highlight w:val="none"/>
                <w:lang w:val="en-US" w:eastAsia="zh-CN"/>
              </w:rPr>
              <w:t>1966.07</w:t>
            </w:r>
          </w:p>
        </w:tc>
        <w:tc>
          <w:tcPr>
            <w:tcW w:w="285" w:type="pct"/>
            <w:tcBorders>
              <w:top w:val="single" w:color="auto" w:sz="4" w:space="0"/>
              <w:left w:val="nil"/>
              <w:bottom w:val="single" w:color="auto" w:sz="4" w:space="0"/>
              <w:right w:val="single" w:color="auto" w:sz="4" w:space="0"/>
            </w:tcBorders>
            <w:vAlign w:val="center"/>
          </w:tcPr>
          <w:p w14:paraId="31AD6ACB">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eastAsia" w:ascii="Times New Roman" w:hAnsi="Times New Roman" w:cs="Times New Roman"/>
                <w:sz w:val="21"/>
                <w:szCs w:val="21"/>
                <w:highlight w:val="none"/>
                <w:lang w:eastAsia="zh-CN"/>
              </w:rPr>
              <w:t>男</w:t>
            </w:r>
          </w:p>
        </w:tc>
        <w:tc>
          <w:tcPr>
            <w:tcW w:w="537" w:type="pct"/>
            <w:tcBorders>
              <w:top w:val="single" w:color="auto" w:sz="4" w:space="0"/>
              <w:left w:val="nil"/>
              <w:bottom w:val="single" w:color="auto" w:sz="4" w:space="0"/>
              <w:right w:val="single" w:color="auto" w:sz="4" w:space="0"/>
            </w:tcBorders>
            <w:vAlign w:val="center"/>
          </w:tcPr>
          <w:p w14:paraId="0463169A">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eastAsia" w:ascii="Times New Roman" w:hAnsi="Times New Roman" w:cs="Times New Roman"/>
                <w:sz w:val="21"/>
                <w:szCs w:val="21"/>
                <w:highlight w:val="none"/>
                <w:lang w:eastAsia="zh-CN"/>
              </w:rPr>
              <w:t>主任医师</w:t>
            </w:r>
          </w:p>
        </w:tc>
        <w:tc>
          <w:tcPr>
            <w:tcW w:w="422" w:type="pct"/>
            <w:tcBorders>
              <w:top w:val="single" w:color="auto" w:sz="4" w:space="0"/>
              <w:left w:val="nil"/>
              <w:bottom w:val="single" w:color="auto" w:sz="4" w:space="0"/>
              <w:right w:val="single" w:color="auto" w:sz="4" w:space="0"/>
            </w:tcBorders>
            <w:vAlign w:val="center"/>
          </w:tcPr>
          <w:p w14:paraId="455222DA">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本科</w:t>
            </w:r>
          </w:p>
        </w:tc>
        <w:tc>
          <w:tcPr>
            <w:tcW w:w="881" w:type="pct"/>
            <w:tcBorders>
              <w:top w:val="single" w:color="auto" w:sz="4" w:space="0"/>
              <w:left w:val="nil"/>
              <w:bottom w:val="single" w:color="auto" w:sz="4" w:space="0"/>
              <w:right w:val="single" w:color="auto" w:sz="4" w:space="0"/>
            </w:tcBorders>
            <w:vAlign w:val="center"/>
          </w:tcPr>
          <w:p w14:paraId="1450E294">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深圳市第三人民医</w:t>
            </w:r>
            <w:r>
              <w:rPr>
                <w:rFonts w:hint="eastAsia" w:ascii="Times New Roman" w:hAnsi="Times New Roman" w:cs="Times New Roman"/>
                <w:sz w:val="21"/>
                <w:szCs w:val="21"/>
                <w:highlight w:val="none"/>
                <w:lang w:eastAsia="zh-CN"/>
              </w:rPr>
              <w:t>肺病医学部</w:t>
            </w:r>
          </w:p>
        </w:tc>
        <w:tc>
          <w:tcPr>
            <w:tcW w:w="1106" w:type="pct"/>
            <w:tcBorders>
              <w:top w:val="single" w:color="auto" w:sz="4" w:space="0"/>
              <w:left w:val="nil"/>
              <w:bottom w:val="single" w:color="auto" w:sz="4" w:space="0"/>
              <w:right w:val="single" w:color="auto" w:sz="4" w:space="0"/>
            </w:tcBorders>
            <w:vAlign w:val="center"/>
          </w:tcPr>
          <w:p w14:paraId="6A9B263A">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val="en-US" w:eastAsia="zh-CN"/>
              </w:rPr>
              <w:t>课题</w:t>
            </w:r>
            <w:r>
              <w:rPr>
                <w:rFonts w:hint="eastAsia" w:ascii="Times New Roman" w:hAnsi="Times New Roman" w:cs="Times New Roman"/>
                <w:sz w:val="21"/>
                <w:szCs w:val="21"/>
                <w:highlight w:val="none"/>
                <w:lang w:val="en-US" w:eastAsia="zh-CN"/>
              </w:rPr>
              <w:t>指导</w:t>
            </w:r>
          </w:p>
        </w:tc>
        <w:tc>
          <w:tcPr>
            <w:tcW w:w="449" w:type="pct"/>
            <w:tcBorders>
              <w:top w:val="single" w:color="auto" w:sz="4" w:space="0"/>
              <w:left w:val="nil"/>
              <w:bottom w:val="single" w:color="auto" w:sz="4" w:space="0"/>
              <w:right w:val="single" w:color="auto" w:sz="4" w:space="0"/>
            </w:tcBorders>
            <w:vAlign w:val="center"/>
          </w:tcPr>
          <w:p w14:paraId="2555CD37">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p>
        </w:tc>
      </w:tr>
      <w:tr w14:paraId="5601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 w:hRule="atLeast"/>
        </w:trPr>
        <w:tc>
          <w:tcPr>
            <w:tcW w:w="264" w:type="pct"/>
            <w:tcBorders>
              <w:top w:val="single" w:color="auto" w:sz="4" w:space="0"/>
              <w:left w:val="single" w:color="auto" w:sz="4" w:space="0"/>
              <w:bottom w:val="single" w:color="auto" w:sz="4" w:space="0"/>
              <w:right w:val="single" w:color="auto" w:sz="4" w:space="0"/>
            </w:tcBorders>
            <w:vAlign w:val="center"/>
          </w:tcPr>
          <w:p w14:paraId="7861A0D1">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cs="Times New Roman"/>
                <w:sz w:val="21"/>
                <w:szCs w:val="21"/>
                <w:highlight w:val="none"/>
                <w:lang w:val="en-US" w:eastAsia="zh-CN"/>
              </w:rPr>
            </w:pPr>
            <w:r>
              <w:rPr>
                <w:rFonts w:hint="eastAsia" w:ascii="Times New Roman" w:hAnsi="Times New Roman" w:cs="Times New Roman"/>
                <w:sz w:val="21"/>
                <w:szCs w:val="21"/>
                <w:highlight w:val="none"/>
                <w:lang w:val="en-US" w:eastAsia="zh-CN"/>
              </w:rPr>
              <w:t>4</w:t>
            </w:r>
          </w:p>
        </w:tc>
        <w:tc>
          <w:tcPr>
            <w:tcW w:w="540" w:type="pct"/>
            <w:tcBorders>
              <w:top w:val="single" w:color="auto" w:sz="4" w:space="0"/>
              <w:left w:val="nil"/>
              <w:bottom w:val="single" w:color="auto" w:sz="4" w:space="0"/>
              <w:right w:val="single" w:color="auto" w:sz="4" w:space="0"/>
            </w:tcBorders>
            <w:vAlign w:val="center"/>
          </w:tcPr>
          <w:p w14:paraId="0C3F76F5">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val="en-US" w:eastAsia="zh-CN"/>
              </w:rPr>
              <w:t>邓国防</w:t>
            </w:r>
          </w:p>
        </w:tc>
        <w:tc>
          <w:tcPr>
            <w:tcW w:w="514" w:type="pct"/>
            <w:tcBorders>
              <w:top w:val="single" w:color="auto" w:sz="4" w:space="0"/>
              <w:left w:val="nil"/>
              <w:bottom w:val="single" w:color="auto" w:sz="4" w:space="0"/>
              <w:right w:val="single" w:color="auto" w:sz="4" w:space="0"/>
            </w:tcBorders>
            <w:vAlign w:val="center"/>
          </w:tcPr>
          <w:p w14:paraId="31D89B76">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rPr>
              <w:t>1972</w:t>
            </w:r>
            <w:r>
              <w:rPr>
                <w:rFonts w:hint="default" w:ascii="Times New Roman" w:hAnsi="Times New Roman" w:eastAsia="宋体" w:cs="Times New Roman"/>
                <w:sz w:val="21"/>
                <w:szCs w:val="21"/>
                <w:highlight w:val="none"/>
                <w:lang w:val="en-US" w:eastAsia="zh-CN"/>
              </w:rPr>
              <w:t>.0</w:t>
            </w:r>
            <w:r>
              <w:rPr>
                <w:rFonts w:hint="default" w:ascii="Times New Roman" w:hAnsi="Times New Roman" w:eastAsia="宋体" w:cs="Times New Roman"/>
                <w:sz w:val="21"/>
                <w:szCs w:val="21"/>
                <w:highlight w:val="none"/>
              </w:rPr>
              <w:t>9</w:t>
            </w:r>
          </w:p>
        </w:tc>
        <w:tc>
          <w:tcPr>
            <w:tcW w:w="285" w:type="pct"/>
            <w:tcBorders>
              <w:top w:val="single" w:color="auto" w:sz="4" w:space="0"/>
              <w:left w:val="nil"/>
              <w:bottom w:val="single" w:color="auto" w:sz="4" w:space="0"/>
              <w:right w:val="single" w:color="auto" w:sz="4" w:space="0"/>
            </w:tcBorders>
            <w:vAlign w:val="center"/>
          </w:tcPr>
          <w:p w14:paraId="0E199981">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男</w:t>
            </w:r>
          </w:p>
        </w:tc>
        <w:tc>
          <w:tcPr>
            <w:tcW w:w="537" w:type="pct"/>
            <w:tcBorders>
              <w:top w:val="single" w:color="auto" w:sz="4" w:space="0"/>
              <w:left w:val="nil"/>
              <w:bottom w:val="single" w:color="auto" w:sz="4" w:space="0"/>
              <w:right w:val="single" w:color="auto" w:sz="4" w:space="0"/>
            </w:tcBorders>
            <w:vAlign w:val="center"/>
          </w:tcPr>
          <w:p w14:paraId="2AC42114">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主任医师</w:t>
            </w:r>
          </w:p>
        </w:tc>
        <w:tc>
          <w:tcPr>
            <w:tcW w:w="422" w:type="pct"/>
            <w:tcBorders>
              <w:top w:val="single" w:color="auto" w:sz="4" w:space="0"/>
              <w:left w:val="nil"/>
              <w:bottom w:val="single" w:color="auto" w:sz="4" w:space="0"/>
              <w:right w:val="single" w:color="auto" w:sz="4" w:space="0"/>
            </w:tcBorders>
            <w:vAlign w:val="center"/>
          </w:tcPr>
          <w:p w14:paraId="0726C2F1">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cs="Times New Roman"/>
                <w:kern w:val="2"/>
                <w:sz w:val="21"/>
                <w:szCs w:val="21"/>
                <w:highlight w:val="none"/>
                <w:lang w:val="en-US" w:eastAsia="zh-CN" w:bidi="ar-SA"/>
              </w:rPr>
              <w:t>硕士</w:t>
            </w:r>
          </w:p>
        </w:tc>
        <w:tc>
          <w:tcPr>
            <w:tcW w:w="881" w:type="pct"/>
            <w:tcBorders>
              <w:top w:val="single" w:color="auto" w:sz="4" w:space="0"/>
              <w:left w:val="nil"/>
              <w:bottom w:val="single" w:color="auto" w:sz="4" w:space="0"/>
              <w:right w:val="single" w:color="auto" w:sz="4" w:space="0"/>
            </w:tcBorders>
            <w:vAlign w:val="center"/>
          </w:tcPr>
          <w:p w14:paraId="3E0BDD0D">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深圳市第三人民医院肺二科</w:t>
            </w:r>
          </w:p>
        </w:tc>
        <w:tc>
          <w:tcPr>
            <w:tcW w:w="1106" w:type="pct"/>
            <w:tcBorders>
              <w:top w:val="single" w:color="auto" w:sz="4" w:space="0"/>
              <w:left w:val="nil"/>
              <w:bottom w:val="single" w:color="auto" w:sz="4" w:space="0"/>
              <w:right w:val="single" w:color="auto" w:sz="4" w:space="0"/>
            </w:tcBorders>
            <w:vAlign w:val="center"/>
          </w:tcPr>
          <w:p w14:paraId="571B201B">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val="en-US" w:eastAsia="zh-CN"/>
              </w:rPr>
              <w:t>课题</w:t>
            </w:r>
            <w:r>
              <w:rPr>
                <w:rFonts w:hint="eastAsia" w:ascii="Times New Roman" w:hAnsi="Times New Roman" w:cs="Times New Roman"/>
                <w:sz w:val="21"/>
                <w:szCs w:val="21"/>
                <w:highlight w:val="none"/>
                <w:lang w:val="en-US" w:eastAsia="zh-CN"/>
              </w:rPr>
              <w:t>指导</w:t>
            </w:r>
          </w:p>
        </w:tc>
        <w:tc>
          <w:tcPr>
            <w:tcW w:w="449" w:type="pct"/>
            <w:tcBorders>
              <w:top w:val="single" w:color="auto" w:sz="4" w:space="0"/>
              <w:left w:val="nil"/>
              <w:bottom w:val="single" w:color="auto" w:sz="4" w:space="0"/>
              <w:right w:val="single" w:color="auto" w:sz="4" w:space="0"/>
            </w:tcBorders>
            <w:vAlign w:val="center"/>
          </w:tcPr>
          <w:p w14:paraId="6C77138F">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p>
        </w:tc>
      </w:tr>
      <w:tr w14:paraId="15C7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trPr>
        <w:tc>
          <w:tcPr>
            <w:tcW w:w="264" w:type="pct"/>
            <w:tcBorders>
              <w:top w:val="single" w:color="auto" w:sz="4" w:space="0"/>
              <w:left w:val="single" w:color="auto" w:sz="4" w:space="0"/>
              <w:bottom w:val="single" w:color="auto" w:sz="4" w:space="0"/>
              <w:right w:val="single" w:color="auto" w:sz="4" w:space="0"/>
            </w:tcBorders>
            <w:vAlign w:val="center"/>
          </w:tcPr>
          <w:p w14:paraId="1D2DC61D">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5</w:t>
            </w:r>
          </w:p>
        </w:tc>
        <w:tc>
          <w:tcPr>
            <w:tcW w:w="540" w:type="pct"/>
            <w:tcBorders>
              <w:top w:val="single" w:color="auto" w:sz="4" w:space="0"/>
              <w:left w:val="nil"/>
              <w:bottom w:val="single" w:color="auto" w:sz="4" w:space="0"/>
              <w:right w:val="single" w:color="auto" w:sz="4" w:space="0"/>
            </w:tcBorders>
            <w:vAlign w:val="center"/>
          </w:tcPr>
          <w:p w14:paraId="0D4E2915">
            <w:pPr>
              <w:keepNext w:val="0"/>
              <w:keepLines w:val="0"/>
              <w:suppressLineNumbers w:val="0"/>
              <w:spacing w:before="0" w:beforeAutospacing="0" w:after="0" w:afterAutospacing="0"/>
              <w:ind w:left="-106" w:leftChars="0" w:right="-107" w:rightChars="0" w:firstLine="105" w:firstLineChars="50"/>
              <w:rPr>
                <w:rFonts w:hint="default" w:ascii="宋体" w:hAnsi="宋体" w:eastAsia="宋体" w:cs="宋体"/>
                <w:kern w:val="2"/>
                <w:sz w:val="21"/>
                <w:szCs w:val="21"/>
                <w:lang w:val="en-US" w:eastAsia="zh-CN" w:bidi="ar-SA"/>
              </w:rPr>
            </w:pPr>
            <w:r>
              <w:rPr>
                <w:rFonts w:hint="eastAsia" w:ascii="宋体" w:hAnsi="宋体" w:cs="宋体"/>
                <w:szCs w:val="21"/>
              </w:rPr>
              <w:t>张培泽</w:t>
            </w:r>
          </w:p>
        </w:tc>
        <w:tc>
          <w:tcPr>
            <w:tcW w:w="514" w:type="pct"/>
            <w:tcBorders>
              <w:top w:val="single" w:color="auto" w:sz="4" w:space="0"/>
              <w:left w:val="nil"/>
              <w:bottom w:val="single" w:color="auto" w:sz="4" w:space="0"/>
              <w:right w:val="single" w:color="auto" w:sz="4" w:space="0"/>
            </w:tcBorders>
            <w:vAlign w:val="center"/>
          </w:tcPr>
          <w:p w14:paraId="66B59E71">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1977.10</w:t>
            </w:r>
          </w:p>
        </w:tc>
        <w:tc>
          <w:tcPr>
            <w:tcW w:w="285" w:type="pct"/>
            <w:tcBorders>
              <w:top w:val="single" w:color="auto" w:sz="4" w:space="0"/>
              <w:left w:val="nil"/>
              <w:bottom w:val="single" w:color="auto" w:sz="4" w:space="0"/>
              <w:right w:val="single" w:color="auto" w:sz="4" w:space="0"/>
            </w:tcBorders>
            <w:vAlign w:val="center"/>
          </w:tcPr>
          <w:p w14:paraId="437721D2">
            <w:pPr>
              <w:keepNext w:val="0"/>
              <w:keepLines w:val="0"/>
              <w:suppressLineNumbers w:val="0"/>
              <w:spacing w:before="0" w:beforeAutospacing="0" w:after="0" w:afterAutospacing="0"/>
              <w:ind w:left="0" w:leftChars="0" w:right="0" w:rightChars="0"/>
              <w:jc w:val="center"/>
              <w:rPr>
                <w:rFonts w:hint="default" w:ascii="宋体" w:hAnsi="宋体" w:eastAsia="宋体" w:cs="宋体"/>
                <w:kern w:val="2"/>
                <w:sz w:val="21"/>
                <w:szCs w:val="21"/>
                <w:lang w:val="en-US" w:eastAsia="zh-CN" w:bidi="ar-SA"/>
              </w:rPr>
            </w:pPr>
            <w:r>
              <w:rPr>
                <w:rFonts w:hint="eastAsia" w:ascii="宋体" w:hAnsi="宋体" w:cs="宋体"/>
                <w:szCs w:val="21"/>
              </w:rPr>
              <w:t>女</w:t>
            </w:r>
          </w:p>
        </w:tc>
        <w:tc>
          <w:tcPr>
            <w:tcW w:w="537" w:type="pct"/>
            <w:tcBorders>
              <w:top w:val="single" w:color="auto" w:sz="4" w:space="0"/>
              <w:left w:val="nil"/>
              <w:bottom w:val="single" w:color="auto" w:sz="4" w:space="0"/>
              <w:right w:val="single" w:color="auto" w:sz="4" w:space="0"/>
            </w:tcBorders>
            <w:vAlign w:val="center"/>
          </w:tcPr>
          <w:p w14:paraId="4D40C7AE">
            <w:pPr>
              <w:keepNext w:val="0"/>
              <w:keepLines w:val="0"/>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SA"/>
              </w:rPr>
            </w:pPr>
            <w:r>
              <w:rPr>
                <w:rFonts w:hint="eastAsia" w:ascii="宋体" w:hAnsi="宋体" w:cs="宋体"/>
                <w:szCs w:val="21"/>
              </w:rPr>
              <w:t>副主任医师</w:t>
            </w:r>
          </w:p>
        </w:tc>
        <w:tc>
          <w:tcPr>
            <w:tcW w:w="422" w:type="pct"/>
            <w:tcBorders>
              <w:top w:val="single" w:color="auto" w:sz="4" w:space="0"/>
              <w:left w:val="nil"/>
              <w:bottom w:val="single" w:color="auto" w:sz="4" w:space="0"/>
              <w:right w:val="single" w:color="auto" w:sz="4" w:space="0"/>
            </w:tcBorders>
            <w:vAlign w:val="center"/>
          </w:tcPr>
          <w:p w14:paraId="07C1B610">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博士</w:t>
            </w:r>
          </w:p>
        </w:tc>
        <w:tc>
          <w:tcPr>
            <w:tcW w:w="881" w:type="pct"/>
            <w:tcBorders>
              <w:top w:val="single" w:color="auto" w:sz="4" w:space="0"/>
              <w:left w:val="nil"/>
              <w:bottom w:val="single" w:color="auto" w:sz="4" w:space="0"/>
              <w:right w:val="single" w:color="auto" w:sz="4" w:space="0"/>
            </w:tcBorders>
            <w:vAlign w:val="center"/>
          </w:tcPr>
          <w:p w14:paraId="4DA800B7">
            <w:pPr>
              <w:keepNext w:val="0"/>
              <w:keepLines w:val="0"/>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SA"/>
              </w:rPr>
            </w:pPr>
            <w:r>
              <w:rPr>
                <w:rFonts w:hint="eastAsia" w:ascii="宋体" w:hAnsi="宋体" w:cs="宋体"/>
                <w:szCs w:val="21"/>
              </w:rPr>
              <w:t>深圳市第三人民医院肺二科</w:t>
            </w:r>
          </w:p>
        </w:tc>
        <w:tc>
          <w:tcPr>
            <w:tcW w:w="1106" w:type="pct"/>
            <w:tcBorders>
              <w:top w:val="single" w:color="auto" w:sz="4" w:space="0"/>
              <w:left w:val="nil"/>
              <w:bottom w:val="single" w:color="auto" w:sz="4" w:space="0"/>
              <w:right w:val="single" w:color="auto" w:sz="4" w:space="0"/>
            </w:tcBorders>
            <w:vAlign w:val="center"/>
          </w:tcPr>
          <w:p w14:paraId="07FB8B47">
            <w:pPr>
              <w:keepNext w:val="0"/>
              <w:keepLines w:val="0"/>
              <w:suppressLineNumbers w:val="0"/>
              <w:spacing w:before="0" w:beforeAutospacing="0" w:after="0" w:afterAutospacing="0"/>
              <w:ind w:left="0" w:leftChars="0" w:right="0" w:rightChars="0"/>
              <w:jc w:val="left"/>
              <w:rPr>
                <w:rFonts w:hint="default" w:ascii="宋体" w:hAnsi="宋体" w:eastAsia="宋体" w:cs="宋体"/>
                <w:kern w:val="2"/>
                <w:sz w:val="21"/>
                <w:szCs w:val="21"/>
                <w:lang w:val="en-US" w:eastAsia="zh-CN" w:bidi="ar-SA"/>
              </w:rPr>
            </w:pPr>
            <w:r>
              <w:rPr>
                <w:rFonts w:hint="eastAsia"/>
              </w:rPr>
              <w:t>课题设计、实施、分析</w:t>
            </w:r>
          </w:p>
        </w:tc>
        <w:tc>
          <w:tcPr>
            <w:tcW w:w="449" w:type="pct"/>
            <w:tcBorders>
              <w:top w:val="single" w:color="auto" w:sz="4" w:space="0"/>
              <w:left w:val="nil"/>
              <w:bottom w:val="single" w:color="auto" w:sz="4" w:space="0"/>
              <w:right w:val="single" w:color="auto" w:sz="4" w:space="0"/>
            </w:tcBorders>
          </w:tcPr>
          <w:p w14:paraId="42267A3E">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1"/>
                <w:szCs w:val="21"/>
                <w:highlight w:val="none"/>
              </w:rPr>
            </w:pPr>
          </w:p>
        </w:tc>
      </w:tr>
      <w:tr w14:paraId="20D0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trPr>
        <w:tc>
          <w:tcPr>
            <w:tcW w:w="264" w:type="pct"/>
            <w:tcBorders>
              <w:top w:val="single" w:color="auto" w:sz="4" w:space="0"/>
              <w:left w:val="single" w:color="auto" w:sz="4" w:space="0"/>
              <w:bottom w:val="single" w:color="auto" w:sz="4" w:space="0"/>
              <w:right w:val="single" w:color="auto" w:sz="4" w:space="0"/>
            </w:tcBorders>
            <w:vAlign w:val="center"/>
          </w:tcPr>
          <w:p w14:paraId="367BEF5C">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6</w:t>
            </w:r>
          </w:p>
        </w:tc>
        <w:tc>
          <w:tcPr>
            <w:tcW w:w="540" w:type="pct"/>
            <w:tcBorders>
              <w:top w:val="single" w:color="auto" w:sz="4" w:space="0"/>
              <w:left w:val="nil"/>
              <w:bottom w:val="single" w:color="auto" w:sz="4" w:space="0"/>
              <w:right w:val="single" w:color="auto" w:sz="4" w:space="0"/>
            </w:tcBorders>
            <w:vAlign w:val="center"/>
          </w:tcPr>
          <w:p w14:paraId="04C7DC23">
            <w:pPr>
              <w:keepNext w:val="0"/>
              <w:keepLines w:val="0"/>
              <w:suppressLineNumbers w:val="0"/>
              <w:spacing w:before="0" w:beforeAutospacing="0" w:after="0" w:afterAutospacing="0"/>
              <w:ind w:left="-106" w:leftChars="0" w:right="-107" w:rightChars="0" w:firstLine="105" w:firstLineChars="50"/>
              <w:rPr>
                <w:rFonts w:hint="eastAsia" w:ascii="宋体" w:hAnsi="宋体" w:eastAsia="宋体" w:cs="宋体"/>
                <w:szCs w:val="21"/>
                <w:lang w:eastAsia="zh-CN"/>
              </w:rPr>
            </w:pPr>
            <w:r>
              <w:rPr>
                <w:rFonts w:hint="eastAsia" w:ascii="宋体" w:hAnsi="宋体" w:cs="宋体"/>
                <w:szCs w:val="21"/>
                <w:lang w:eastAsia="zh-CN"/>
              </w:rPr>
              <w:t>陈超</w:t>
            </w:r>
          </w:p>
        </w:tc>
        <w:tc>
          <w:tcPr>
            <w:tcW w:w="514" w:type="pct"/>
            <w:tcBorders>
              <w:top w:val="single" w:color="auto" w:sz="4" w:space="0"/>
              <w:left w:val="nil"/>
              <w:bottom w:val="single" w:color="auto" w:sz="4" w:space="0"/>
              <w:right w:val="single" w:color="auto" w:sz="4" w:space="0"/>
            </w:tcBorders>
            <w:vAlign w:val="center"/>
          </w:tcPr>
          <w:p w14:paraId="5CB6736F">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1984.11</w:t>
            </w:r>
          </w:p>
        </w:tc>
        <w:tc>
          <w:tcPr>
            <w:tcW w:w="285" w:type="pct"/>
            <w:tcBorders>
              <w:top w:val="single" w:color="auto" w:sz="4" w:space="0"/>
              <w:left w:val="nil"/>
              <w:bottom w:val="single" w:color="auto" w:sz="4" w:space="0"/>
              <w:right w:val="single" w:color="auto" w:sz="4" w:space="0"/>
            </w:tcBorders>
            <w:vAlign w:val="center"/>
          </w:tcPr>
          <w:p w14:paraId="75163AE7">
            <w:pPr>
              <w:keepNext w:val="0"/>
              <w:keepLines w:val="0"/>
              <w:suppressLineNumbers w:val="0"/>
              <w:spacing w:before="0" w:beforeAutospacing="0" w:after="0" w:afterAutospacing="0"/>
              <w:ind w:left="0" w:leftChars="0" w:right="0" w:rightChars="0"/>
              <w:jc w:val="center"/>
              <w:rPr>
                <w:rFonts w:hint="eastAsia" w:ascii="宋体" w:hAnsi="宋体" w:eastAsia="宋体" w:cs="宋体"/>
                <w:szCs w:val="21"/>
                <w:lang w:eastAsia="zh-CN"/>
              </w:rPr>
            </w:pPr>
            <w:r>
              <w:rPr>
                <w:rFonts w:hint="eastAsia" w:ascii="宋体" w:hAnsi="宋体" w:cs="宋体"/>
                <w:szCs w:val="21"/>
                <w:lang w:eastAsia="zh-CN"/>
              </w:rPr>
              <w:t>女</w:t>
            </w:r>
          </w:p>
        </w:tc>
        <w:tc>
          <w:tcPr>
            <w:tcW w:w="537" w:type="pct"/>
            <w:tcBorders>
              <w:top w:val="single" w:color="auto" w:sz="4" w:space="0"/>
              <w:left w:val="nil"/>
              <w:bottom w:val="single" w:color="auto" w:sz="4" w:space="0"/>
              <w:right w:val="single" w:color="auto" w:sz="4" w:space="0"/>
            </w:tcBorders>
            <w:vAlign w:val="center"/>
          </w:tcPr>
          <w:p w14:paraId="4F764346">
            <w:pPr>
              <w:keepNext w:val="0"/>
              <w:keepLines w:val="0"/>
              <w:suppressLineNumbers w:val="0"/>
              <w:spacing w:before="0" w:beforeAutospacing="0" w:after="0" w:afterAutospacing="0"/>
              <w:ind w:left="0" w:leftChars="0" w:right="0" w:rightChars="0"/>
              <w:jc w:val="left"/>
              <w:rPr>
                <w:rFonts w:hint="eastAsia" w:ascii="宋体" w:hAnsi="宋体" w:cs="宋体"/>
                <w:szCs w:val="21"/>
              </w:rPr>
            </w:pPr>
            <w:r>
              <w:rPr>
                <w:rFonts w:hint="eastAsia" w:ascii="宋体" w:hAnsi="宋体" w:cs="宋体"/>
                <w:szCs w:val="21"/>
              </w:rPr>
              <w:t>主管药师</w:t>
            </w:r>
          </w:p>
        </w:tc>
        <w:tc>
          <w:tcPr>
            <w:tcW w:w="422" w:type="pct"/>
            <w:tcBorders>
              <w:top w:val="single" w:color="auto" w:sz="4" w:space="0"/>
              <w:left w:val="nil"/>
              <w:bottom w:val="single" w:color="auto" w:sz="4" w:space="0"/>
              <w:right w:val="single" w:color="auto" w:sz="4" w:space="0"/>
            </w:tcBorders>
            <w:vAlign w:val="center"/>
          </w:tcPr>
          <w:p w14:paraId="5D815528">
            <w:pPr>
              <w:keepNext w:val="0"/>
              <w:keepLines w:val="0"/>
              <w:suppressLineNumbers w:val="0"/>
              <w:spacing w:before="0" w:beforeAutospacing="0" w:after="0" w:afterAutospacing="0" w:line="360" w:lineRule="auto"/>
              <w:ind w:left="-40" w:leftChars="0" w:right="0" w:rightChars="0" w:hanging="2" w:firstLineChars="0"/>
              <w:jc w:val="left"/>
              <w:rPr>
                <w:rFonts w:hint="eastAsia" w:ascii="Times New Roman" w:hAnsi="Times New Roman"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硕士</w:t>
            </w:r>
          </w:p>
        </w:tc>
        <w:tc>
          <w:tcPr>
            <w:tcW w:w="881" w:type="pct"/>
            <w:tcBorders>
              <w:top w:val="single" w:color="auto" w:sz="4" w:space="0"/>
              <w:left w:val="nil"/>
              <w:bottom w:val="single" w:color="auto" w:sz="4" w:space="0"/>
              <w:right w:val="single" w:color="auto" w:sz="4" w:space="0"/>
            </w:tcBorders>
            <w:vAlign w:val="center"/>
          </w:tcPr>
          <w:p w14:paraId="19A20FF8">
            <w:pPr>
              <w:keepNext w:val="0"/>
              <w:keepLines w:val="0"/>
              <w:suppressLineNumbers w:val="0"/>
              <w:spacing w:before="0" w:beforeAutospacing="0" w:after="0" w:afterAutospacing="0"/>
              <w:ind w:left="0" w:leftChars="0" w:right="0" w:rightChars="0"/>
              <w:jc w:val="left"/>
              <w:rPr>
                <w:rFonts w:hint="eastAsia" w:ascii="宋体" w:hAnsi="宋体" w:eastAsia="宋体" w:cs="宋体"/>
                <w:szCs w:val="21"/>
                <w:lang w:eastAsia="zh-CN"/>
              </w:rPr>
            </w:pPr>
            <w:r>
              <w:rPr>
                <w:rFonts w:hint="eastAsia" w:ascii="宋体" w:hAnsi="宋体" w:cs="宋体"/>
                <w:szCs w:val="21"/>
                <w:lang w:eastAsia="zh-CN"/>
              </w:rPr>
              <w:t>深圳市第三人民医院药剂科</w:t>
            </w:r>
          </w:p>
        </w:tc>
        <w:tc>
          <w:tcPr>
            <w:tcW w:w="1106" w:type="pct"/>
            <w:tcBorders>
              <w:top w:val="single" w:color="auto" w:sz="4" w:space="0"/>
              <w:left w:val="nil"/>
              <w:bottom w:val="single" w:color="auto" w:sz="4" w:space="0"/>
              <w:right w:val="single" w:color="auto" w:sz="4" w:space="0"/>
            </w:tcBorders>
            <w:vAlign w:val="center"/>
          </w:tcPr>
          <w:p w14:paraId="2809DE60">
            <w:pPr>
              <w:keepNext w:val="0"/>
              <w:keepLines w:val="0"/>
              <w:suppressLineNumbers w:val="0"/>
              <w:spacing w:before="0" w:beforeAutospacing="0" w:after="0" w:afterAutospacing="0"/>
              <w:ind w:left="0" w:leftChars="0" w:right="0" w:rightChars="0"/>
              <w:jc w:val="left"/>
              <w:rPr>
                <w:rFonts w:hint="eastAsia" w:eastAsia="宋体"/>
                <w:lang w:eastAsia="zh-CN"/>
              </w:rPr>
            </w:pPr>
            <w:r>
              <w:rPr>
                <w:rFonts w:hint="eastAsia"/>
                <w:lang w:eastAsia="zh-CN"/>
              </w:rPr>
              <w:t>药物管理和药学研究</w:t>
            </w:r>
          </w:p>
        </w:tc>
        <w:tc>
          <w:tcPr>
            <w:tcW w:w="449" w:type="pct"/>
            <w:tcBorders>
              <w:top w:val="single" w:color="auto" w:sz="4" w:space="0"/>
              <w:left w:val="nil"/>
              <w:bottom w:val="single" w:color="auto" w:sz="4" w:space="0"/>
              <w:right w:val="single" w:color="auto" w:sz="4" w:space="0"/>
            </w:tcBorders>
          </w:tcPr>
          <w:p w14:paraId="05F05192">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1"/>
                <w:szCs w:val="21"/>
                <w:highlight w:val="none"/>
              </w:rPr>
            </w:pPr>
          </w:p>
        </w:tc>
      </w:tr>
      <w:tr w14:paraId="1629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trPr>
        <w:tc>
          <w:tcPr>
            <w:tcW w:w="264" w:type="pct"/>
            <w:tcBorders>
              <w:top w:val="single" w:color="auto" w:sz="4" w:space="0"/>
              <w:left w:val="single" w:color="auto" w:sz="4" w:space="0"/>
              <w:bottom w:val="single" w:color="auto" w:sz="4" w:space="0"/>
              <w:right w:val="single" w:color="auto" w:sz="4" w:space="0"/>
            </w:tcBorders>
            <w:vAlign w:val="center"/>
          </w:tcPr>
          <w:p w14:paraId="5F49440B">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sz w:val="21"/>
                <w:szCs w:val="21"/>
                <w:highlight w:val="none"/>
                <w:lang w:val="en-US" w:eastAsia="zh-CN"/>
              </w:rPr>
              <w:t>7</w:t>
            </w:r>
          </w:p>
        </w:tc>
        <w:tc>
          <w:tcPr>
            <w:tcW w:w="540" w:type="pct"/>
            <w:tcBorders>
              <w:top w:val="single" w:color="auto" w:sz="4" w:space="0"/>
              <w:left w:val="nil"/>
              <w:bottom w:val="single" w:color="auto" w:sz="4" w:space="0"/>
              <w:right w:val="single" w:color="auto" w:sz="4" w:space="0"/>
            </w:tcBorders>
            <w:vAlign w:val="center"/>
          </w:tcPr>
          <w:p w14:paraId="5E1FC8C0">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lang w:eastAsia="zh-CN"/>
              </w:rPr>
              <w:t>杨倩婷</w:t>
            </w:r>
          </w:p>
        </w:tc>
        <w:tc>
          <w:tcPr>
            <w:tcW w:w="514" w:type="pct"/>
            <w:tcBorders>
              <w:top w:val="single" w:color="auto" w:sz="4" w:space="0"/>
              <w:left w:val="nil"/>
              <w:bottom w:val="single" w:color="auto" w:sz="4" w:space="0"/>
              <w:right w:val="single" w:color="auto" w:sz="4" w:space="0"/>
            </w:tcBorders>
            <w:vAlign w:val="center"/>
          </w:tcPr>
          <w:p w14:paraId="44C55E2E">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1982.06</w:t>
            </w:r>
          </w:p>
        </w:tc>
        <w:tc>
          <w:tcPr>
            <w:tcW w:w="285" w:type="pct"/>
            <w:tcBorders>
              <w:top w:val="single" w:color="auto" w:sz="4" w:space="0"/>
              <w:left w:val="nil"/>
              <w:bottom w:val="single" w:color="auto" w:sz="4" w:space="0"/>
              <w:right w:val="single" w:color="auto" w:sz="4" w:space="0"/>
            </w:tcBorders>
            <w:vAlign w:val="center"/>
          </w:tcPr>
          <w:p w14:paraId="5B0C353B">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lang w:eastAsia="zh-CN"/>
              </w:rPr>
              <w:t>女</w:t>
            </w:r>
          </w:p>
        </w:tc>
        <w:tc>
          <w:tcPr>
            <w:tcW w:w="537" w:type="pct"/>
            <w:tcBorders>
              <w:top w:val="single" w:color="auto" w:sz="4" w:space="0"/>
              <w:left w:val="nil"/>
              <w:bottom w:val="single" w:color="auto" w:sz="4" w:space="0"/>
              <w:right w:val="single" w:color="auto" w:sz="4" w:space="0"/>
            </w:tcBorders>
            <w:vAlign w:val="center"/>
          </w:tcPr>
          <w:p w14:paraId="6F4185EB">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lang w:eastAsia="zh-CN"/>
              </w:rPr>
              <w:t>副主任医师</w:t>
            </w:r>
          </w:p>
        </w:tc>
        <w:tc>
          <w:tcPr>
            <w:tcW w:w="422" w:type="pct"/>
            <w:tcBorders>
              <w:top w:val="single" w:color="auto" w:sz="4" w:space="0"/>
              <w:left w:val="nil"/>
              <w:bottom w:val="single" w:color="auto" w:sz="4" w:space="0"/>
              <w:right w:val="single" w:color="auto" w:sz="4" w:space="0"/>
            </w:tcBorders>
            <w:vAlign w:val="center"/>
          </w:tcPr>
          <w:p w14:paraId="4E147D70">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cs="Times New Roman"/>
                <w:kern w:val="2"/>
                <w:sz w:val="21"/>
                <w:szCs w:val="21"/>
                <w:highlight w:val="none"/>
                <w:lang w:val="en-US" w:eastAsia="zh-CN" w:bidi="ar-SA"/>
              </w:rPr>
            </w:pPr>
            <w:r>
              <w:rPr>
                <w:rFonts w:hint="default" w:ascii="Times New Roman" w:hAnsi="Times New Roman" w:cs="Times New Roman"/>
                <w:kern w:val="2"/>
                <w:sz w:val="21"/>
                <w:szCs w:val="21"/>
                <w:highlight w:val="none"/>
                <w:lang w:val="en-US" w:eastAsia="zh-CN" w:bidi="ar-SA"/>
              </w:rPr>
              <w:t>博士</w:t>
            </w:r>
          </w:p>
        </w:tc>
        <w:tc>
          <w:tcPr>
            <w:tcW w:w="881" w:type="pct"/>
            <w:tcBorders>
              <w:top w:val="single" w:color="auto" w:sz="4" w:space="0"/>
              <w:left w:val="nil"/>
              <w:bottom w:val="single" w:color="auto" w:sz="4" w:space="0"/>
              <w:right w:val="single" w:color="auto" w:sz="4" w:space="0"/>
            </w:tcBorders>
            <w:vAlign w:val="center"/>
          </w:tcPr>
          <w:p w14:paraId="6C1A5272">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lang w:eastAsia="zh-CN"/>
              </w:rPr>
              <w:t>深圳市第三人民医院研究所</w:t>
            </w:r>
          </w:p>
        </w:tc>
        <w:tc>
          <w:tcPr>
            <w:tcW w:w="1106" w:type="pct"/>
            <w:tcBorders>
              <w:top w:val="single" w:color="auto" w:sz="4" w:space="0"/>
              <w:left w:val="nil"/>
              <w:bottom w:val="single" w:color="auto" w:sz="4" w:space="0"/>
              <w:right w:val="single" w:color="auto" w:sz="4" w:space="0"/>
            </w:tcBorders>
            <w:vAlign w:val="center"/>
          </w:tcPr>
          <w:p w14:paraId="796A9C77">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队列样本</w:t>
            </w:r>
            <w:r>
              <w:rPr>
                <w:rFonts w:hint="eastAsia" w:ascii="Times New Roman" w:hAnsi="Times New Roman" w:cs="Times New Roman"/>
                <w:sz w:val="21"/>
                <w:szCs w:val="21"/>
                <w:highlight w:val="none"/>
                <w:lang w:val="en-US" w:eastAsia="zh-CN"/>
              </w:rPr>
              <w:t>管理</w:t>
            </w:r>
          </w:p>
        </w:tc>
        <w:tc>
          <w:tcPr>
            <w:tcW w:w="449" w:type="pct"/>
            <w:tcBorders>
              <w:top w:val="single" w:color="auto" w:sz="4" w:space="0"/>
              <w:left w:val="nil"/>
              <w:bottom w:val="single" w:color="auto" w:sz="4" w:space="0"/>
              <w:right w:val="single" w:color="auto" w:sz="4" w:space="0"/>
            </w:tcBorders>
          </w:tcPr>
          <w:p w14:paraId="49A12109">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1"/>
                <w:szCs w:val="21"/>
                <w:highlight w:val="none"/>
              </w:rPr>
            </w:pPr>
          </w:p>
        </w:tc>
      </w:tr>
      <w:tr w14:paraId="40111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trPr>
        <w:tc>
          <w:tcPr>
            <w:tcW w:w="264" w:type="pct"/>
            <w:tcBorders>
              <w:top w:val="single" w:color="auto" w:sz="4" w:space="0"/>
              <w:left w:val="single" w:color="auto" w:sz="4" w:space="0"/>
              <w:bottom w:val="single" w:color="auto" w:sz="4" w:space="0"/>
              <w:right w:val="single" w:color="auto" w:sz="4" w:space="0"/>
            </w:tcBorders>
            <w:vAlign w:val="center"/>
          </w:tcPr>
          <w:p w14:paraId="5EF055CE">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r>
              <w:rPr>
                <w:rFonts w:hint="eastAsia" w:ascii="Times New Roman" w:hAnsi="Times New Roman" w:cs="Times New Roman"/>
                <w:sz w:val="21"/>
                <w:szCs w:val="21"/>
                <w:highlight w:val="none"/>
                <w:lang w:val="en-US" w:eastAsia="zh-CN"/>
              </w:rPr>
              <w:t>8</w:t>
            </w:r>
          </w:p>
        </w:tc>
        <w:tc>
          <w:tcPr>
            <w:tcW w:w="540" w:type="pct"/>
            <w:tcBorders>
              <w:top w:val="single" w:color="auto" w:sz="4" w:space="0"/>
              <w:left w:val="nil"/>
              <w:bottom w:val="single" w:color="auto" w:sz="4" w:space="0"/>
              <w:right w:val="single" w:color="auto" w:sz="4" w:space="0"/>
            </w:tcBorders>
            <w:vAlign w:val="center"/>
          </w:tcPr>
          <w:p w14:paraId="108A8ACE">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eastAsia="zh-CN"/>
              </w:rPr>
            </w:pPr>
            <w:r>
              <w:rPr>
                <w:rFonts w:hint="eastAsia" w:ascii="Times New Roman" w:hAnsi="Times New Roman" w:cs="Times New Roman"/>
                <w:sz w:val="21"/>
                <w:szCs w:val="21"/>
                <w:highlight w:val="none"/>
                <w:lang w:eastAsia="zh-CN"/>
              </w:rPr>
              <w:t>李静</w:t>
            </w:r>
          </w:p>
        </w:tc>
        <w:tc>
          <w:tcPr>
            <w:tcW w:w="514" w:type="pct"/>
            <w:tcBorders>
              <w:top w:val="single" w:color="auto" w:sz="4" w:space="0"/>
              <w:left w:val="nil"/>
              <w:bottom w:val="single" w:color="auto" w:sz="4" w:space="0"/>
              <w:right w:val="single" w:color="auto" w:sz="4" w:space="0"/>
            </w:tcBorders>
            <w:vAlign w:val="center"/>
          </w:tcPr>
          <w:p w14:paraId="1B804705">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1986</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05</w:t>
            </w:r>
          </w:p>
        </w:tc>
        <w:tc>
          <w:tcPr>
            <w:tcW w:w="285" w:type="pct"/>
            <w:tcBorders>
              <w:top w:val="single" w:color="auto" w:sz="4" w:space="0"/>
              <w:left w:val="nil"/>
              <w:bottom w:val="single" w:color="auto" w:sz="4" w:space="0"/>
              <w:right w:val="single" w:color="auto" w:sz="4" w:space="0"/>
            </w:tcBorders>
            <w:vAlign w:val="center"/>
          </w:tcPr>
          <w:p w14:paraId="0F673183">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eastAsia="zh-CN"/>
              </w:rPr>
            </w:pPr>
            <w:r>
              <w:rPr>
                <w:rFonts w:hint="eastAsia" w:ascii="Times New Roman" w:hAnsi="Times New Roman" w:cs="Times New Roman"/>
                <w:sz w:val="21"/>
                <w:szCs w:val="21"/>
                <w:highlight w:val="none"/>
                <w:lang w:eastAsia="zh-CN"/>
              </w:rPr>
              <w:t>女</w:t>
            </w:r>
          </w:p>
        </w:tc>
        <w:tc>
          <w:tcPr>
            <w:tcW w:w="537" w:type="pct"/>
            <w:tcBorders>
              <w:top w:val="single" w:color="auto" w:sz="4" w:space="0"/>
              <w:left w:val="nil"/>
              <w:bottom w:val="single" w:color="auto" w:sz="4" w:space="0"/>
              <w:right w:val="single" w:color="auto" w:sz="4" w:space="0"/>
            </w:tcBorders>
            <w:vAlign w:val="center"/>
          </w:tcPr>
          <w:p w14:paraId="75D748A9">
            <w:pPr>
              <w:keepNext w:val="0"/>
              <w:keepLines w:val="0"/>
              <w:suppressLineNumbers w:val="0"/>
              <w:spacing w:before="0" w:beforeAutospacing="0" w:after="0" w:afterAutospacing="0" w:line="360" w:lineRule="auto"/>
              <w:ind w:left="-40" w:leftChars="0" w:right="0" w:hanging="2" w:firstLineChars="0"/>
              <w:jc w:val="left"/>
              <w:rPr>
                <w:rFonts w:hint="default" w:ascii="Times New Roman" w:hAnsi="Times New Roman" w:eastAsia="宋体" w:cs="Times New Roman"/>
                <w:sz w:val="21"/>
                <w:szCs w:val="21"/>
                <w:highlight w:val="none"/>
                <w:lang w:eastAsia="zh-CN"/>
              </w:rPr>
            </w:pPr>
            <w:r>
              <w:rPr>
                <w:rFonts w:hint="default" w:ascii="Times New Roman" w:hAnsi="Times New Roman" w:eastAsia="宋体" w:cs="Times New Roman"/>
                <w:sz w:val="21"/>
                <w:szCs w:val="21"/>
                <w:highlight w:val="none"/>
                <w:lang w:eastAsia="zh-CN"/>
              </w:rPr>
              <w:t>主管护师</w:t>
            </w:r>
          </w:p>
        </w:tc>
        <w:tc>
          <w:tcPr>
            <w:tcW w:w="422" w:type="pct"/>
            <w:tcBorders>
              <w:top w:val="single" w:color="auto" w:sz="4" w:space="0"/>
              <w:left w:val="nil"/>
              <w:bottom w:val="single" w:color="auto" w:sz="4" w:space="0"/>
              <w:right w:val="single" w:color="auto" w:sz="4" w:space="0"/>
            </w:tcBorders>
            <w:vAlign w:val="center"/>
          </w:tcPr>
          <w:p w14:paraId="21321BFE">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本科</w:t>
            </w:r>
          </w:p>
        </w:tc>
        <w:tc>
          <w:tcPr>
            <w:tcW w:w="881" w:type="pct"/>
            <w:tcBorders>
              <w:top w:val="single" w:color="auto" w:sz="4" w:space="0"/>
              <w:left w:val="nil"/>
              <w:bottom w:val="single" w:color="auto" w:sz="4" w:space="0"/>
              <w:right w:val="single" w:color="auto" w:sz="4" w:space="0"/>
            </w:tcBorders>
            <w:vAlign w:val="center"/>
          </w:tcPr>
          <w:p w14:paraId="2636B0CD">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eastAsia="zh-CN"/>
              </w:rPr>
              <w:t>深圳市第三人民医院肺二科</w:t>
            </w:r>
          </w:p>
        </w:tc>
        <w:tc>
          <w:tcPr>
            <w:tcW w:w="1106" w:type="pct"/>
            <w:tcBorders>
              <w:top w:val="single" w:color="auto" w:sz="4" w:space="0"/>
              <w:left w:val="nil"/>
              <w:bottom w:val="single" w:color="auto" w:sz="4" w:space="0"/>
              <w:right w:val="single" w:color="auto" w:sz="4" w:space="0"/>
            </w:tcBorders>
            <w:vAlign w:val="center"/>
          </w:tcPr>
          <w:p w14:paraId="58F63F10">
            <w:pPr>
              <w:keepNext w:val="0"/>
              <w:keepLines w:val="0"/>
              <w:suppressLineNumbers w:val="0"/>
              <w:spacing w:before="0" w:beforeAutospacing="0" w:after="0" w:afterAutospacing="0" w:line="360" w:lineRule="auto"/>
              <w:ind w:left="-40" w:leftChars="0" w:right="0" w:rightChars="0" w:hanging="2" w:firstLineChars="0"/>
              <w:jc w:val="left"/>
              <w:rPr>
                <w:rFonts w:hint="default" w:ascii="Times New Roman" w:hAnsi="Times New Roman" w:eastAsia="宋体" w:cs="Times New Roman"/>
                <w:kern w:val="2"/>
                <w:sz w:val="21"/>
                <w:szCs w:val="21"/>
                <w:highlight w:val="none"/>
                <w:lang w:val="en-US" w:eastAsia="zh-CN" w:bidi="ar-SA"/>
              </w:rPr>
            </w:pPr>
            <w:r>
              <w:rPr>
                <w:rFonts w:hint="eastAsia" w:ascii="Times New Roman" w:hAnsi="Times New Roman" w:cs="Times New Roman"/>
                <w:kern w:val="2"/>
                <w:sz w:val="21"/>
                <w:szCs w:val="21"/>
                <w:highlight w:val="none"/>
                <w:lang w:val="en-US" w:eastAsia="zh-CN" w:bidi="ar-SA"/>
              </w:rPr>
              <w:t>患者队列管理</w:t>
            </w:r>
          </w:p>
        </w:tc>
        <w:tc>
          <w:tcPr>
            <w:tcW w:w="449" w:type="pct"/>
            <w:tcBorders>
              <w:top w:val="single" w:color="auto" w:sz="4" w:space="0"/>
              <w:left w:val="nil"/>
              <w:bottom w:val="single" w:color="auto" w:sz="4" w:space="0"/>
              <w:right w:val="single" w:color="auto" w:sz="4" w:space="0"/>
            </w:tcBorders>
          </w:tcPr>
          <w:p w14:paraId="029A341A">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sz w:val="21"/>
                <w:szCs w:val="21"/>
                <w:highlight w:val="none"/>
              </w:rPr>
            </w:pPr>
          </w:p>
        </w:tc>
      </w:tr>
    </w:tbl>
    <w:p w14:paraId="1DC82AB6">
      <w:pPr>
        <w:spacing w:line="360" w:lineRule="auto"/>
        <w:jc w:val="left"/>
        <w:rPr>
          <w:rFonts w:hint="default" w:ascii="Times New Roman" w:hAnsi="Times New Roman" w:eastAsia="宋体" w:cs="Times New Roman"/>
          <w:sz w:val="21"/>
          <w:szCs w:val="21"/>
          <w:highlight w:val="none"/>
          <w:lang w:val="en-US" w:eastAsia="zh-CN"/>
        </w:rPr>
      </w:pPr>
    </w:p>
    <w:p w14:paraId="76726069">
      <w:pPr>
        <w:pStyle w:val="14"/>
        <w:snapToGrid w:val="0"/>
        <w:spacing w:line="360" w:lineRule="auto"/>
        <w:ind w:left="0" w:leftChars="0" w:firstLine="0" w:firstLineChars="0"/>
        <w:outlineLvl w:val="0"/>
        <w:rPr>
          <w:rFonts w:hint="default" w:ascii="Times New Roman" w:hAnsi="Times New Roman" w:eastAsia="宋体" w:cs="Times New Roman"/>
          <w:b/>
          <w:bCs/>
          <w:color w:val="000000"/>
          <w:sz w:val="28"/>
          <w:szCs w:val="28"/>
          <w:highlight w:val="none"/>
          <w:lang w:val="en-US" w:eastAsia="zh-CN"/>
        </w:rPr>
      </w:pPr>
      <w:r>
        <w:rPr>
          <w:rFonts w:hint="default" w:ascii="Times New Roman" w:hAnsi="Times New Roman" w:eastAsia="宋体" w:cs="Times New Roman"/>
          <w:b/>
          <w:bCs/>
          <w:color w:val="000000"/>
          <w:sz w:val="28"/>
          <w:szCs w:val="28"/>
          <w:highlight w:val="none"/>
          <w:lang w:val="en-US" w:eastAsia="zh-CN"/>
        </w:rPr>
        <w:t>一、研究意义</w:t>
      </w:r>
    </w:p>
    <w:p w14:paraId="7BE5142E">
      <w:pPr>
        <w:spacing w:line="360" w:lineRule="auto"/>
        <w:ind w:firstLine="422" w:firstLineChars="200"/>
        <w:jc w:val="left"/>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（一）耐多药结核病疫情严峻</w:t>
      </w:r>
    </w:p>
    <w:p w14:paraId="2BB44F7C">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结核病</w:t>
      </w:r>
      <w:r>
        <w:rPr>
          <w:rFonts w:hint="eastAsia" w:ascii="Times New Roman" w:hAnsi="Times New Roman" w:cs="Times New Roman"/>
          <w:sz w:val="21"/>
          <w:szCs w:val="21"/>
          <w:highlight w:val="none"/>
          <w:lang w:val="en-US" w:eastAsia="zh-CN"/>
        </w:rPr>
        <w:t>（tuberculosis，TB）</w:t>
      </w:r>
      <w:r>
        <w:rPr>
          <w:rFonts w:hint="default" w:ascii="Times New Roman" w:hAnsi="Times New Roman" w:eastAsia="宋体" w:cs="Times New Roman"/>
          <w:sz w:val="21"/>
          <w:szCs w:val="21"/>
          <w:highlight w:val="none"/>
          <w:lang w:val="en-US" w:eastAsia="zh-CN"/>
        </w:rPr>
        <w:t>尤其是耐多药结核病</w:t>
      </w:r>
      <w:r>
        <w:rPr>
          <w:rFonts w:hint="eastAsia" w:ascii="Times New Roman" w:hAnsi="Times New Roman" w:cs="Times New Roman"/>
          <w:sz w:val="21"/>
          <w:szCs w:val="21"/>
          <w:highlight w:val="none"/>
          <w:lang w:val="en-US" w:eastAsia="zh-CN"/>
        </w:rPr>
        <w:t>（multidrug-resistant TB,，MDR-TB）</w:t>
      </w:r>
      <w:r>
        <w:rPr>
          <w:rFonts w:hint="default" w:ascii="Times New Roman" w:hAnsi="Times New Roman" w:eastAsia="宋体" w:cs="Times New Roman"/>
          <w:sz w:val="21"/>
          <w:szCs w:val="21"/>
          <w:highlight w:val="none"/>
          <w:lang w:val="en-US" w:eastAsia="zh-CN"/>
        </w:rPr>
        <w:t>的疫情十分严峻。截至今日，结核病仍是全球十大死因之一，是单一传染病致死人数最多的疾病</w:t>
      </w:r>
      <w:r>
        <w:rPr>
          <w:rFonts w:hint="eastAsia" w:ascii="Times New Roman" w:hAnsi="Times New Roman" w:cs="Times New Roman"/>
          <w:sz w:val="21"/>
          <w:szCs w:val="21"/>
          <w:highlight w:val="none"/>
          <w:lang w:val="en-US" w:eastAsia="zh-CN"/>
        </w:rPr>
        <w:t>，仅次于新冠肺炎</w:t>
      </w:r>
      <w:r>
        <w:rPr>
          <w:rFonts w:hint="default" w:ascii="Times New Roman" w:hAnsi="Times New Roman" w:eastAsia="宋体" w:cs="Times New Roman"/>
          <w:sz w:val="21"/>
          <w:szCs w:val="21"/>
          <w:highlight w:val="none"/>
          <w:lang w:val="en-US" w:eastAsia="zh-CN"/>
        </w:rPr>
        <w:t>。根据202</w:t>
      </w:r>
      <w:r>
        <w:rPr>
          <w:rFonts w:hint="eastAsia" w:ascii="Times New Roman" w:hAnsi="Times New Roman" w:cs="Times New Roman"/>
          <w:sz w:val="21"/>
          <w:szCs w:val="21"/>
          <w:highlight w:val="none"/>
          <w:lang w:val="en-US" w:eastAsia="zh-CN"/>
        </w:rPr>
        <w:t>2</w:t>
      </w:r>
      <w:r>
        <w:rPr>
          <w:rFonts w:hint="default" w:ascii="Times New Roman" w:hAnsi="Times New Roman" w:eastAsia="宋体" w:cs="Times New Roman"/>
          <w:sz w:val="21"/>
          <w:szCs w:val="21"/>
          <w:highlight w:val="none"/>
          <w:lang w:val="en-US" w:eastAsia="zh-CN"/>
        </w:rPr>
        <w:t>年WHO全球结核病报告</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NE.Ref.{7C057AC1-CCB8-4B1B-8B5B-58AAB32707C4}</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[1]</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，据估算，2021年全世界有新发TB患者1060（95%CI：990～1100）万例，包括600万例成年男性，340万例成年女性以及120万例儿童。另外，HIV感染者占6.7%。2020</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2021年期间，TB发病率（每年每10万人口新发病例数）上升了3.6%，扭转了过去20年内每年下降约2%的趋势。据估算，2019</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2021年期间全球范围内TB死亡患者数有所增加，扭转了2005</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2019年间的下降趋势。2021年有160万例死于TB，其中包括18.7万例HIV感染者。印度、印度尼西亚、中国、菲律宾、巴基斯坦、尼日利亚、孟加拉国和刚果民主共和国8个国家的TB负担合计占全球的2/3以上。</w:t>
      </w:r>
    </w:p>
    <w:p w14:paraId="6662FC5D">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eastAsia" w:ascii="Times New Roman" w:hAnsi="Times New Roman" w:eastAsia="宋体" w:cs="Times New Roman"/>
          <w:sz w:val="21"/>
          <w:szCs w:val="21"/>
          <w:highlight w:val="none"/>
          <w:lang w:val="en-US" w:eastAsia="zh-CN"/>
        </w:rPr>
        <w:t>据估算，耐药结核病（</w:t>
      </w:r>
      <w:r>
        <w:rPr>
          <w:rFonts w:hint="eastAsia" w:ascii="Times New Roman" w:hAnsi="Times New Roman" w:cs="Times New Roman"/>
          <w:sz w:val="21"/>
          <w:szCs w:val="21"/>
          <w:highlight w:val="none"/>
          <w:lang w:val="en-US" w:eastAsia="zh-CN"/>
        </w:rPr>
        <w:t>drug-resistant TB，</w:t>
      </w:r>
      <w:r>
        <w:rPr>
          <w:rFonts w:hint="eastAsia" w:ascii="Times New Roman" w:hAnsi="Times New Roman" w:eastAsia="宋体" w:cs="Times New Roman"/>
          <w:sz w:val="21"/>
          <w:szCs w:val="21"/>
          <w:highlight w:val="none"/>
          <w:lang w:val="en-US" w:eastAsia="zh-CN"/>
        </w:rPr>
        <w:t>DR-TB）的负担在2020</w:t>
      </w:r>
      <w:r>
        <w:rPr>
          <w:rFonts w:hint="eastAsia" w:ascii="Times New Roman" w:hAnsi="Times New Roman" w:cs="Times New Roman"/>
          <w:sz w:val="21"/>
          <w:szCs w:val="21"/>
          <w:highlight w:val="none"/>
          <w:lang w:val="en-US" w:eastAsia="zh-CN"/>
        </w:rPr>
        <w:t>-</w:t>
      </w:r>
      <w:r>
        <w:rPr>
          <w:rFonts w:hint="eastAsia" w:ascii="Times New Roman" w:hAnsi="Times New Roman" w:eastAsia="宋体" w:cs="Times New Roman"/>
          <w:sz w:val="21"/>
          <w:szCs w:val="21"/>
          <w:highlight w:val="none"/>
          <w:lang w:val="en-US" w:eastAsia="zh-CN"/>
        </w:rPr>
        <w:t>2021年期间也有所增加。2021年新患者中利福平耐药结核病（</w:t>
      </w:r>
      <w:r>
        <w:rPr>
          <w:rFonts w:hint="eastAsia" w:ascii="Times New Roman" w:hAnsi="Times New Roman" w:cs="Times New Roman"/>
          <w:sz w:val="21"/>
          <w:szCs w:val="21"/>
          <w:highlight w:val="none"/>
          <w:lang w:val="en-US" w:eastAsia="zh-CN"/>
        </w:rPr>
        <w:t>rifampicin-resistant TB，</w:t>
      </w:r>
      <w:r>
        <w:rPr>
          <w:rFonts w:hint="eastAsia" w:ascii="Times New Roman" w:hAnsi="Times New Roman" w:eastAsia="宋体" w:cs="Times New Roman"/>
          <w:sz w:val="21"/>
          <w:szCs w:val="21"/>
          <w:highlight w:val="none"/>
          <w:lang w:val="en-US" w:eastAsia="zh-CN"/>
        </w:rPr>
        <w:t>RR-TB）为45（95%CI：39.9～50.1）万例。2019-2020年，为RR-TB和MDR-TB</w:t>
      </w:r>
      <w:r>
        <w:rPr>
          <w:rFonts w:hint="eastAsia" w:ascii="Times New Roman" w:hAnsi="Times New Roman" w:cs="Times New Roman"/>
          <w:sz w:val="21"/>
          <w:szCs w:val="21"/>
          <w:highlight w:val="none"/>
          <w:lang w:val="en-US" w:eastAsia="zh-CN"/>
        </w:rPr>
        <w:t>（可统称为MDR/RR-TB）</w:t>
      </w:r>
      <w:r>
        <w:rPr>
          <w:rFonts w:hint="eastAsia" w:ascii="Times New Roman" w:hAnsi="Times New Roman" w:eastAsia="宋体" w:cs="Times New Roman"/>
          <w:sz w:val="21"/>
          <w:szCs w:val="21"/>
          <w:highlight w:val="none"/>
          <w:lang w:val="en-US" w:eastAsia="zh-CN"/>
        </w:rPr>
        <w:t>患者提供治疗的数字下降了。2021年报告的开始治疗的MDR</w:t>
      </w:r>
      <w:r>
        <w:rPr>
          <w:rFonts w:hint="eastAsia" w:ascii="Times New Roman" w:hAnsi="Times New Roman" w:cs="Times New Roman"/>
          <w:sz w:val="21"/>
          <w:szCs w:val="21"/>
          <w:highlight w:val="none"/>
          <w:lang w:val="en-US" w:eastAsia="zh-CN"/>
        </w:rPr>
        <w:t>/RR</w:t>
      </w:r>
      <w:r>
        <w:rPr>
          <w:rFonts w:hint="eastAsia" w:ascii="Times New Roman" w:hAnsi="Times New Roman" w:eastAsia="宋体" w:cs="Times New Roman"/>
          <w:sz w:val="21"/>
          <w:szCs w:val="21"/>
          <w:highlight w:val="none"/>
          <w:lang w:val="en-US" w:eastAsia="zh-CN"/>
        </w:rPr>
        <w:t>-TB患者数为16</w:t>
      </w:r>
      <w:r>
        <w:rPr>
          <w:rFonts w:hint="eastAsia" w:ascii="Times New Roman" w:hAnsi="Times New Roman" w:cs="Times New Roman"/>
          <w:sz w:val="21"/>
          <w:szCs w:val="21"/>
          <w:highlight w:val="none"/>
          <w:lang w:val="en-US" w:eastAsia="zh-CN"/>
        </w:rPr>
        <w:t>万</w:t>
      </w:r>
      <w:r>
        <w:rPr>
          <w:rFonts w:hint="eastAsia" w:ascii="Times New Roman" w:hAnsi="Times New Roman" w:eastAsia="宋体" w:cs="Times New Roman"/>
          <w:sz w:val="21"/>
          <w:szCs w:val="21"/>
          <w:highlight w:val="none"/>
          <w:lang w:val="en-US" w:eastAsia="zh-CN"/>
        </w:rPr>
        <w:t>例，仅覆盖了需治疗的全部患者的1/3。</w:t>
      </w:r>
    </w:p>
    <w:p w14:paraId="1B02C1CF">
      <w:pPr>
        <w:spacing w:line="360" w:lineRule="auto"/>
        <w:ind w:firstLine="422" w:firstLineChars="200"/>
        <w:jc w:val="left"/>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（二）耐多药结核病治疗指南不完善</w:t>
      </w:r>
    </w:p>
    <w:p w14:paraId="0EE3ECF4">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目前</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的治疗成功率很低。根据202</w:t>
      </w:r>
      <w:r>
        <w:rPr>
          <w:rFonts w:hint="eastAsia" w:ascii="Times New Roman" w:hAnsi="Times New Roman" w:cs="Times New Roman"/>
          <w:sz w:val="21"/>
          <w:szCs w:val="21"/>
          <w:highlight w:val="none"/>
          <w:lang w:val="en-US" w:eastAsia="zh-CN"/>
        </w:rPr>
        <w:t>2</w:t>
      </w:r>
      <w:r>
        <w:rPr>
          <w:rFonts w:hint="default" w:ascii="Times New Roman" w:hAnsi="Times New Roman" w:eastAsia="宋体" w:cs="Times New Roman"/>
          <w:sz w:val="21"/>
          <w:szCs w:val="21"/>
          <w:highlight w:val="none"/>
          <w:lang w:val="en-US" w:eastAsia="zh-CN"/>
        </w:rPr>
        <w:t>年WHO全球结核病报告</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NE.Ref.{A52B7712-2CB5-4AFE-9844-FE2EA4D19495}</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[1]</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w:t>
      </w:r>
      <w:r>
        <w:rPr>
          <w:rFonts w:hint="eastAsia" w:ascii="Times New Roman" w:hAnsi="Times New Roman" w:eastAsia="宋体" w:cs="Times New Roman"/>
          <w:sz w:val="21"/>
          <w:szCs w:val="21"/>
          <w:highlight w:val="none"/>
          <w:lang w:val="en-US" w:eastAsia="zh-CN"/>
        </w:rPr>
        <w:t>目前全球</w:t>
      </w:r>
      <w:r>
        <w:rPr>
          <w:rFonts w:hint="eastAsia" w:ascii="Times New Roman" w:hAnsi="Times New Roman" w:cs="Times New Roman"/>
          <w:sz w:val="21"/>
          <w:szCs w:val="21"/>
          <w:highlight w:val="none"/>
          <w:lang w:val="en-US" w:eastAsia="zh-CN"/>
        </w:rPr>
        <w:t>M</w:t>
      </w:r>
      <w:r>
        <w:rPr>
          <w:rFonts w:hint="eastAsia" w:ascii="Times New Roman" w:hAnsi="Times New Roman" w:eastAsia="宋体" w:cs="Times New Roman"/>
          <w:sz w:val="21"/>
          <w:szCs w:val="21"/>
          <w:highlight w:val="none"/>
          <w:lang w:val="en-US" w:eastAsia="zh-CN"/>
        </w:rPr>
        <w:t>DR</w:t>
      </w:r>
      <w:r>
        <w:rPr>
          <w:rFonts w:hint="eastAsia" w:ascii="Times New Roman" w:hAnsi="Times New Roman" w:cs="Times New Roman"/>
          <w:sz w:val="21"/>
          <w:szCs w:val="21"/>
          <w:highlight w:val="none"/>
          <w:lang w:val="en-US" w:eastAsia="zh-CN"/>
        </w:rPr>
        <w:t>/RR</w:t>
      </w:r>
      <w:r>
        <w:rPr>
          <w:rFonts w:hint="eastAsia" w:ascii="Times New Roman" w:hAnsi="Times New Roman" w:eastAsia="宋体" w:cs="Times New Roman"/>
          <w:sz w:val="21"/>
          <w:szCs w:val="21"/>
          <w:highlight w:val="none"/>
          <w:lang w:val="en-US" w:eastAsia="zh-CN"/>
        </w:rPr>
        <w:t>-TB的治疗成功率为60%，</w:t>
      </w:r>
      <w:r>
        <w:rPr>
          <w:rFonts w:hint="eastAsia" w:ascii="Times New Roman" w:hAnsi="Times New Roman" w:cs="Times New Roman"/>
          <w:sz w:val="21"/>
          <w:szCs w:val="21"/>
          <w:highlight w:val="none"/>
          <w:lang w:val="en-US" w:eastAsia="zh-CN"/>
        </w:rPr>
        <w:t>虽然比2012年的50%有所升高，但治疗成功率</w:t>
      </w:r>
      <w:r>
        <w:rPr>
          <w:rFonts w:hint="eastAsia" w:ascii="Times New Roman" w:hAnsi="Times New Roman" w:eastAsia="宋体" w:cs="Times New Roman"/>
          <w:sz w:val="21"/>
          <w:szCs w:val="21"/>
          <w:highlight w:val="none"/>
          <w:lang w:val="en-US" w:eastAsia="zh-CN"/>
        </w:rPr>
        <w:t>仍然很低。</w:t>
      </w:r>
    </w:p>
    <w:p w14:paraId="12CC3823">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2020年WHO治疗指南把二线药物分为A（贝达喹啉、利奈唑胺、氟喹诺酮类）、B（环丝氨酸、氯法齐明）、C（吡嗪酰胺</w:t>
      </w:r>
      <w:r>
        <w:rPr>
          <w:rFonts w:hint="eastAsia" w:ascii="Times New Roman" w:hAnsi="Times New Roman" w:cs="Times New Roman"/>
          <w:sz w:val="21"/>
          <w:szCs w:val="21"/>
          <w:highlight w:val="none"/>
          <w:lang w:val="en-US" w:eastAsia="zh-CN"/>
        </w:rPr>
        <w:t>、德拉马尼</w:t>
      </w:r>
      <w:r>
        <w:rPr>
          <w:rFonts w:hint="default" w:ascii="Times New Roman" w:hAnsi="Times New Roman" w:eastAsia="宋体" w:cs="Times New Roman"/>
          <w:sz w:val="21"/>
          <w:szCs w:val="21"/>
          <w:highlight w:val="none"/>
          <w:lang w:val="en-US" w:eastAsia="zh-CN"/>
        </w:rPr>
        <w:t>等其他药物）三组</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NE.Ref.{D99A5C2B-C356-4665-87A4-3475AA3B5E04}</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[2]</w:t>
      </w:r>
      <w:r>
        <w:rPr>
          <w:rFonts w:hint="default" w:ascii="Times New Roman" w:hAnsi="Times New Roman" w:eastAsia="宋体" w:cs="Times New Roman"/>
          <w:sz w:val="21"/>
          <w:szCs w:val="21"/>
          <w:highlight w:val="none"/>
          <w:lang w:val="en-US" w:eastAsia="zh-CN"/>
        </w:rPr>
        <w:fldChar w:fldCharType="end"/>
      </w:r>
      <w:r>
        <w:rPr>
          <w:rFonts w:hint="eastAsia" w:ascii="Times New Roman" w:hAnsi="Times New Roman" w:cs="Times New Roman"/>
          <w:sz w:val="21"/>
          <w:szCs w:val="21"/>
          <w:highlight w:val="none"/>
          <w:lang w:val="en-US" w:eastAsia="zh-CN"/>
        </w:rPr>
        <w:t>。2022年5月和12月WHO关于MDR-TB治疗指南</w:t>
      </w:r>
      <w:r>
        <w:rPr>
          <w:rFonts w:hint="eastAsia" w:ascii="Times New Roman" w:hAnsi="Times New Roman"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NE.Ref.{3ED94C86-3CC1-4F3E-9770-78F8E9D1EDFD}</w:instrText>
      </w:r>
      <w:r>
        <w:rPr>
          <w:rFonts w:hint="eastAsia" w:ascii="Times New Roman" w:hAnsi="Times New Roman" w:cs="Times New Roman"/>
          <w:sz w:val="21"/>
          <w:szCs w:val="21"/>
          <w:highlight w:val="none"/>
          <w:lang w:val="en-US" w:eastAsia="zh-CN"/>
        </w:rPr>
        <w:fldChar w:fldCharType="separate"/>
      </w:r>
      <w:r>
        <w:rPr>
          <w:rFonts w:hint="eastAsia" w:ascii="宋体" w:hAnsi="宋体"/>
          <w:color w:val="080000"/>
          <w:sz w:val="21"/>
          <w:szCs w:val="24"/>
          <w:vertAlign w:val="superscript"/>
        </w:rPr>
        <w:t>[3, 4]</w:t>
      </w:r>
      <w:r>
        <w:rPr>
          <w:rFonts w:hint="eastAsia" w:ascii="Times New Roman" w:hAnsi="Times New Roman" w:cs="Times New Roman"/>
          <w:sz w:val="21"/>
          <w:szCs w:val="21"/>
          <w:highlight w:val="none"/>
          <w:lang w:val="en-US" w:eastAsia="zh-CN"/>
        </w:rPr>
        <w:fldChar w:fldCharType="end"/>
      </w:r>
      <w:r>
        <w:rPr>
          <w:rFonts w:hint="eastAsia" w:ascii="Times New Roman" w:hAnsi="Times New Roman" w:cs="Times New Roman"/>
          <w:sz w:val="21"/>
          <w:szCs w:val="21"/>
          <w:highlight w:val="none"/>
          <w:lang w:val="en-US" w:eastAsia="zh-CN"/>
        </w:rPr>
        <w:t>，依次</w:t>
      </w:r>
      <w:r>
        <w:rPr>
          <w:rFonts w:hint="default" w:ascii="Times New Roman" w:hAnsi="Times New Roman" w:eastAsia="宋体" w:cs="Times New Roman"/>
          <w:sz w:val="21"/>
          <w:szCs w:val="21"/>
          <w:highlight w:val="none"/>
          <w:lang w:val="en-US" w:eastAsia="zh-CN"/>
        </w:rPr>
        <w:t>推荐三个</w:t>
      </w:r>
      <w:r>
        <w:rPr>
          <w:rFonts w:hint="eastAsia" w:ascii="Times New Roman" w:hAnsi="Times New Roman" w:cs="Times New Roman"/>
          <w:sz w:val="21"/>
          <w:szCs w:val="21"/>
          <w:highlight w:val="none"/>
          <w:lang w:val="en-US" w:eastAsia="zh-CN"/>
        </w:rPr>
        <w:t>治疗</w:t>
      </w:r>
      <w:r>
        <w:rPr>
          <w:rFonts w:hint="default" w:ascii="Times New Roman" w:hAnsi="Times New Roman" w:eastAsia="宋体" w:cs="Times New Roman"/>
          <w:sz w:val="21"/>
          <w:szCs w:val="21"/>
          <w:highlight w:val="none"/>
          <w:lang w:val="en-US" w:eastAsia="zh-CN"/>
        </w:rPr>
        <w:t>方案：（1）贝达喹啉、普托马尼、利奈唑胺</w:t>
      </w:r>
      <w:r>
        <w:rPr>
          <w:rFonts w:hint="eastAsia" w:ascii="Times New Roman" w:hAnsi="Times New Roman" w:cs="Times New Roman"/>
          <w:sz w:val="21"/>
          <w:szCs w:val="21"/>
          <w:highlight w:val="none"/>
          <w:lang w:val="en-US" w:eastAsia="zh-CN"/>
        </w:rPr>
        <w:t>、莫西沙星</w:t>
      </w:r>
      <w:r>
        <w:rPr>
          <w:rFonts w:hint="default" w:ascii="Times New Roman" w:hAnsi="Times New Roman" w:eastAsia="宋体" w:cs="Times New Roman"/>
          <w:sz w:val="21"/>
          <w:szCs w:val="21"/>
          <w:highlight w:val="none"/>
          <w:lang w:val="en-US" w:eastAsia="zh-CN"/>
        </w:rPr>
        <w:t>方案，针对</w:t>
      </w:r>
      <w:r>
        <w:rPr>
          <w:rFonts w:hint="eastAsia" w:ascii="Times New Roman" w:hAnsi="Times New Roman" w:cs="Times New Roman"/>
          <w:sz w:val="21"/>
          <w:szCs w:val="21"/>
          <w:highlight w:val="none"/>
          <w:lang w:val="en-US" w:eastAsia="zh-CN"/>
        </w:rPr>
        <w:t>氟喹诺酮类敏感或耐药的MDR-TB</w:t>
      </w:r>
      <w:r>
        <w:rPr>
          <w:rFonts w:hint="default" w:ascii="Times New Roman" w:hAnsi="Times New Roman" w:eastAsia="宋体" w:cs="Times New Roman"/>
          <w:sz w:val="21"/>
          <w:szCs w:val="21"/>
          <w:highlight w:val="none"/>
          <w:lang w:val="en-US" w:eastAsia="zh-CN"/>
        </w:rPr>
        <w:t>患者（3个药物，6-9个月）。（2）全口服、含贝达喹啉方案（7个药物，9-12个月），针对无氟喹诺酮类耐药的、肺部病灶不严重的</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患者。（3）个体化长程方案（4-5个药物，18-20个月），</w:t>
      </w:r>
      <w:r>
        <w:rPr>
          <w:rFonts w:hint="eastAsia" w:ascii="Times New Roman" w:hAnsi="Times New Roman" w:cs="Times New Roman"/>
          <w:sz w:val="21"/>
          <w:szCs w:val="21"/>
          <w:highlight w:val="none"/>
          <w:lang w:val="en-US" w:eastAsia="zh-CN"/>
        </w:rPr>
        <w:t>适用于</w:t>
      </w:r>
      <w:r>
        <w:rPr>
          <w:rFonts w:hint="default" w:ascii="Times New Roman" w:hAnsi="Times New Roman" w:eastAsia="宋体" w:cs="Times New Roman"/>
          <w:sz w:val="21"/>
          <w:szCs w:val="21"/>
          <w:highlight w:val="none"/>
          <w:lang w:val="en-US" w:eastAsia="zh-CN"/>
        </w:rPr>
        <w:t>各种形式的</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。上述三个方案各有缺点</w:t>
      </w:r>
      <w:r>
        <w:rPr>
          <w:rFonts w:hint="eastAsia" w:ascii="Times New Roman" w:hAnsi="Times New Roman" w:cs="Times New Roman"/>
          <w:sz w:val="21"/>
          <w:szCs w:val="21"/>
          <w:highlight w:val="none"/>
          <w:lang w:val="en-US" w:eastAsia="zh-CN"/>
        </w:rPr>
        <w:t>，且有优化空间</w:t>
      </w:r>
      <w:r>
        <w:rPr>
          <w:rFonts w:hint="default" w:ascii="Times New Roman" w:hAnsi="Times New Roman" w:eastAsia="宋体" w:cs="Times New Roman"/>
          <w:sz w:val="21"/>
          <w:szCs w:val="21"/>
          <w:highlight w:val="none"/>
          <w:lang w:val="en-US" w:eastAsia="zh-CN"/>
        </w:rPr>
        <w:t>。贝达喹啉、普托马尼、利奈唑胺</w:t>
      </w:r>
      <w:r>
        <w:rPr>
          <w:rFonts w:hint="eastAsia" w:ascii="Times New Roman" w:hAnsi="Times New Roman" w:cs="Times New Roman"/>
          <w:sz w:val="21"/>
          <w:szCs w:val="21"/>
          <w:highlight w:val="none"/>
          <w:lang w:val="en-US" w:eastAsia="zh-CN"/>
        </w:rPr>
        <w:t>、莫西沙星</w:t>
      </w:r>
      <w:r>
        <w:rPr>
          <w:rFonts w:hint="default" w:ascii="Times New Roman" w:hAnsi="Times New Roman" w:eastAsia="宋体" w:cs="Times New Roman"/>
          <w:sz w:val="21"/>
          <w:szCs w:val="21"/>
          <w:highlight w:val="none"/>
          <w:lang w:val="en-US" w:eastAsia="zh-CN"/>
        </w:rPr>
        <w:t>方案</w:t>
      </w:r>
      <w:r>
        <w:rPr>
          <w:rFonts w:hint="eastAsia" w:ascii="Times New Roman" w:hAnsi="Times New Roman" w:cs="Times New Roman"/>
          <w:sz w:val="21"/>
          <w:szCs w:val="21"/>
          <w:highlight w:val="none"/>
          <w:lang w:val="en-US" w:eastAsia="zh-CN"/>
        </w:rPr>
        <w:t>（简称BPLM方案）</w:t>
      </w:r>
      <w:r>
        <w:rPr>
          <w:rFonts w:hint="default" w:ascii="Times New Roman" w:hAnsi="Times New Roman" w:eastAsia="宋体" w:cs="Times New Roman"/>
          <w:sz w:val="21"/>
          <w:szCs w:val="21"/>
          <w:highlight w:val="none"/>
          <w:lang w:val="en-US" w:eastAsia="zh-CN"/>
        </w:rPr>
        <w:t>，</w:t>
      </w:r>
      <w:r>
        <w:rPr>
          <w:rFonts w:hint="eastAsia" w:ascii="Times New Roman" w:hAnsi="Times New Roman" w:cs="Times New Roman"/>
          <w:sz w:val="21"/>
          <w:szCs w:val="21"/>
          <w:highlight w:val="none"/>
          <w:lang w:val="en-US" w:eastAsia="zh-CN"/>
        </w:rPr>
        <w:t>其</w:t>
      </w:r>
      <w:r>
        <w:rPr>
          <w:rFonts w:hint="default" w:ascii="Times New Roman" w:hAnsi="Times New Roman" w:eastAsia="宋体" w:cs="Times New Roman"/>
          <w:sz w:val="21"/>
          <w:szCs w:val="21"/>
          <w:highlight w:val="none"/>
          <w:lang w:val="en-US" w:eastAsia="zh-CN"/>
        </w:rPr>
        <w:t>药物少、疗程短，</w:t>
      </w:r>
      <w:r>
        <w:rPr>
          <w:rFonts w:hint="eastAsia" w:ascii="Times New Roman" w:hAnsi="Times New Roman" w:cs="Times New Roman"/>
          <w:sz w:val="21"/>
          <w:szCs w:val="21"/>
          <w:highlight w:val="none"/>
          <w:lang w:val="en-US" w:eastAsia="zh-CN"/>
        </w:rPr>
        <w:t>是WHO首推的治疗方案</w:t>
      </w:r>
      <w:r>
        <w:rPr>
          <w:rFonts w:hint="default" w:ascii="Times New Roman" w:hAnsi="Times New Roman" w:eastAsia="宋体" w:cs="Times New Roman"/>
          <w:sz w:val="21"/>
          <w:szCs w:val="21"/>
          <w:highlight w:val="none"/>
          <w:lang w:val="en-US" w:eastAsia="zh-CN"/>
        </w:rPr>
        <w:t>。</w:t>
      </w:r>
    </w:p>
    <w:p w14:paraId="411CB18D">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自从2016年以来，由于新药和新方案的研究数据不断累积，WHO指南经历了巨大改变，其循证证据主要来源于个别前瞻性</w:t>
      </w:r>
      <w:r>
        <w:rPr>
          <w:rFonts w:hint="eastAsia" w:ascii="Times New Roman" w:hAnsi="Times New Roman" w:cs="Times New Roman"/>
          <w:sz w:val="21"/>
          <w:szCs w:val="21"/>
          <w:highlight w:val="none"/>
          <w:lang w:val="en-US" w:eastAsia="zh-CN"/>
        </w:rPr>
        <w:t>临床研究</w:t>
      </w:r>
      <w:r>
        <w:rPr>
          <w:rFonts w:hint="default" w:ascii="Times New Roman" w:hAnsi="Times New Roman" w:eastAsia="宋体" w:cs="Times New Roman"/>
          <w:sz w:val="21"/>
          <w:szCs w:val="21"/>
          <w:highlight w:val="none"/>
          <w:lang w:val="en-US" w:eastAsia="zh-CN"/>
        </w:rPr>
        <w:t>、系统综述和个体患者数据Meta分析，缺乏大规模、多中心的临床试验证据</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NE.Ref.{CF58A8E0-32FC-4AAD-83F9-1859E79DC300}</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[1, 5]</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w:t>
      </w:r>
      <w:r>
        <w:rPr>
          <w:rFonts w:hint="eastAsia" w:ascii="Times New Roman" w:hAnsi="Times New Roman" w:cs="Times New Roman"/>
          <w:sz w:val="21"/>
          <w:szCs w:val="21"/>
          <w:highlight w:val="none"/>
          <w:lang w:val="en-US" w:eastAsia="zh-CN"/>
        </w:rPr>
        <w:t>在WHO指南指导下，</w:t>
      </w:r>
      <w:r>
        <w:rPr>
          <w:rFonts w:hint="eastAsia" w:ascii="Times New Roman" w:hAnsi="Times New Roman" w:eastAsia="宋体" w:cs="Times New Roman"/>
          <w:sz w:val="21"/>
          <w:szCs w:val="21"/>
          <w:highlight w:val="none"/>
          <w:lang w:val="en-US" w:eastAsia="zh-CN"/>
        </w:rPr>
        <w:t>目前</w:t>
      </w:r>
      <w:r>
        <w:rPr>
          <w:rFonts w:hint="eastAsia" w:ascii="Times New Roman" w:hAnsi="Times New Roman" w:cs="Times New Roman"/>
          <w:sz w:val="21"/>
          <w:szCs w:val="21"/>
          <w:highlight w:val="none"/>
          <w:lang w:val="en-US" w:eastAsia="zh-CN"/>
        </w:rPr>
        <w:t>有</w:t>
      </w:r>
      <w:r>
        <w:rPr>
          <w:rFonts w:hint="eastAsia" w:ascii="Times New Roman" w:hAnsi="Times New Roman" w:eastAsia="宋体" w:cs="Times New Roman"/>
          <w:sz w:val="21"/>
          <w:szCs w:val="21"/>
          <w:highlight w:val="none"/>
          <w:lang w:val="en-US" w:eastAsia="zh-CN"/>
        </w:rPr>
        <w:t>109个国家采用全口服、长疗程的治疗方案治疗MDR/RR-TB（2020年为92个国家），有92个国家采用的是短程治疗方案（2020年为65个国家）。截至2021年底，124个国家将贝达喹啉（Bedaquiline）用于RR-TB治疗，较2020年的110个国家有所增加。</w:t>
      </w:r>
      <w:r>
        <w:rPr>
          <w:rFonts w:hint="eastAsia" w:ascii="Times New Roman" w:hAnsi="Times New Roman" w:cs="Times New Roman"/>
          <w:sz w:val="21"/>
          <w:szCs w:val="21"/>
          <w:highlight w:val="none"/>
          <w:lang w:val="en-US" w:eastAsia="zh-CN"/>
        </w:rPr>
        <w:t>但是</w:t>
      </w:r>
      <w:r>
        <w:rPr>
          <w:rFonts w:hint="default" w:ascii="Times New Roman" w:hAnsi="Times New Roman" w:eastAsia="宋体" w:cs="Times New Roman"/>
          <w:sz w:val="21"/>
          <w:szCs w:val="21"/>
          <w:highlight w:val="none"/>
          <w:lang w:val="en-US" w:eastAsia="zh-CN"/>
        </w:rPr>
        <w:t>，WHO指南仍未稳定，</w:t>
      </w:r>
      <w:r>
        <w:rPr>
          <w:rFonts w:hint="eastAsia" w:ascii="Times New Roman" w:hAnsi="Times New Roman" w:cs="Times New Roman"/>
          <w:sz w:val="21"/>
          <w:szCs w:val="21"/>
          <w:highlight w:val="none"/>
          <w:lang w:val="en-US" w:eastAsia="zh-CN"/>
        </w:rPr>
        <w:t>随着一系列重要临床试验结果的发布，WHO指南在</w:t>
      </w:r>
      <w:r>
        <w:rPr>
          <w:rFonts w:hint="default" w:ascii="Times New Roman" w:hAnsi="Times New Roman" w:eastAsia="宋体" w:cs="Times New Roman"/>
          <w:sz w:val="21"/>
          <w:szCs w:val="21"/>
          <w:highlight w:val="none"/>
          <w:lang w:val="en-US" w:eastAsia="zh-CN"/>
        </w:rPr>
        <w:t>未来1-2年内很可能再次改变</w:t>
      </w:r>
      <w:r>
        <w:rPr>
          <w:rFonts w:hint="eastAsia" w:ascii="Times New Roman" w:hAnsi="Times New Roman" w:cs="Times New Roman"/>
          <w:sz w:val="21"/>
          <w:szCs w:val="21"/>
          <w:highlight w:val="none"/>
          <w:lang w:val="en-US" w:eastAsia="zh-CN"/>
        </w:rPr>
        <w:t>，总体趋势为缩短疗程、精简药物、去掉注射剂、减少复发</w:t>
      </w:r>
      <w:r>
        <w:rPr>
          <w:rFonts w:hint="default" w:ascii="Times New Roman" w:hAnsi="Times New Roman" w:eastAsia="宋体" w:cs="Times New Roman"/>
          <w:sz w:val="21"/>
          <w:szCs w:val="21"/>
          <w:highlight w:val="none"/>
          <w:lang w:val="en-US" w:eastAsia="zh-CN"/>
        </w:rPr>
        <w:t>。这使得各国在遵循最新指南建议的同时，有必要自行探索适合本国的治疗方案。</w:t>
      </w:r>
    </w:p>
    <w:p w14:paraId="287BDF69">
      <w:pPr>
        <w:spacing w:line="360" w:lineRule="auto"/>
        <w:ind w:firstLine="422" w:firstLineChars="200"/>
        <w:jc w:val="left"/>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（三）我国耐多药结核病治疗缺乏高质量研究证据</w:t>
      </w:r>
    </w:p>
    <w:p w14:paraId="1027CEE2">
      <w:pPr>
        <w:spacing w:line="360" w:lineRule="auto"/>
        <w:ind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我国的</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治疗现状亟待改善，尤其在治疗方案和药物可及性方面</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NE.Ref.{43039655-5627-4889-AAE6-914FDEEC9E83}</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[6, 7]</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。（1）中国疫情严峻。中国</w:t>
      </w:r>
      <w:r>
        <w:rPr>
          <w:rFonts w:hint="eastAsia" w:ascii="Times New Roman" w:hAnsi="Times New Roman" w:cs="Times New Roman"/>
          <w:sz w:val="21"/>
          <w:szCs w:val="21"/>
          <w:highlight w:val="none"/>
          <w:lang w:val="en-US" w:eastAsia="zh-CN"/>
        </w:rPr>
        <w:t>MDR/RR-TB</w:t>
      </w:r>
      <w:r>
        <w:rPr>
          <w:rFonts w:hint="default" w:ascii="Times New Roman" w:hAnsi="Times New Roman" w:eastAsia="宋体" w:cs="Times New Roman"/>
          <w:sz w:val="21"/>
          <w:szCs w:val="21"/>
          <w:highlight w:val="none"/>
          <w:lang w:val="en-US" w:eastAsia="zh-CN"/>
        </w:rPr>
        <w:t>患者数量位居全球第二，20</w:t>
      </w:r>
      <w:r>
        <w:rPr>
          <w:rFonts w:hint="eastAsia" w:ascii="Times New Roman" w:hAnsi="Times New Roman" w:cs="Times New Roman"/>
          <w:sz w:val="21"/>
          <w:szCs w:val="21"/>
          <w:highlight w:val="none"/>
          <w:lang w:val="en-US" w:eastAsia="zh-CN"/>
        </w:rPr>
        <w:t>21</w:t>
      </w:r>
      <w:r>
        <w:rPr>
          <w:rFonts w:hint="default" w:ascii="Times New Roman" w:hAnsi="Times New Roman" w:eastAsia="宋体" w:cs="Times New Roman"/>
          <w:sz w:val="21"/>
          <w:szCs w:val="21"/>
          <w:highlight w:val="none"/>
          <w:lang w:val="en-US" w:eastAsia="zh-CN"/>
        </w:rPr>
        <w:t>年新发</w:t>
      </w:r>
      <w:r>
        <w:rPr>
          <w:rFonts w:hint="eastAsia" w:ascii="Times New Roman" w:hAnsi="Times New Roman" w:cs="Times New Roman"/>
          <w:sz w:val="21"/>
          <w:szCs w:val="21"/>
          <w:highlight w:val="none"/>
          <w:lang w:val="en-US" w:eastAsia="zh-CN"/>
        </w:rPr>
        <w:t>3.3</w:t>
      </w:r>
      <w:r>
        <w:rPr>
          <w:rFonts w:hint="default" w:ascii="Times New Roman" w:hAnsi="Times New Roman" w:eastAsia="宋体" w:cs="Times New Roman"/>
          <w:sz w:val="21"/>
          <w:szCs w:val="21"/>
          <w:highlight w:val="none"/>
          <w:lang w:val="en-US" w:eastAsia="zh-CN"/>
        </w:rPr>
        <w:t>万人</w:t>
      </w:r>
      <w:r>
        <w:rPr>
          <w:rFonts w:hint="eastAsia" w:ascii="Times New Roman" w:hAnsi="Times New Roman" w:cs="Times New Roman"/>
          <w:sz w:val="21"/>
          <w:szCs w:val="21"/>
          <w:highlight w:val="none"/>
          <w:lang w:val="en-US" w:eastAsia="zh-CN"/>
        </w:rPr>
        <w:t>，且</w:t>
      </w:r>
      <w:r>
        <w:rPr>
          <w:rFonts w:hint="default" w:ascii="Times New Roman" w:hAnsi="Times New Roman" w:eastAsia="宋体" w:cs="Times New Roman"/>
          <w:sz w:val="21"/>
          <w:szCs w:val="21"/>
          <w:highlight w:val="none"/>
          <w:lang w:val="en-US" w:eastAsia="zh-CN"/>
        </w:rPr>
        <w:t>20</w:t>
      </w:r>
      <w:r>
        <w:rPr>
          <w:rFonts w:hint="eastAsia" w:ascii="Times New Roman" w:hAnsi="Times New Roman" w:cs="Times New Roman"/>
          <w:sz w:val="21"/>
          <w:szCs w:val="21"/>
          <w:highlight w:val="none"/>
          <w:lang w:val="en-US" w:eastAsia="zh-CN"/>
        </w:rPr>
        <w:t>21</w:t>
      </w:r>
      <w:r>
        <w:rPr>
          <w:rFonts w:hint="default" w:ascii="Times New Roman" w:hAnsi="Times New Roman" w:eastAsia="宋体" w:cs="Times New Roman"/>
          <w:sz w:val="21"/>
          <w:szCs w:val="21"/>
          <w:highlight w:val="none"/>
          <w:lang w:val="en-US" w:eastAsia="zh-CN"/>
        </w:rPr>
        <w:t>年治疗成功率仅为5</w:t>
      </w:r>
      <w:r>
        <w:rPr>
          <w:rFonts w:hint="eastAsia" w:ascii="Times New Roman" w:hAnsi="Times New Roman" w:cs="Times New Roman"/>
          <w:sz w:val="21"/>
          <w:szCs w:val="21"/>
          <w:highlight w:val="none"/>
          <w:lang w:val="en-US" w:eastAsia="zh-CN"/>
        </w:rPr>
        <w:t>3</w:t>
      </w:r>
      <w:r>
        <w:rPr>
          <w:rFonts w:hint="default" w:ascii="Times New Roman" w:hAnsi="Times New Roman" w:eastAsia="宋体" w:cs="Times New Roman"/>
          <w:sz w:val="21"/>
          <w:szCs w:val="21"/>
          <w:highlight w:val="none"/>
          <w:lang w:val="en-US" w:eastAsia="zh-CN"/>
        </w:rPr>
        <w:t>%，低于全球水平（</w:t>
      </w:r>
      <w:r>
        <w:rPr>
          <w:rFonts w:hint="eastAsia" w:ascii="Times New Roman" w:hAnsi="Times New Roman" w:cs="Times New Roman"/>
          <w:sz w:val="21"/>
          <w:szCs w:val="21"/>
          <w:highlight w:val="none"/>
          <w:lang w:val="en-US" w:eastAsia="zh-CN"/>
        </w:rPr>
        <w:t>60</w:t>
      </w:r>
      <w:r>
        <w:rPr>
          <w:rFonts w:hint="default" w:ascii="Times New Roman" w:hAnsi="Times New Roman" w:eastAsia="宋体" w:cs="Times New Roman"/>
          <w:sz w:val="21"/>
          <w:szCs w:val="21"/>
          <w:highlight w:val="none"/>
          <w:lang w:val="en-US" w:eastAsia="zh-CN"/>
        </w:rPr>
        <w:t>%）。（2）中国缺乏高质量临床研究。</w:t>
      </w:r>
      <w:r>
        <w:rPr>
          <w:rFonts w:hint="eastAsia" w:ascii="Times New Roman" w:hAnsi="Times New Roman" w:cs="Times New Roman"/>
          <w:sz w:val="21"/>
          <w:szCs w:val="21"/>
          <w:highlight w:val="none"/>
          <w:lang w:val="en-US" w:eastAsia="zh-CN"/>
        </w:rPr>
        <w:t>有少数几个MDR-TB</w:t>
      </w:r>
      <w:r>
        <w:rPr>
          <w:rFonts w:hint="default" w:ascii="Times New Roman" w:hAnsi="Times New Roman" w:eastAsia="宋体" w:cs="Times New Roman"/>
          <w:sz w:val="21"/>
          <w:szCs w:val="21"/>
          <w:highlight w:val="none"/>
          <w:lang w:val="en-US" w:eastAsia="zh-CN"/>
        </w:rPr>
        <w:t>治疗的临床研究</w:t>
      </w:r>
      <w:r>
        <w:rPr>
          <w:rFonts w:hint="eastAsia" w:ascii="Times New Roman" w:hAnsi="Times New Roman" w:cs="Times New Roman"/>
          <w:sz w:val="21"/>
          <w:szCs w:val="21"/>
          <w:highlight w:val="none"/>
          <w:lang w:val="en-US" w:eastAsia="zh-CN"/>
        </w:rPr>
        <w:t>正在开展</w:t>
      </w:r>
      <w:r>
        <w:rPr>
          <w:rFonts w:hint="default" w:ascii="Times New Roman" w:hAnsi="Times New Roman" w:eastAsia="宋体" w:cs="Times New Roman"/>
          <w:sz w:val="21"/>
          <w:szCs w:val="21"/>
          <w:highlight w:val="none"/>
          <w:lang w:val="en-US" w:eastAsia="zh-CN"/>
        </w:rPr>
        <w:t>，</w:t>
      </w:r>
      <w:r>
        <w:rPr>
          <w:rFonts w:hint="eastAsia" w:ascii="Times New Roman" w:hAnsi="Times New Roman" w:cs="Times New Roman"/>
          <w:sz w:val="21"/>
          <w:szCs w:val="21"/>
          <w:highlight w:val="none"/>
          <w:lang w:val="en-US" w:eastAsia="zh-CN"/>
        </w:rPr>
        <w:t>尚</w:t>
      </w:r>
      <w:r>
        <w:rPr>
          <w:rFonts w:hint="default" w:ascii="Times New Roman" w:hAnsi="Times New Roman" w:eastAsia="宋体" w:cs="Times New Roman"/>
          <w:sz w:val="21"/>
          <w:szCs w:val="21"/>
          <w:highlight w:val="none"/>
          <w:lang w:val="en-US" w:eastAsia="zh-CN"/>
        </w:rPr>
        <w:t>缺乏中国人群的</w:t>
      </w:r>
      <w:r>
        <w:rPr>
          <w:rFonts w:hint="eastAsia" w:ascii="Times New Roman" w:hAnsi="Times New Roman" w:cs="Times New Roman"/>
          <w:sz w:val="21"/>
          <w:szCs w:val="21"/>
          <w:highlight w:val="none"/>
          <w:lang w:val="en-US" w:eastAsia="zh-CN"/>
        </w:rPr>
        <w:t>治疗</w:t>
      </w:r>
      <w:r>
        <w:rPr>
          <w:rFonts w:hint="default" w:ascii="Times New Roman" w:hAnsi="Times New Roman" w:eastAsia="宋体" w:cs="Times New Roman"/>
          <w:sz w:val="21"/>
          <w:szCs w:val="21"/>
          <w:highlight w:val="none"/>
          <w:lang w:val="en-US" w:eastAsia="zh-CN"/>
        </w:rPr>
        <w:t>有效性和安全性数据，</w:t>
      </w:r>
      <w:r>
        <w:rPr>
          <w:rFonts w:hint="eastAsia" w:ascii="Times New Roman" w:hAnsi="Times New Roman" w:cs="Times New Roman"/>
          <w:sz w:val="21"/>
          <w:szCs w:val="21"/>
          <w:highlight w:val="none"/>
          <w:lang w:val="en-US" w:eastAsia="zh-CN"/>
        </w:rPr>
        <w:t>更</w:t>
      </w:r>
      <w:r>
        <w:rPr>
          <w:rFonts w:hint="default" w:ascii="Times New Roman" w:hAnsi="Times New Roman" w:eastAsia="宋体" w:cs="Times New Roman"/>
          <w:sz w:val="21"/>
          <w:szCs w:val="21"/>
          <w:highlight w:val="none"/>
          <w:lang w:val="en-US" w:eastAsia="zh-CN"/>
        </w:rPr>
        <w:t>没有形成适合本土的治疗方案，我国在</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治疗领域的临床研究几乎是空白。实际上，直到2019年我国才推出短程治疗方案相关的共识和指南，其中并没有本土研究的循证证据支持，多数意见来源于国外指南的建议。（3）新药价格十分昂贵。国际上研究方案多包含新药贝达喹啉，但贝达喹啉自从2020年1月1日在中国上市后，6个月的疗程需要68200元人民币，相当</w:t>
      </w:r>
      <w:r>
        <w:rPr>
          <w:rFonts w:hint="eastAsia" w:ascii="Times New Roman" w:hAnsi="Times New Roman" w:cs="Times New Roman"/>
          <w:sz w:val="21"/>
          <w:szCs w:val="21"/>
          <w:highlight w:val="none"/>
          <w:lang w:val="en-US" w:eastAsia="zh-CN"/>
        </w:rPr>
        <w:t>多的MDR-TB</w:t>
      </w:r>
      <w:r>
        <w:rPr>
          <w:rFonts w:hint="default" w:ascii="Times New Roman" w:hAnsi="Times New Roman" w:eastAsia="宋体" w:cs="Times New Roman"/>
          <w:sz w:val="21"/>
          <w:szCs w:val="21"/>
          <w:highlight w:val="none"/>
          <w:lang w:val="en-US" w:eastAsia="zh-CN"/>
        </w:rPr>
        <w:t>患者无法负担此药，很大程度上需要依靠当地的医保报销政策才能用药。（5）部分新药没有进入中国市场，如普瑞马尼。</w:t>
      </w:r>
      <w:r>
        <w:rPr>
          <w:rFonts w:hint="eastAsia" w:ascii="Times New Roman" w:hAnsi="Times New Roman" w:cs="Times New Roman"/>
          <w:sz w:val="21"/>
          <w:szCs w:val="21"/>
          <w:highlight w:val="none"/>
          <w:lang w:val="en-US" w:eastAsia="zh-CN"/>
        </w:rPr>
        <w:t>德拉马尼</w:t>
      </w:r>
      <w:r>
        <w:rPr>
          <w:rFonts w:hint="default" w:ascii="Times New Roman" w:hAnsi="Times New Roman" w:eastAsia="宋体" w:cs="Times New Roman"/>
          <w:sz w:val="21"/>
          <w:szCs w:val="21"/>
          <w:highlight w:val="none"/>
          <w:lang w:val="en-US" w:eastAsia="zh-CN"/>
        </w:rPr>
        <w:t>于2018年3月12日获得中国药品监管当局批准上市，实际于2020年7月16日正式供应中国市场</w:t>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因此，中国亟需开展适合国情的高质量临床研究，以解决泱泱大国没有本土方案的尴尬局面，缓解</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的严峻疫情。</w:t>
      </w:r>
    </w:p>
    <w:p w14:paraId="2E9ABA7E">
      <w:pPr>
        <w:spacing w:line="360" w:lineRule="auto"/>
        <w:jc w:val="left"/>
        <w:outlineLvl w:val="1"/>
        <w:rPr>
          <w:rFonts w:hint="default" w:ascii="Times New Roman" w:hAnsi="Times New Roman" w:eastAsia="宋体" w:cs="Times New Roman"/>
          <w:b/>
          <w:sz w:val="28"/>
          <w:szCs w:val="28"/>
          <w:highlight w:val="none"/>
        </w:rPr>
      </w:pPr>
      <w:r>
        <w:rPr>
          <w:rFonts w:hint="default" w:ascii="Times New Roman" w:hAnsi="Times New Roman" w:eastAsia="宋体" w:cs="Times New Roman"/>
          <w:b/>
          <w:sz w:val="28"/>
          <w:szCs w:val="28"/>
          <w:highlight w:val="none"/>
          <w:lang w:eastAsia="zh-CN"/>
        </w:rPr>
        <w:t>二、</w:t>
      </w:r>
      <w:r>
        <w:rPr>
          <w:rFonts w:hint="default" w:ascii="Times New Roman" w:hAnsi="Times New Roman" w:eastAsia="宋体" w:cs="Times New Roman"/>
          <w:b/>
          <w:sz w:val="28"/>
          <w:szCs w:val="28"/>
          <w:highlight w:val="none"/>
        </w:rPr>
        <w:t>国内外研究现状和发展趋势</w:t>
      </w:r>
    </w:p>
    <w:p w14:paraId="10FA283B">
      <w:pPr>
        <w:spacing w:line="360" w:lineRule="auto"/>
        <w:ind w:firstLine="422" w:firstLineChars="200"/>
        <w:jc w:val="left"/>
        <w:outlineLvl w:val="1"/>
        <w:rPr>
          <w:rFonts w:hint="default" w:ascii="Times New Roman" w:hAnsi="Times New Roman" w:eastAsia="宋体" w:cs="Times New Roman"/>
          <w:b/>
          <w:bCs/>
          <w:sz w:val="28"/>
          <w:szCs w:val="28"/>
          <w:highlight w:val="none"/>
          <w:lang w:eastAsia="zh-CN"/>
        </w:rPr>
      </w:pPr>
      <w:r>
        <w:rPr>
          <w:rFonts w:hint="default" w:ascii="Times New Roman" w:hAnsi="Times New Roman" w:eastAsia="宋体" w:cs="Times New Roman"/>
          <w:b/>
          <w:bCs/>
          <w:sz w:val="21"/>
          <w:szCs w:val="21"/>
          <w:highlight w:val="none"/>
          <w:lang w:eastAsia="zh-CN"/>
        </w:rPr>
        <w:t>（一）国内外临床研究现状</w:t>
      </w:r>
    </w:p>
    <w:p w14:paraId="5E1D66FD">
      <w:pPr>
        <w:spacing w:line="360" w:lineRule="auto"/>
        <w:ind w:firstLine="420" w:firstLineChars="200"/>
        <w:jc w:val="left"/>
        <w:rPr>
          <w:rFonts w:hint="default" w:ascii="Times New Roman" w:hAnsi="Times New Roman" w:eastAsia="宋体" w:cs="Times New Roman"/>
          <w:highlight w:val="none"/>
          <w:lang w:val="en-US" w:eastAsia="zh-CN"/>
        </w:rPr>
      </w:pPr>
      <w:r>
        <w:rPr>
          <w:rFonts w:hint="default" w:ascii="Times New Roman" w:hAnsi="Times New Roman" w:eastAsia="宋体" w:cs="Times New Roman"/>
          <w:sz w:val="21"/>
          <w:szCs w:val="21"/>
          <w:highlight w:val="none"/>
          <w:lang w:val="en-US" w:eastAsia="zh-CN"/>
        </w:rPr>
        <w:t>缩短疗程是</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治疗的发展趋势。WHO指南指出使用长程方案治疗的患者，如果治疗反应良好，可以适当缩短疗程。实际上，目前在</w:t>
      </w:r>
      <w:r>
        <w:rPr>
          <w:rFonts w:hint="eastAsia" w:ascii="Times New Roman" w:hAnsi="Times New Roman" w:cs="Times New Roman"/>
          <w:sz w:val="21"/>
          <w:szCs w:val="21"/>
          <w:highlight w:val="none"/>
          <w:lang w:val="en-US" w:eastAsia="zh-CN"/>
        </w:rPr>
        <w:t>MDR-TB</w:t>
      </w:r>
      <w:r>
        <w:rPr>
          <w:rFonts w:hint="default" w:ascii="Times New Roman" w:hAnsi="Times New Roman" w:eastAsia="宋体" w:cs="Times New Roman"/>
          <w:sz w:val="21"/>
          <w:szCs w:val="21"/>
          <w:highlight w:val="none"/>
          <w:lang w:val="en-US" w:eastAsia="zh-CN"/>
        </w:rPr>
        <w:t>治疗领域，国际上大部分研究都聚焦于短程方案研究，例如：（1）有些研究使用具有强大杀菌作用的药物组合。例如，Nix-TB研究使用贝达喹啉/普托马尼/利奈唑胺、6个月疗程的方案，纳入广泛耐药结核病比例较大的患者人群，良好结局率达90%</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NE.Ref.{87417056-3AF4-4622-8E64-CFE6B1565A6E}</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[8]</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。SimpliciTB研究使用贝达喹啉/普托马尼/莫西沙星/吡嗪酰胺、6个月方案，发现在前2个月的杀菌效果良好</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NE.Ref.{5BD88AC2-49C4-47A4-85A0-1B9DDE33DCD5}</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[9]</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w:t>
      </w:r>
      <w:r>
        <w:rPr>
          <w:rFonts w:hint="eastAsia" w:ascii="Times New Roman" w:hAnsi="Times New Roman" w:cs="Times New Roman"/>
          <w:sz w:val="21"/>
          <w:szCs w:val="21"/>
          <w:highlight w:val="none"/>
          <w:lang w:val="en-US" w:eastAsia="zh-CN"/>
        </w:rPr>
        <w:t>TB-PRACTICAL研究使用贝达喹啉、利奈唑胺、利奈唑胺、莫西沙星方案，有效性和安全性良好</w:t>
      </w:r>
      <w:r>
        <w:rPr>
          <w:rFonts w:hint="eastAsia" w:ascii="Times New Roman" w:hAnsi="Times New Roman"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NE.Ref.{CA8153BA-5C7B-46BB-9191-901A5F5D388F}</w:instrText>
      </w:r>
      <w:r>
        <w:rPr>
          <w:rFonts w:hint="eastAsia" w:ascii="Times New Roman" w:hAnsi="Times New Roman" w:cs="Times New Roman"/>
          <w:sz w:val="21"/>
          <w:szCs w:val="21"/>
          <w:highlight w:val="none"/>
          <w:lang w:val="en-US" w:eastAsia="zh-CN"/>
        </w:rPr>
        <w:fldChar w:fldCharType="separate"/>
      </w:r>
      <w:r>
        <w:rPr>
          <w:rFonts w:hint="eastAsia" w:ascii="宋体" w:hAnsi="宋体"/>
          <w:color w:val="080000"/>
          <w:sz w:val="21"/>
          <w:szCs w:val="24"/>
          <w:vertAlign w:val="superscript"/>
        </w:rPr>
        <w:t>[10]</w:t>
      </w:r>
      <w:r>
        <w:rPr>
          <w:rFonts w:hint="eastAsia" w:ascii="Times New Roman" w:hAnsi="Times New Roman" w:cs="Times New Roman"/>
          <w:sz w:val="21"/>
          <w:szCs w:val="21"/>
          <w:highlight w:val="none"/>
          <w:lang w:val="en-US" w:eastAsia="zh-CN"/>
        </w:rPr>
        <w:fldChar w:fldCharType="end"/>
      </w:r>
      <w:r>
        <w:rPr>
          <w:rFonts w:hint="eastAsia" w:ascii="Times New Roman" w:hAnsi="Times New Roman" w:cs="Times New Roman"/>
          <w:sz w:val="21"/>
          <w:szCs w:val="21"/>
          <w:highlight w:val="none"/>
          <w:lang w:val="en-US" w:eastAsia="zh-CN"/>
        </w:rPr>
        <w:t>。</w:t>
      </w:r>
      <w:r>
        <w:rPr>
          <w:rFonts w:hint="default" w:ascii="Times New Roman" w:hAnsi="Times New Roman" w:eastAsia="宋体" w:cs="Times New Roman"/>
          <w:sz w:val="21"/>
          <w:szCs w:val="21"/>
          <w:highlight w:val="none"/>
          <w:lang w:val="en-US" w:eastAsia="zh-CN"/>
        </w:rPr>
        <w:t>（2）有些研究提高快速检测耐药性的能力，指导选择有效的药物。比如，华山医院张文宏等报道了使用全基因组测序检测吡嗪酰胺耐药性指导下的、吡嗪酰胺/阿米卡星/左氧氟沙星/丙硫异烟胺/克拉霉素、12个月疗程的方案，治疗成功率达82.4%</w:t>
      </w:r>
      <w:r>
        <w:rPr>
          <w:rFonts w:hint="default" w:ascii="Times New Roman" w:hAnsi="Times New Roman" w:eastAsia="宋体" w:cs="Times New Roman"/>
          <w:sz w:val="21"/>
          <w:szCs w:val="21"/>
          <w:highlight w:val="none"/>
          <w:lang w:val="en-US" w:eastAsia="zh-CN"/>
        </w:rPr>
        <w:fldChar w:fldCharType="begin"/>
      </w:r>
      <w:r>
        <w:rPr>
          <w:rFonts w:hint="eastAsia" w:ascii="Times New Roman" w:hAnsi="Times New Roman" w:cs="Times New Roman"/>
          <w:sz w:val="21"/>
          <w:szCs w:val="21"/>
          <w:highlight w:val="none"/>
          <w:lang w:val="en-US" w:eastAsia="zh-CN"/>
        </w:rPr>
        <w:instrText xml:space="preserve"> ADDIN NE.Ref.{1F75CECF-F70C-4164-9112-1F4E5E0B6DF1}</w:instrText>
      </w:r>
      <w:r>
        <w:rPr>
          <w:rFonts w:hint="default" w:ascii="Times New Roman" w:hAnsi="Times New Roman" w:eastAsia="宋体" w:cs="Times New Roman"/>
          <w:sz w:val="21"/>
          <w:szCs w:val="21"/>
          <w:highlight w:val="none"/>
          <w:lang w:val="en-US" w:eastAsia="zh-CN"/>
        </w:rPr>
        <w:fldChar w:fldCharType="separate"/>
      </w:r>
      <w:r>
        <w:rPr>
          <w:rFonts w:hint="eastAsia" w:ascii="宋体" w:hAnsi="宋体"/>
          <w:color w:val="080000"/>
          <w:sz w:val="21"/>
          <w:szCs w:val="24"/>
          <w:vertAlign w:val="superscript"/>
        </w:rPr>
        <w:t>[11]</w:t>
      </w:r>
      <w:r>
        <w:rPr>
          <w:rFonts w:hint="default" w:ascii="Times New Roman" w:hAnsi="Times New Roman" w:eastAsia="宋体" w:cs="Times New Roman"/>
          <w:sz w:val="21"/>
          <w:szCs w:val="21"/>
          <w:highlight w:val="none"/>
          <w:lang w:val="en-US" w:eastAsia="zh-CN"/>
        </w:rPr>
        <w:fldChar w:fldCharType="end"/>
      </w:r>
      <w:r>
        <w:rPr>
          <w:rFonts w:hint="default" w:ascii="Times New Roman" w:hAnsi="Times New Roman" w:eastAsia="宋体" w:cs="Times New Roman"/>
          <w:sz w:val="21"/>
          <w:szCs w:val="21"/>
          <w:highlight w:val="none"/>
          <w:lang w:val="en-US" w:eastAsia="zh-CN"/>
        </w:rPr>
        <w:t>。截至目前，</w:t>
      </w:r>
      <w:r>
        <w:rPr>
          <w:rFonts w:hint="eastAsia" w:ascii="Times New Roman" w:hAnsi="Times New Roman" w:cs="Times New Roman"/>
          <w:sz w:val="21"/>
          <w:szCs w:val="21"/>
          <w:highlight w:val="none"/>
          <w:lang w:val="en-US" w:eastAsia="zh-CN"/>
        </w:rPr>
        <w:t>许多</w:t>
      </w:r>
      <w:r>
        <w:rPr>
          <w:rFonts w:hint="default" w:ascii="Times New Roman" w:hAnsi="Times New Roman" w:eastAsia="宋体" w:cs="Times New Roman"/>
          <w:sz w:val="21"/>
          <w:szCs w:val="21"/>
          <w:highlight w:val="none"/>
          <w:lang w:val="en-US" w:eastAsia="zh-CN"/>
        </w:rPr>
        <w:t>国际大型研究结果尚未发表（预计部分研究结果将于2022</w:t>
      </w:r>
      <w:r>
        <w:rPr>
          <w:rFonts w:hint="eastAsia" w:ascii="Times New Roman" w:hAnsi="Times New Roman" w:cs="Times New Roman"/>
          <w:sz w:val="21"/>
          <w:szCs w:val="21"/>
          <w:highlight w:val="none"/>
          <w:lang w:val="en-US" w:eastAsia="zh-CN"/>
        </w:rPr>
        <w:t>-2023</w:t>
      </w:r>
      <w:r>
        <w:rPr>
          <w:rFonts w:hint="default" w:ascii="Times New Roman" w:hAnsi="Times New Roman" w:eastAsia="宋体" w:cs="Times New Roman"/>
          <w:sz w:val="21"/>
          <w:szCs w:val="21"/>
          <w:highlight w:val="none"/>
          <w:lang w:val="en-US" w:eastAsia="zh-CN"/>
        </w:rPr>
        <w:t>年发表），</w:t>
      </w:r>
      <w:r>
        <w:rPr>
          <w:rFonts w:hint="default" w:ascii="Times New Roman" w:hAnsi="Times New Roman" w:eastAsia="宋体" w:cs="Times New Roman"/>
          <w:highlight w:val="none"/>
          <w:lang w:val="en-US" w:eastAsia="zh-CN"/>
        </w:rPr>
        <w:t>目前国际上重要的</w:t>
      </w:r>
      <w:r>
        <w:rPr>
          <w:rFonts w:hint="eastAsia" w:ascii="Times New Roman" w:hAnsi="Times New Roman" w:cs="Times New Roman"/>
          <w:highlight w:val="none"/>
          <w:lang w:val="en-US" w:eastAsia="zh-CN"/>
        </w:rPr>
        <w:t>MDR-TB</w:t>
      </w:r>
      <w:r>
        <w:rPr>
          <w:rFonts w:hint="default" w:ascii="Times New Roman" w:hAnsi="Times New Roman" w:eastAsia="宋体" w:cs="Times New Roman"/>
          <w:highlight w:val="none"/>
          <w:lang w:val="en-US" w:eastAsia="zh-CN"/>
        </w:rPr>
        <w:t>短程研究包括</w:t>
      </w:r>
      <w:r>
        <w:rPr>
          <w:rFonts w:hint="default" w:ascii="Times New Roman" w:hAnsi="Times New Roman" w:eastAsia="宋体" w:cs="Times New Roman"/>
          <w:highlight w:val="none"/>
          <w:lang w:val="en-US" w:eastAsia="zh-CN"/>
        </w:rPr>
        <w:fldChar w:fldCharType="begin"/>
      </w:r>
      <w:r>
        <w:rPr>
          <w:rFonts w:hint="eastAsia" w:ascii="Times New Roman" w:hAnsi="Times New Roman" w:cs="Times New Roman"/>
          <w:highlight w:val="none"/>
          <w:lang w:val="en-US" w:eastAsia="zh-CN"/>
        </w:rPr>
        <w:instrText xml:space="preserve"> ADDIN NE.Ref.{BA100E89-C572-4F85-A810-BAC2C7F2064C}</w:instrText>
      </w:r>
      <w:r>
        <w:rPr>
          <w:rFonts w:hint="default" w:ascii="Times New Roman" w:hAnsi="Times New Roman" w:eastAsia="宋体" w:cs="Times New Roman"/>
          <w:highlight w:val="none"/>
          <w:lang w:val="en-US" w:eastAsia="zh-CN"/>
        </w:rPr>
        <w:fldChar w:fldCharType="separate"/>
      </w:r>
      <w:r>
        <w:rPr>
          <w:rFonts w:hint="eastAsia" w:ascii="宋体" w:hAnsi="宋体"/>
          <w:color w:val="080000"/>
          <w:sz w:val="21"/>
          <w:szCs w:val="24"/>
          <w:vertAlign w:val="superscript"/>
        </w:rPr>
        <w:t>[1]</w:t>
      </w:r>
      <w:r>
        <w:rPr>
          <w:rFonts w:hint="default" w:ascii="Times New Roman" w:hAnsi="Times New Roman" w:eastAsia="宋体" w:cs="Times New Roman"/>
          <w:highlight w:val="none"/>
          <w:lang w:val="en-US" w:eastAsia="zh-CN"/>
        </w:rPr>
        <w:fldChar w:fldCharType="end"/>
      </w:r>
      <w:r>
        <w:rPr>
          <w:rFonts w:hint="default" w:ascii="Times New Roman" w:hAnsi="Times New Roman" w:eastAsia="宋体" w:cs="Times New Roman"/>
          <w:highlight w:val="none"/>
          <w:lang w:val="en-US" w:eastAsia="zh-CN"/>
        </w:rPr>
        <w:t>：STREAM二阶段、NiX-TB等（三期临床试验）；NExT Tiral、endTB等（方案优化或上市后评价）。重要的敏感结核病研究包括：RIFASHORT、CDC TBTC31等（三期临床试验）；PredictTB、TRUNCATE-TB Trial等（方案优化或上市后评价）。在耐多药研究方面，国外研究方案中</w:t>
      </w:r>
      <w:r>
        <w:rPr>
          <w:rFonts w:hint="eastAsia" w:ascii="Times New Roman" w:hAnsi="Times New Roman" w:cs="Times New Roman"/>
          <w:highlight w:val="none"/>
          <w:lang w:val="en-US" w:eastAsia="zh-CN"/>
        </w:rPr>
        <w:t>许多</w:t>
      </w:r>
      <w:r>
        <w:rPr>
          <w:rFonts w:hint="default" w:ascii="Times New Roman" w:hAnsi="Times New Roman" w:eastAsia="宋体" w:cs="Times New Roman"/>
          <w:highlight w:val="none"/>
          <w:lang w:val="en-US" w:eastAsia="zh-CN"/>
        </w:rPr>
        <w:t>包括新药</w:t>
      </w:r>
      <w:r>
        <w:rPr>
          <w:rFonts w:hint="eastAsia" w:ascii="Times New Roman" w:hAnsi="Times New Roman" w:cs="Times New Roman"/>
          <w:highlight w:val="none"/>
          <w:lang w:val="en-US" w:eastAsia="zh-CN"/>
        </w:rPr>
        <w:t>普托马尼</w:t>
      </w:r>
      <w:r>
        <w:rPr>
          <w:rFonts w:hint="default" w:ascii="Times New Roman" w:hAnsi="Times New Roman" w:eastAsia="宋体" w:cs="Times New Roman"/>
          <w:highlight w:val="none"/>
          <w:lang w:val="en-US" w:eastAsia="zh-CN"/>
        </w:rPr>
        <w:t>，但我国的药物可及性较差。在敏感结核病方案，PredictTB评估PET/CT、生物标志物对于敏感结核病缩短疗程的作用，但在</w:t>
      </w:r>
      <w:r>
        <w:rPr>
          <w:rFonts w:hint="eastAsia" w:ascii="Times New Roman" w:hAnsi="Times New Roman" w:cs="Times New Roman"/>
          <w:highlight w:val="none"/>
          <w:lang w:val="en-US" w:eastAsia="zh-CN"/>
        </w:rPr>
        <w:t>MDR-TB</w:t>
      </w:r>
      <w:r>
        <w:rPr>
          <w:rFonts w:hint="default" w:ascii="Times New Roman" w:hAnsi="Times New Roman" w:eastAsia="宋体" w:cs="Times New Roman"/>
          <w:highlight w:val="none"/>
          <w:lang w:val="en-US" w:eastAsia="zh-CN"/>
        </w:rPr>
        <w:t>方面尚无类似的临床研究。</w:t>
      </w:r>
      <w:r>
        <w:rPr>
          <w:rFonts w:hint="default" w:ascii="Times New Roman" w:hAnsi="Times New Roman" w:eastAsia="宋体" w:cs="Times New Roman"/>
          <w:sz w:val="21"/>
          <w:szCs w:val="21"/>
          <w:highlight w:val="none"/>
          <w:lang w:val="en-US" w:eastAsia="zh-CN"/>
        </w:rPr>
        <w:t>国内临床研究</w:t>
      </w:r>
      <w:r>
        <w:rPr>
          <w:rFonts w:hint="default" w:ascii="Times New Roman" w:hAnsi="Times New Roman" w:eastAsia="宋体" w:cs="Times New Roman"/>
          <w:highlight w:val="none"/>
          <w:lang w:val="en-US" w:eastAsia="zh-CN"/>
        </w:rPr>
        <w:t>寥寥无几，北京、上海等地有个别研究正在开展。</w:t>
      </w:r>
    </w:p>
    <w:p w14:paraId="7FFD75BE">
      <w:pPr>
        <w:spacing w:line="360" w:lineRule="auto"/>
        <w:ind w:firstLine="422" w:firstLineChars="200"/>
        <w:jc w:val="left"/>
        <w:rPr>
          <w:rFonts w:hint="eastAsia" w:ascii="Times New Roman" w:hAnsi="Times New Roman" w:eastAsia="宋体" w:cs="Times New Roman"/>
          <w:b/>
          <w:bCs/>
          <w:highlight w:val="none"/>
          <w:lang w:val="en-US" w:eastAsia="zh-CN"/>
        </w:rPr>
      </w:pPr>
      <w:r>
        <w:rPr>
          <w:rFonts w:hint="eastAsia" w:ascii="Times New Roman" w:hAnsi="Times New Roman" w:eastAsia="宋体" w:cs="Times New Roman"/>
          <w:b/>
          <w:bCs/>
          <w:highlight w:val="none"/>
          <w:lang w:val="en-US" w:eastAsia="zh-CN"/>
        </w:rPr>
        <w:t>（二）贝达喹啉、德拉马尼、利奈唑胺</w:t>
      </w:r>
      <w:r>
        <w:rPr>
          <w:rFonts w:hint="eastAsia" w:ascii="Times New Roman" w:hAnsi="Times New Roman" w:cs="Times New Roman"/>
          <w:b/>
          <w:bCs/>
          <w:highlight w:val="none"/>
          <w:lang w:val="en-US" w:eastAsia="zh-CN"/>
        </w:rPr>
        <w:t>、莫西沙星</w:t>
      </w:r>
      <w:r>
        <w:rPr>
          <w:rFonts w:hint="eastAsia" w:ascii="Times New Roman" w:hAnsi="Times New Roman" w:eastAsia="宋体" w:cs="Times New Roman"/>
          <w:b/>
          <w:bCs/>
          <w:highlight w:val="none"/>
          <w:lang w:val="en-US" w:eastAsia="zh-CN"/>
        </w:rPr>
        <w:t>联合方案的可行性</w:t>
      </w:r>
    </w:p>
    <w:p w14:paraId="6BE26BA7">
      <w:pPr>
        <w:spacing w:line="360" w:lineRule="auto"/>
        <w:ind w:firstLine="420" w:firstLineChars="200"/>
        <w:jc w:val="left"/>
        <w:rPr>
          <w:rFonts w:hint="default" w:ascii="Times New Roman" w:hAnsi="Times New Roman" w:eastAsia="宋体" w:cs="Times New Roman"/>
          <w:highlight w:val="none"/>
          <w:lang w:val="en-US" w:eastAsia="zh-CN"/>
        </w:rPr>
      </w:pPr>
      <w:r>
        <w:rPr>
          <w:rFonts w:hint="eastAsia" w:ascii="Times New Roman" w:hAnsi="Times New Roman" w:cs="Times New Roman"/>
          <w:highlight w:val="none"/>
          <w:lang w:val="en-US" w:eastAsia="zh-CN"/>
        </w:rPr>
        <w:t>MDR-TB</w:t>
      </w:r>
      <w:r>
        <w:rPr>
          <w:rFonts w:hint="default" w:ascii="Times New Roman" w:hAnsi="Times New Roman" w:eastAsia="宋体" w:cs="Times New Roman"/>
          <w:highlight w:val="none"/>
          <w:lang w:val="en-US" w:eastAsia="zh-CN"/>
        </w:rPr>
        <w:t>治疗在过去十年中发生了很大变化</w:t>
      </w:r>
      <w:r>
        <w:rPr>
          <w:rFonts w:hint="eastAsia" w:ascii="Times New Roman" w:hAnsi="Times New Roman" w:cs="Times New Roman"/>
          <w:highlight w:val="none"/>
          <w:lang w:val="en-US" w:eastAsia="zh-CN"/>
        </w:rPr>
        <w:t>，这与</w:t>
      </w:r>
      <w:r>
        <w:rPr>
          <w:rFonts w:hint="default" w:ascii="Times New Roman" w:hAnsi="Times New Roman" w:eastAsia="宋体" w:cs="Times New Roman"/>
          <w:highlight w:val="none"/>
          <w:lang w:val="en-US" w:eastAsia="zh-CN"/>
        </w:rPr>
        <w:t>三种新化合物的批准</w:t>
      </w:r>
      <w:r>
        <w:rPr>
          <w:rFonts w:hint="eastAsia" w:ascii="Times New Roman" w:hAnsi="Times New Roman" w:cs="Times New Roman"/>
          <w:highlight w:val="none"/>
          <w:lang w:val="en-US" w:eastAsia="zh-CN"/>
        </w:rPr>
        <w:t>上市密切相关，即贝达喹啉</w:t>
      </w:r>
      <w:r>
        <w:rPr>
          <w:rFonts w:hint="default" w:ascii="Times New Roman" w:hAnsi="Times New Roman" w:eastAsia="宋体" w:cs="Times New Roman"/>
          <w:highlight w:val="none"/>
          <w:lang w:val="en-US" w:eastAsia="zh-CN"/>
        </w:rPr>
        <w:t>、</w:t>
      </w:r>
      <w:r>
        <w:rPr>
          <w:rFonts w:hint="eastAsia" w:ascii="Times New Roman" w:hAnsi="Times New Roman" w:cs="Times New Roman"/>
          <w:highlight w:val="none"/>
          <w:lang w:val="en-US" w:eastAsia="zh-CN"/>
        </w:rPr>
        <w:t>德拉马尼</w:t>
      </w:r>
      <w:r>
        <w:rPr>
          <w:rFonts w:hint="default" w:ascii="Times New Roman" w:hAnsi="Times New Roman" w:eastAsia="宋体" w:cs="Times New Roman"/>
          <w:highlight w:val="none"/>
          <w:lang w:val="en-US" w:eastAsia="zh-CN"/>
        </w:rPr>
        <w:t>和</w:t>
      </w:r>
      <w:r>
        <w:rPr>
          <w:rFonts w:hint="eastAsia" w:ascii="Times New Roman" w:hAnsi="Times New Roman" w:cs="Times New Roman"/>
          <w:highlight w:val="none"/>
          <w:lang w:val="en-US" w:eastAsia="zh-CN"/>
        </w:rPr>
        <w:t>普托马尼</w:t>
      </w:r>
      <w:r>
        <w:rPr>
          <w:rFonts w:hint="default" w:ascii="Times New Roman" w:hAnsi="Times New Roman" w:eastAsia="宋体" w:cs="Times New Roman"/>
          <w:highlight w:val="none"/>
          <w:lang w:val="en-US" w:eastAsia="zh-CN"/>
        </w:rPr>
        <w:t>。在这些药物中，</w:t>
      </w:r>
      <w:r>
        <w:rPr>
          <w:rFonts w:hint="eastAsia" w:ascii="Times New Roman" w:hAnsi="Times New Roman" w:cs="Times New Roman"/>
          <w:highlight w:val="none"/>
          <w:lang w:val="en-US" w:eastAsia="zh-CN"/>
        </w:rPr>
        <w:t>德拉马尼</w:t>
      </w:r>
      <w:r>
        <w:rPr>
          <w:rFonts w:hint="default" w:ascii="Times New Roman" w:hAnsi="Times New Roman" w:eastAsia="宋体" w:cs="Times New Roman"/>
          <w:highlight w:val="none"/>
          <w:lang w:val="en-US" w:eastAsia="zh-CN"/>
        </w:rPr>
        <w:t>和</w:t>
      </w:r>
      <w:r>
        <w:rPr>
          <w:rFonts w:hint="eastAsia" w:ascii="Times New Roman" w:hAnsi="Times New Roman" w:cs="Times New Roman"/>
          <w:highlight w:val="none"/>
          <w:lang w:val="en-US" w:eastAsia="zh-CN"/>
        </w:rPr>
        <w:t>普托马尼</w:t>
      </w:r>
      <w:r>
        <w:rPr>
          <w:rFonts w:hint="default" w:ascii="Times New Roman" w:hAnsi="Times New Roman" w:eastAsia="宋体" w:cs="Times New Roman"/>
          <w:highlight w:val="none"/>
          <w:lang w:val="en-US" w:eastAsia="zh-CN"/>
        </w:rPr>
        <w:t>属于同一类药物</w:t>
      </w:r>
      <w:r>
        <w:rPr>
          <w:rFonts w:hint="eastAsia" w:ascii="Times New Roman" w:hAnsi="Times New Roman" w:cs="Times New Roman"/>
          <w:highlight w:val="none"/>
          <w:lang w:val="en-US" w:eastAsia="zh-CN"/>
        </w:rPr>
        <w:t>（</w:t>
      </w:r>
      <w:r>
        <w:rPr>
          <w:rFonts w:hint="default" w:ascii="Times New Roman" w:hAnsi="Times New Roman" w:eastAsia="宋体" w:cs="Times New Roman"/>
          <w:highlight w:val="none"/>
          <w:lang w:val="en-US" w:eastAsia="zh-CN"/>
        </w:rPr>
        <w:t>硝基咪唑</w:t>
      </w:r>
      <w:r>
        <w:rPr>
          <w:rFonts w:hint="eastAsia" w:ascii="Times New Roman" w:hAnsi="Times New Roman" w:cs="Times New Roman"/>
          <w:highlight w:val="none"/>
          <w:lang w:val="en-US" w:eastAsia="zh-CN"/>
        </w:rPr>
        <w:t>）</w:t>
      </w:r>
      <w:r>
        <w:rPr>
          <w:rFonts w:hint="default" w:ascii="Times New Roman" w:hAnsi="Times New Roman" w:eastAsia="宋体" w:cs="Times New Roman"/>
          <w:highlight w:val="none"/>
          <w:lang w:val="en-US" w:eastAsia="zh-CN"/>
        </w:rPr>
        <w:t>。</w:t>
      </w:r>
      <w:r>
        <w:rPr>
          <w:rFonts w:hint="eastAsia" w:ascii="Times New Roman" w:hAnsi="Times New Roman" w:cs="Times New Roman"/>
          <w:highlight w:val="none"/>
          <w:lang w:val="en-US" w:eastAsia="zh-CN"/>
        </w:rPr>
        <w:t>BDL/M</w:t>
      </w:r>
      <w:r>
        <w:rPr>
          <w:rFonts w:hint="eastAsia" w:ascii="Times New Roman" w:hAnsi="Times New Roman" w:eastAsia="宋体" w:cs="Times New Roman"/>
          <w:highlight w:val="none"/>
          <w:lang w:val="en-US" w:eastAsia="zh-CN"/>
        </w:rPr>
        <w:t>方案</w:t>
      </w:r>
      <w:r>
        <w:rPr>
          <w:rFonts w:hint="eastAsia" w:ascii="Times New Roman" w:hAnsi="Times New Roman" w:cs="Times New Roman"/>
          <w:highlight w:val="none"/>
          <w:lang w:val="en-US" w:eastAsia="zh-CN"/>
        </w:rPr>
        <w:t>与现有的WHO推荐的BPLM方案的区别，在于德拉马尼和普托马尼的选用。以下证据表明德拉马尼和普托马尼具有相互替代的可行性。</w:t>
      </w:r>
    </w:p>
    <w:p w14:paraId="2679EBB0">
      <w:pPr>
        <w:spacing w:line="360" w:lineRule="auto"/>
        <w:ind w:firstLine="420" w:firstLineChars="200"/>
        <w:jc w:val="left"/>
        <w:rPr>
          <w:rFonts w:hint="default" w:ascii="Times New Roman" w:hAnsi="Times New Roman" w:eastAsia="宋体" w:cs="Times New Roman"/>
          <w:highlight w:val="none"/>
          <w:lang w:val="en-US" w:eastAsia="zh-CN"/>
        </w:rPr>
      </w:pPr>
      <w:r>
        <w:rPr>
          <w:rFonts w:hint="eastAsia" w:ascii="Times New Roman" w:hAnsi="Times New Roman" w:cs="Times New Roman"/>
          <w:highlight w:val="none"/>
          <w:lang w:val="en-US" w:eastAsia="zh-CN"/>
        </w:rPr>
        <w:t>1、药理学证据。根据Mudde等</w:t>
      </w:r>
      <w:r>
        <w:rPr>
          <w:rFonts w:hint="eastAsia" w:ascii="Times New Roman" w:hAnsi="Times New Roman" w:cs="Times New Roman"/>
          <w:highlight w:val="none"/>
          <w:lang w:val="en-US" w:eastAsia="zh-CN"/>
        </w:rPr>
        <w:fldChar w:fldCharType="begin"/>
      </w:r>
      <w:r>
        <w:rPr>
          <w:rFonts w:hint="eastAsia" w:ascii="Times New Roman" w:hAnsi="Times New Roman" w:cs="Times New Roman"/>
          <w:highlight w:val="none"/>
          <w:lang w:val="en-US" w:eastAsia="zh-CN"/>
        </w:rPr>
        <w:instrText xml:space="preserve"> ADDIN NE.Ref.{24061E44-E402-442C-ACF5-26A4D94F2A89}</w:instrText>
      </w:r>
      <w:r>
        <w:rPr>
          <w:rFonts w:hint="eastAsia" w:ascii="Times New Roman" w:hAnsi="Times New Roman" w:cs="Times New Roman"/>
          <w:highlight w:val="none"/>
          <w:lang w:val="en-US" w:eastAsia="zh-CN"/>
        </w:rPr>
        <w:fldChar w:fldCharType="separate"/>
      </w:r>
      <w:r>
        <w:rPr>
          <w:rFonts w:hint="eastAsia" w:ascii="宋体" w:hAnsi="宋体"/>
          <w:color w:val="080000"/>
          <w:sz w:val="21"/>
          <w:szCs w:val="24"/>
          <w:vertAlign w:val="superscript"/>
        </w:rPr>
        <w:t>[12]</w:t>
      </w:r>
      <w:r>
        <w:rPr>
          <w:rFonts w:hint="eastAsia" w:ascii="Times New Roman" w:hAnsi="Times New Roman" w:cs="Times New Roman"/>
          <w:highlight w:val="none"/>
          <w:lang w:val="en-US" w:eastAsia="zh-CN"/>
        </w:rPr>
        <w:fldChar w:fldCharType="end"/>
      </w:r>
      <w:r>
        <w:rPr>
          <w:rFonts w:hint="eastAsia" w:ascii="Times New Roman" w:hAnsi="Times New Roman" w:cs="Times New Roman"/>
          <w:highlight w:val="none"/>
          <w:lang w:val="en-US" w:eastAsia="zh-CN"/>
        </w:rPr>
        <w:t>综述，（1）普托马尼只抑制分枝杆菌酮基菌酸酯的合成而不抑制甲氧基菌酸酯的合成，而德拉马尼会同时抑制这两种物质的合成。（2）德拉马尼的体外MIC值要小于普托马尼（0.001-0.024mg/l vs. 0.012-0.200mg/l），提示德拉马尼的杀菌作用更强。但是体内头对头比较两个药物的数据较少。（3）对于德拉马尼和普托马尼的耐药基因研究尚未完全明确。某些结核分枝杆菌分离株已被描述为对德拉马尼或普托马尼耐药，但对另一种化合物仍有易感性。这可能意味着德拉马尼和普托马尼可以在某些疗法中相互替代。</w:t>
      </w:r>
    </w:p>
    <w:p w14:paraId="252132E6">
      <w:pPr>
        <w:spacing w:line="360" w:lineRule="auto"/>
        <w:ind w:firstLine="420" w:firstLineChars="200"/>
        <w:jc w:val="left"/>
        <w:rPr>
          <w:rFonts w:hint="default" w:ascii="Times New Roman" w:hAnsi="Times New Roman" w:eastAsia="宋体" w:cs="Times New Roman"/>
          <w:highlight w:val="none"/>
          <w:lang w:val="en-US" w:eastAsia="zh-CN"/>
        </w:rPr>
      </w:pPr>
      <w:r>
        <w:rPr>
          <w:rFonts w:hint="eastAsia" w:ascii="Times New Roman" w:hAnsi="Times New Roman" w:cs="Times New Roman"/>
          <w:highlight w:val="none"/>
          <w:lang w:val="en-US" w:eastAsia="zh-CN"/>
        </w:rPr>
        <w:t>2、</w:t>
      </w:r>
      <w:r>
        <w:rPr>
          <w:rFonts w:hint="eastAsia" w:ascii="Times New Roman" w:hAnsi="Times New Roman" w:eastAsia="宋体" w:cs="Times New Roman"/>
          <w:highlight w:val="none"/>
          <w:lang w:val="en-US" w:eastAsia="zh-CN"/>
        </w:rPr>
        <w:t>动物试验。Pieterman</w:t>
      </w:r>
      <w:r>
        <w:rPr>
          <w:rFonts w:hint="eastAsia" w:ascii="Times New Roman" w:hAnsi="Times New Roman" w:cs="Times New Roman"/>
          <w:highlight w:val="none"/>
          <w:lang w:val="en-US" w:eastAsia="zh-CN"/>
        </w:rPr>
        <w:t>等</w:t>
      </w:r>
      <w:r>
        <w:rPr>
          <w:rFonts w:hint="eastAsia" w:ascii="Times New Roman" w:hAnsi="Times New Roman" w:cs="Times New Roman"/>
          <w:highlight w:val="none"/>
          <w:lang w:val="en-US" w:eastAsia="zh-CN"/>
        </w:rPr>
        <w:fldChar w:fldCharType="begin"/>
      </w:r>
      <w:r>
        <w:rPr>
          <w:rFonts w:hint="eastAsia" w:ascii="Times New Roman" w:hAnsi="Times New Roman" w:cs="Times New Roman"/>
          <w:highlight w:val="none"/>
          <w:lang w:val="en-US" w:eastAsia="zh-CN"/>
        </w:rPr>
        <w:instrText xml:space="preserve"> ADDIN NE.Ref.{209460C6-0574-4A21-A6B9-1BB494488BC8}</w:instrText>
      </w:r>
      <w:r>
        <w:rPr>
          <w:rFonts w:hint="eastAsia" w:ascii="Times New Roman" w:hAnsi="Times New Roman" w:cs="Times New Roman"/>
          <w:highlight w:val="none"/>
          <w:lang w:val="en-US" w:eastAsia="zh-CN"/>
        </w:rPr>
        <w:fldChar w:fldCharType="separate"/>
      </w:r>
      <w:r>
        <w:rPr>
          <w:rFonts w:hint="eastAsia" w:ascii="宋体" w:hAnsi="宋体"/>
          <w:color w:val="080000"/>
          <w:sz w:val="21"/>
          <w:szCs w:val="24"/>
          <w:vertAlign w:val="superscript"/>
        </w:rPr>
        <w:t>[13]</w:t>
      </w:r>
      <w:r>
        <w:rPr>
          <w:rFonts w:hint="eastAsia" w:ascii="Times New Roman" w:hAnsi="Times New Roman" w:cs="Times New Roman"/>
          <w:highlight w:val="none"/>
          <w:lang w:val="en-US" w:eastAsia="zh-CN"/>
        </w:rPr>
        <w:fldChar w:fldCharType="end"/>
      </w:r>
      <w:r>
        <w:rPr>
          <w:rFonts w:hint="eastAsia" w:ascii="Times New Roman" w:hAnsi="Times New Roman" w:cs="Times New Roman"/>
          <w:highlight w:val="none"/>
          <w:lang w:val="en-US" w:eastAsia="zh-CN"/>
        </w:rPr>
        <w:t>在小鼠结核病模型上，对比了BDL方案和HRZE方案的有效性，发现BDL方案能更快达到结核菌培养转阴，且复发率更低。他们认为BDL方案也许能用于耐药结核病的治疗。</w:t>
      </w:r>
    </w:p>
    <w:p w14:paraId="0F512EE5">
      <w:pPr>
        <w:spacing w:line="360" w:lineRule="auto"/>
        <w:ind w:firstLine="420" w:firstLineChars="200"/>
        <w:jc w:val="left"/>
        <w:rPr>
          <w:rFonts w:hint="eastAsia" w:ascii="Times New Roman" w:hAnsi="Times New Roman" w:eastAsia="宋体" w:cs="Times New Roman"/>
          <w:highlight w:val="none"/>
          <w:lang w:val="en-US" w:eastAsia="zh-CN"/>
        </w:rPr>
      </w:pPr>
      <w:r>
        <w:rPr>
          <w:rFonts w:hint="eastAsia" w:ascii="Times New Roman" w:hAnsi="Times New Roman" w:cs="Times New Roman"/>
          <w:highlight w:val="none"/>
          <w:lang w:val="en-US" w:eastAsia="zh-CN"/>
        </w:rPr>
        <w:t>3、</w:t>
      </w:r>
      <w:r>
        <w:rPr>
          <w:rFonts w:hint="eastAsia" w:ascii="Times New Roman" w:hAnsi="Times New Roman" w:eastAsia="宋体" w:cs="Times New Roman"/>
          <w:highlight w:val="none"/>
          <w:lang w:val="en-US" w:eastAsia="zh-CN"/>
        </w:rPr>
        <w:t>临床试验。</w:t>
      </w:r>
    </w:p>
    <w:p w14:paraId="30971C1C">
      <w:pPr>
        <w:spacing w:line="360" w:lineRule="auto"/>
        <w:ind w:firstLine="420" w:firstLineChars="200"/>
        <w:jc w:val="left"/>
        <w:rPr>
          <w:rFonts w:hint="eastAsia" w:ascii="Times New Roman" w:hAnsi="Times New Roman" w:eastAsia="宋体" w:cs="Times New Roman"/>
          <w:highlight w:val="none"/>
          <w:lang w:val="en-US" w:eastAsia="zh-CN"/>
        </w:rPr>
      </w:pPr>
      <w:r>
        <w:rPr>
          <w:rFonts w:hint="eastAsia" w:ascii="Times New Roman" w:hAnsi="Times New Roman" w:cs="Times New Roman"/>
          <w:highlight w:val="none"/>
          <w:lang w:val="en-US" w:eastAsia="zh-CN"/>
        </w:rPr>
        <w:t>（1）BEAT-India是一个多中心、前瞻性、单臂临床研究</w:t>
      </w:r>
      <w:r>
        <w:rPr>
          <w:rFonts w:hint="eastAsia" w:ascii="Times New Roman" w:hAnsi="Times New Roman" w:cs="Times New Roman"/>
          <w:highlight w:val="none"/>
          <w:lang w:val="en-US" w:eastAsia="zh-CN"/>
        </w:rPr>
        <w:fldChar w:fldCharType="begin"/>
      </w:r>
      <w:r>
        <w:rPr>
          <w:rFonts w:hint="eastAsia" w:ascii="Times New Roman" w:hAnsi="Times New Roman" w:cs="Times New Roman"/>
          <w:highlight w:val="none"/>
          <w:lang w:val="en-US" w:eastAsia="zh-CN"/>
        </w:rPr>
        <w:instrText xml:space="preserve"> ADDIN NE.Ref.{1D4E33BF-F2E5-4278-989B-2777F3C15DD6}</w:instrText>
      </w:r>
      <w:r>
        <w:rPr>
          <w:rFonts w:hint="eastAsia" w:ascii="Times New Roman" w:hAnsi="Times New Roman" w:cs="Times New Roman"/>
          <w:highlight w:val="none"/>
          <w:lang w:val="en-US" w:eastAsia="zh-CN"/>
        </w:rPr>
        <w:fldChar w:fldCharType="separate"/>
      </w:r>
      <w:r>
        <w:rPr>
          <w:rFonts w:hint="eastAsia" w:ascii="宋体" w:hAnsi="宋体"/>
          <w:color w:val="080000"/>
          <w:sz w:val="21"/>
          <w:szCs w:val="24"/>
          <w:vertAlign w:val="superscript"/>
        </w:rPr>
        <w:t>[14]</w:t>
      </w:r>
      <w:r>
        <w:rPr>
          <w:rFonts w:hint="eastAsia" w:ascii="Times New Roman" w:hAnsi="Times New Roman" w:cs="Times New Roman"/>
          <w:highlight w:val="none"/>
          <w:lang w:val="en-US" w:eastAsia="zh-CN"/>
        </w:rPr>
        <w:fldChar w:fldCharType="end"/>
      </w:r>
      <w:r>
        <w:rPr>
          <w:rFonts w:hint="eastAsia" w:ascii="Times New Roman" w:hAnsi="Times New Roman" w:cs="Times New Roman"/>
          <w:highlight w:val="none"/>
          <w:lang w:val="en-US" w:eastAsia="zh-CN"/>
        </w:rPr>
        <w:t>。纳入</w:t>
      </w:r>
      <w:r>
        <w:rPr>
          <w:rFonts w:hint="eastAsia" w:ascii="Times New Roman" w:hAnsi="Times New Roman" w:eastAsia="宋体" w:cs="Times New Roman"/>
          <w:highlight w:val="none"/>
          <w:lang w:val="en-US" w:eastAsia="zh-CN"/>
        </w:rPr>
        <w:t>165名</w:t>
      </w:r>
      <w:r>
        <w:rPr>
          <w:rFonts w:hint="eastAsia" w:ascii="Times New Roman" w:hAnsi="Times New Roman" w:cs="Times New Roman"/>
          <w:highlight w:val="none"/>
          <w:lang w:val="en-US" w:eastAsia="zh-CN"/>
        </w:rPr>
        <w:t>的MDR-TB患者（含</w:t>
      </w:r>
      <w:r>
        <w:rPr>
          <w:rFonts w:hint="eastAsia" w:ascii="Times New Roman" w:hAnsi="Times New Roman" w:eastAsia="宋体" w:cs="Times New Roman"/>
          <w:highlight w:val="none"/>
          <w:lang w:val="en-US" w:eastAsia="zh-CN"/>
        </w:rPr>
        <w:t>158</w:t>
      </w:r>
      <w:r>
        <w:rPr>
          <w:rFonts w:hint="eastAsia" w:ascii="Times New Roman" w:hAnsi="Times New Roman" w:cs="Times New Roman"/>
          <w:highlight w:val="none"/>
          <w:lang w:val="en-US" w:eastAsia="zh-CN"/>
        </w:rPr>
        <w:t>例对氟喹诺酮类耐药的</w:t>
      </w:r>
      <w:r>
        <w:rPr>
          <w:rFonts w:hint="eastAsia" w:ascii="Times New Roman" w:hAnsi="Times New Roman" w:eastAsia="宋体" w:cs="Times New Roman"/>
          <w:highlight w:val="none"/>
          <w:lang w:val="en-US" w:eastAsia="zh-CN"/>
        </w:rPr>
        <w:t>患</w:t>
      </w:r>
      <w:r>
        <w:rPr>
          <w:rFonts w:hint="eastAsia" w:ascii="Times New Roman" w:hAnsi="Times New Roman" w:cs="Times New Roman"/>
          <w:highlight w:val="none"/>
          <w:lang w:val="en-US" w:eastAsia="zh-CN"/>
        </w:rPr>
        <w:t>者），使用</w:t>
      </w:r>
      <w:r>
        <w:rPr>
          <w:rFonts w:hint="eastAsia" w:ascii="Times New Roman" w:hAnsi="Times New Roman" w:cs="Times New Roman"/>
          <w:b/>
          <w:bCs/>
          <w:highlight w:val="none"/>
          <w:lang w:val="en-US" w:eastAsia="zh-CN"/>
        </w:rPr>
        <w:t>贝达喹啉、德拉马尼、利奈唑胺、氯法齐明方案</w:t>
      </w:r>
      <w:r>
        <w:rPr>
          <w:rFonts w:hint="eastAsia" w:ascii="Times New Roman" w:hAnsi="Times New Roman" w:cs="Times New Roman"/>
          <w:highlight w:val="none"/>
          <w:lang w:val="en-US" w:eastAsia="zh-CN"/>
        </w:rPr>
        <w:t>；如果16周痰培养转阴，则总疗程为24周；否则，疗程延长至36周</w:t>
      </w:r>
      <w:r>
        <w:rPr>
          <w:rFonts w:hint="eastAsia" w:ascii="Times New Roman" w:hAnsi="Times New Roman" w:eastAsia="宋体" w:cs="Times New Roman"/>
          <w:highlight w:val="none"/>
          <w:lang w:val="en-US" w:eastAsia="zh-CN"/>
        </w:rPr>
        <w:t>。153名患者中有139名（91%）获得了良好</w:t>
      </w:r>
      <w:r>
        <w:rPr>
          <w:rFonts w:hint="eastAsia" w:ascii="Times New Roman" w:hAnsi="Times New Roman" w:cs="Times New Roman"/>
          <w:highlight w:val="none"/>
          <w:lang w:val="en-US" w:eastAsia="zh-CN"/>
        </w:rPr>
        <w:t>结局</w:t>
      </w:r>
      <w:r>
        <w:rPr>
          <w:rFonts w:hint="eastAsia" w:ascii="Times New Roman" w:hAnsi="Times New Roman" w:eastAsia="宋体" w:cs="Times New Roman"/>
          <w:highlight w:val="none"/>
          <w:lang w:val="en-US" w:eastAsia="zh-CN"/>
        </w:rPr>
        <w:t>。14名患者（9%）出现不良结局：4例死亡，7例治疗</w:t>
      </w:r>
      <w:r>
        <w:rPr>
          <w:rFonts w:hint="eastAsia" w:ascii="Times New Roman" w:hAnsi="Times New Roman" w:cs="Times New Roman"/>
          <w:highlight w:val="none"/>
          <w:lang w:val="en-US" w:eastAsia="zh-CN"/>
        </w:rPr>
        <w:t>方案</w:t>
      </w:r>
      <w:r>
        <w:rPr>
          <w:rFonts w:hint="eastAsia" w:ascii="Times New Roman" w:hAnsi="Times New Roman" w:eastAsia="宋体" w:cs="Times New Roman"/>
          <w:highlight w:val="none"/>
          <w:lang w:val="en-US" w:eastAsia="zh-CN"/>
        </w:rPr>
        <w:t>改变，2例细菌</w:t>
      </w:r>
      <w:r>
        <w:rPr>
          <w:rFonts w:hint="eastAsia" w:ascii="Times New Roman" w:hAnsi="Times New Roman" w:cs="Times New Roman"/>
          <w:highlight w:val="none"/>
          <w:lang w:val="en-US" w:eastAsia="zh-CN"/>
        </w:rPr>
        <w:t>学</w:t>
      </w:r>
      <w:r>
        <w:rPr>
          <w:rFonts w:hint="eastAsia" w:ascii="Times New Roman" w:hAnsi="Times New Roman" w:eastAsia="宋体" w:cs="Times New Roman"/>
          <w:highlight w:val="none"/>
          <w:lang w:val="en-US" w:eastAsia="zh-CN"/>
        </w:rPr>
        <w:t>失败，1例退出治疗。在治疗期间，85名患者（52%）出现骨髓抑制，69名患者（42%）报告了周围神经病变，没有一名患者QTc（F）延长&gt;500 ms。在48周的随访中，131名患者显示了持续治疗成功</w:t>
      </w:r>
      <w:r>
        <w:rPr>
          <w:rFonts w:hint="eastAsia" w:ascii="Times New Roman" w:hAnsi="Times New Roman" w:cs="Times New Roman"/>
          <w:highlight w:val="none"/>
          <w:lang w:val="en-US" w:eastAsia="zh-CN"/>
        </w:rPr>
        <w:t>（没有复发）</w:t>
      </w:r>
      <w:r>
        <w:rPr>
          <w:rFonts w:hint="eastAsia" w:ascii="Times New Roman" w:hAnsi="Times New Roman" w:eastAsia="宋体" w:cs="Times New Roman"/>
          <w:highlight w:val="none"/>
          <w:lang w:val="en-US" w:eastAsia="zh-CN"/>
        </w:rPr>
        <w:t>，大多数患者的不良事件得到了</w:t>
      </w:r>
      <w:r>
        <w:rPr>
          <w:rFonts w:hint="eastAsia" w:ascii="Times New Roman" w:hAnsi="Times New Roman" w:cs="Times New Roman"/>
          <w:highlight w:val="none"/>
          <w:lang w:val="en-US" w:eastAsia="zh-CN"/>
        </w:rPr>
        <w:t>缓解</w:t>
      </w:r>
      <w:r>
        <w:rPr>
          <w:rFonts w:hint="eastAsia" w:ascii="Times New Roman" w:hAnsi="Times New Roman" w:eastAsia="宋体" w:cs="Times New Roman"/>
          <w:highlight w:val="none"/>
          <w:lang w:val="en-US" w:eastAsia="zh-CN"/>
        </w:rPr>
        <w:t>。结论。在24-36周的治疗后，该方案在具有额外耐药性的肺</w:t>
      </w:r>
      <w:r>
        <w:rPr>
          <w:rFonts w:hint="eastAsia" w:ascii="Times New Roman" w:hAnsi="Times New Roman" w:cs="Times New Roman"/>
          <w:highlight w:val="none"/>
          <w:lang w:val="en-US" w:eastAsia="zh-CN"/>
        </w:rPr>
        <w:t>部MDR-TB</w:t>
      </w:r>
      <w:r>
        <w:rPr>
          <w:rFonts w:hint="eastAsia" w:ascii="Times New Roman" w:hAnsi="Times New Roman" w:eastAsia="宋体" w:cs="Times New Roman"/>
          <w:highlight w:val="none"/>
          <w:lang w:val="en-US" w:eastAsia="zh-CN"/>
        </w:rPr>
        <w:t>患者中获得了令人满意的良好结果。心脏毒性很小，骨髓抑制虽然常见，但很早就被发现并成功治疗。</w:t>
      </w:r>
    </w:p>
    <w:p w14:paraId="7E601DED">
      <w:pPr>
        <w:spacing w:line="360" w:lineRule="auto"/>
        <w:ind w:firstLine="420" w:firstLineChars="200"/>
        <w:jc w:val="left"/>
        <w:rPr>
          <w:rFonts w:hint="eastAsia" w:ascii="Times New Roman" w:hAnsi="Times New Roman" w:cs="Times New Roman"/>
          <w:highlight w:val="none"/>
          <w:lang w:val="en-US" w:eastAsia="zh-CN"/>
        </w:rPr>
      </w:pPr>
      <w:r>
        <w:rPr>
          <w:rFonts w:hint="eastAsia" w:ascii="Times New Roman" w:hAnsi="Times New Roman" w:cs="Times New Roman"/>
          <w:highlight w:val="none"/>
          <w:lang w:val="en-US" w:eastAsia="zh-CN"/>
        </w:rPr>
        <w:t>（2）德拉马尼和贝达喹啉联合使用的证据已经很充分</w:t>
      </w:r>
      <w:r>
        <w:rPr>
          <w:rFonts w:hint="eastAsia" w:ascii="Times New Roman" w:hAnsi="Times New Roman" w:cs="Times New Roman"/>
          <w:highlight w:val="none"/>
          <w:lang w:val="en-US" w:eastAsia="zh-CN"/>
        </w:rPr>
        <w:fldChar w:fldCharType="begin"/>
      </w:r>
      <w:r>
        <w:rPr>
          <w:rFonts w:hint="eastAsia" w:ascii="Times New Roman" w:hAnsi="Times New Roman" w:cs="Times New Roman"/>
          <w:highlight w:val="none"/>
          <w:lang w:val="en-US" w:eastAsia="zh-CN"/>
        </w:rPr>
        <w:instrText xml:space="preserve"> ADDIN NE.Ref.{2519D0E3-76BE-436A-BC7C-29CA1D42A405}</w:instrText>
      </w:r>
      <w:r>
        <w:rPr>
          <w:rFonts w:hint="eastAsia" w:ascii="Times New Roman" w:hAnsi="Times New Roman" w:cs="Times New Roman"/>
          <w:highlight w:val="none"/>
          <w:lang w:val="en-US" w:eastAsia="zh-CN"/>
        </w:rPr>
        <w:fldChar w:fldCharType="separate"/>
      </w:r>
      <w:r>
        <w:rPr>
          <w:rFonts w:hint="eastAsia" w:ascii="宋体" w:hAnsi="宋体"/>
          <w:color w:val="080000"/>
          <w:sz w:val="21"/>
          <w:szCs w:val="24"/>
          <w:vertAlign w:val="superscript"/>
        </w:rPr>
        <w:t>[15-17]</w:t>
      </w:r>
      <w:r>
        <w:rPr>
          <w:rFonts w:hint="eastAsia" w:ascii="Times New Roman" w:hAnsi="Times New Roman" w:cs="Times New Roman"/>
          <w:highlight w:val="none"/>
          <w:lang w:val="en-US" w:eastAsia="zh-CN"/>
        </w:rPr>
        <w:fldChar w:fldCharType="end"/>
      </w:r>
      <w:r>
        <w:rPr>
          <w:rFonts w:hint="eastAsia" w:ascii="Times New Roman" w:hAnsi="Times New Roman" w:cs="Times New Roman"/>
          <w:highlight w:val="none"/>
          <w:lang w:val="en-US" w:eastAsia="zh-CN"/>
        </w:rPr>
        <w:t>。目前国际上多项研究结果均表明，同时使用德拉马尼和贝达喹啉的治疗方案对MDR-TB患者有效且安全，为在MDR-TB患者中同时使用德拉马尼和贝达喹啉提供了可靠的支持。</w:t>
      </w:r>
    </w:p>
    <w:p w14:paraId="2369B152">
      <w:pPr>
        <w:spacing w:line="360" w:lineRule="auto"/>
        <w:ind w:firstLine="420" w:firstLineChars="200"/>
        <w:jc w:val="left"/>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3）DAMATIC研究已经在临床试验网站注册（Clinicaltrials注册号：NCT03828201），使用贝达喹啉、德拉马尼、利奈唑胺、左氧氟沙星和氯法齐明5个药物、4个月疗程，治疗氟喹诺酮类敏感的耐多药结核病。提示短至4个月的方案已经有人在探索。</w:t>
      </w:r>
    </w:p>
    <w:p w14:paraId="5AD7FF79">
      <w:pPr>
        <w:spacing w:line="360" w:lineRule="auto"/>
        <w:ind w:firstLine="422" w:firstLineChars="200"/>
        <w:jc w:val="left"/>
        <w:rPr>
          <w:rFonts w:hint="default" w:ascii="Times New Roman" w:hAnsi="Times New Roman" w:eastAsia="宋体" w:cs="Times New Roman"/>
          <w:b/>
          <w:bCs/>
          <w:highlight w:val="none"/>
          <w:lang w:val="en-US" w:eastAsia="zh-CN"/>
        </w:rPr>
      </w:pPr>
      <w:r>
        <w:rPr>
          <w:rFonts w:hint="default" w:ascii="Times New Roman" w:hAnsi="Times New Roman" w:eastAsia="宋体" w:cs="Times New Roman"/>
          <w:b/>
          <w:bCs/>
          <w:highlight w:val="none"/>
          <w:lang w:val="en-US" w:eastAsia="zh-CN"/>
        </w:rPr>
        <w:t>（</w:t>
      </w:r>
      <w:r>
        <w:rPr>
          <w:rFonts w:hint="eastAsia" w:ascii="Times New Roman" w:hAnsi="Times New Roman" w:eastAsia="宋体" w:cs="Times New Roman"/>
          <w:b/>
          <w:bCs/>
          <w:highlight w:val="none"/>
          <w:lang w:val="en-US" w:eastAsia="zh-CN"/>
        </w:rPr>
        <w:t>三</w:t>
      </w:r>
      <w:r>
        <w:rPr>
          <w:rFonts w:hint="default" w:ascii="Times New Roman" w:hAnsi="Times New Roman" w:eastAsia="宋体" w:cs="Times New Roman"/>
          <w:b/>
          <w:bCs/>
          <w:highlight w:val="none"/>
          <w:lang w:val="en-US" w:eastAsia="zh-CN"/>
        </w:rPr>
        <w:t>）本团队前期研究结果</w:t>
      </w:r>
    </w:p>
    <w:p w14:paraId="0F1664AA">
      <w:pPr>
        <w:spacing w:line="360" w:lineRule="auto"/>
        <w:ind w:firstLine="420" w:firstLineChars="200"/>
        <w:jc w:val="left"/>
        <w:rPr>
          <w:rFonts w:hint="default" w:ascii="Times New Roman" w:hAnsi="Times New Roman" w:eastAsia="宋体" w:cs="Times New Roman"/>
          <w:b w:val="0"/>
          <w:sz w:val="21"/>
          <w:szCs w:val="21"/>
          <w:highlight w:val="none"/>
          <w:lang w:val="en-US" w:eastAsia="zh-CN"/>
        </w:rPr>
      </w:pPr>
      <w:r>
        <w:rPr>
          <w:rFonts w:hint="eastAsia" w:ascii="Times New Roman" w:hAnsi="Times New Roman" w:cs="Times New Roman"/>
          <w:highlight w:val="none"/>
          <w:lang w:val="en-US" w:eastAsia="zh-CN"/>
        </w:rPr>
        <w:t>1、</w:t>
      </w:r>
      <w:r>
        <w:rPr>
          <w:rFonts w:hint="default" w:ascii="Times New Roman" w:hAnsi="Times New Roman" w:eastAsia="宋体" w:cs="Times New Roman"/>
          <w:highlight w:val="none"/>
          <w:lang w:val="en-US" w:eastAsia="zh-CN"/>
        </w:rPr>
        <w:t>《中国耐多药肺结核全口服短程抗结核方案多中心临床研究</w:t>
      </w:r>
      <w:r>
        <w:rPr>
          <w:rFonts w:hint="default" w:ascii="Times New Roman" w:hAnsi="Times New Roman" w:eastAsia="宋体" w:cs="Times New Roman"/>
          <w:b w:val="0"/>
          <w:sz w:val="21"/>
          <w:szCs w:val="21"/>
          <w:highlight w:val="none"/>
          <w:lang w:val="en-US" w:eastAsia="zh-CN"/>
        </w:rPr>
        <w:t>》，中国临床试验注册中心注册号：ChiCTR2000032298，注册日期：2020/04/25。本研究是一项</w:t>
      </w:r>
      <w:r>
        <w:rPr>
          <w:rFonts w:hint="eastAsia" w:ascii="Times New Roman" w:hAnsi="Times New Roman" w:cs="Times New Roman"/>
          <w:b w:val="0"/>
          <w:sz w:val="21"/>
          <w:szCs w:val="21"/>
          <w:highlight w:val="none"/>
          <w:lang w:val="en-US" w:eastAsia="zh-CN"/>
        </w:rPr>
        <w:t>多</w:t>
      </w:r>
      <w:r>
        <w:rPr>
          <w:rFonts w:hint="default" w:ascii="Times New Roman" w:hAnsi="Times New Roman" w:eastAsia="宋体" w:cs="Times New Roman"/>
          <w:b w:val="0"/>
          <w:sz w:val="21"/>
          <w:szCs w:val="21"/>
          <w:highlight w:val="none"/>
          <w:lang w:val="en-US" w:eastAsia="zh-CN"/>
        </w:rPr>
        <w:t>中心临床试验。设置了四个</w:t>
      </w:r>
      <w:r>
        <w:rPr>
          <w:rFonts w:hint="eastAsia" w:ascii="Times New Roman" w:hAnsi="Times New Roman" w:cs="Times New Roman"/>
          <w:b w:val="0"/>
          <w:sz w:val="21"/>
          <w:szCs w:val="21"/>
          <w:highlight w:val="none"/>
          <w:lang w:val="en-US" w:eastAsia="zh-CN"/>
        </w:rPr>
        <w:t>实验</w:t>
      </w:r>
      <w:r>
        <w:rPr>
          <w:rFonts w:hint="default" w:ascii="Times New Roman" w:hAnsi="Times New Roman" w:eastAsia="宋体" w:cs="Times New Roman"/>
          <w:b w:val="0"/>
          <w:sz w:val="21"/>
          <w:szCs w:val="21"/>
          <w:highlight w:val="none"/>
          <w:lang w:val="en-US" w:eastAsia="zh-CN"/>
        </w:rPr>
        <w:t>方案</w:t>
      </w:r>
      <w:r>
        <w:rPr>
          <w:rFonts w:hint="eastAsia" w:ascii="Times New Roman" w:hAnsi="Times New Roman" w:cs="Times New Roman"/>
          <w:b w:val="0"/>
          <w:sz w:val="21"/>
          <w:szCs w:val="21"/>
          <w:highlight w:val="none"/>
          <w:lang w:val="en-US" w:eastAsia="zh-CN"/>
        </w:rPr>
        <w:t>（9-12个月疗程）</w:t>
      </w:r>
      <w:r>
        <w:rPr>
          <w:rFonts w:hint="default" w:ascii="Times New Roman" w:hAnsi="Times New Roman" w:eastAsia="宋体" w:cs="Times New Roman"/>
          <w:b w:val="0"/>
          <w:sz w:val="21"/>
          <w:szCs w:val="21"/>
          <w:highlight w:val="none"/>
          <w:lang w:val="en-US" w:eastAsia="zh-CN"/>
        </w:rPr>
        <w:t>，分别针对不同耐药谱和可负担能力的患者：（1）对氟喹诺酮类敏感、能负担贝达喹啉者，贝达喹啉、利奈唑胺、左氧氟沙星/莫西沙星、环丝氨酸、吡嗪酰胺；（2）对氟喹诺酮类敏感、不能负担贝达喹啉者，利奈唑胺、左氧氟沙星/莫西沙星、环丝氨酸、氯法齐明、吡嗪酰胺；（3）对氟喹诺酮类耐药、能负担贝达喹啉者，贝达喹啉、利奈唑胺、环丝氨酸、氯法齐明、吡嗪酰胺；（4）对氟喹诺酮类耐药、不能负担贝达喹啉者，利奈唑胺、环丝氨酸、氯法齐明、吡嗪酰胺、柳氮磺吡啶。已经发表一项中期报告《Insignificant difference in culture conversion between bedaquiline-containing and</w:t>
      </w:r>
      <w:r>
        <w:rPr>
          <w:rFonts w:hint="eastAsia" w:ascii="Times New Roman" w:hAnsi="Times New Roman" w:cs="Times New Roman"/>
          <w:b w:val="0"/>
          <w:sz w:val="21"/>
          <w:szCs w:val="21"/>
          <w:highlight w:val="none"/>
          <w:lang w:val="en-US" w:eastAsia="zh-CN"/>
        </w:rPr>
        <w:t xml:space="preserve"> </w:t>
      </w:r>
      <w:r>
        <w:rPr>
          <w:rFonts w:hint="default" w:ascii="Times New Roman" w:hAnsi="Times New Roman" w:eastAsia="宋体" w:cs="Times New Roman"/>
          <w:b w:val="0"/>
          <w:sz w:val="21"/>
          <w:szCs w:val="21"/>
          <w:highlight w:val="none"/>
          <w:lang w:val="en-US" w:eastAsia="zh-CN"/>
        </w:rPr>
        <w:t>bedaquiline-free all-oral short regimens for multidrug-resistant tuberculosis》</w:t>
      </w:r>
      <w:r>
        <w:rPr>
          <w:rFonts w:hint="default" w:ascii="Times New Roman" w:hAnsi="Times New Roman" w:eastAsia="宋体" w:cs="Times New Roman"/>
          <w:b w:val="0"/>
          <w:sz w:val="21"/>
          <w:szCs w:val="21"/>
          <w:highlight w:val="none"/>
          <w:lang w:val="en-US" w:eastAsia="zh-CN"/>
        </w:rPr>
        <w:fldChar w:fldCharType="begin"/>
      </w:r>
      <w:r>
        <w:rPr>
          <w:rFonts w:hint="eastAsia" w:ascii="Times New Roman" w:hAnsi="Times New Roman" w:cs="Times New Roman"/>
          <w:b w:val="0"/>
          <w:sz w:val="21"/>
          <w:szCs w:val="21"/>
          <w:highlight w:val="none"/>
          <w:lang w:val="en-US" w:eastAsia="zh-CN"/>
        </w:rPr>
        <w:instrText xml:space="preserve"> ADDIN NE.Ref.{C795FE8B-DB17-4BBC-8A4F-35B3D8137694}</w:instrText>
      </w:r>
      <w:r>
        <w:rPr>
          <w:rFonts w:hint="default" w:ascii="Times New Roman" w:hAnsi="Times New Roman" w:eastAsia="宋体" w:cs="Times New Roman"/>
          <w:b w:val="0"/>
          <w:sz w:val="21"/>
          <w:szCs w:val="21"/>
          <w:highlight w:val="none"/>
          <w:lang w:val="en-US" w:eastAsia="zh-CN"/>
        </w:rPr>
        <w:fldChar w:fldCharType="separate"/>
      </w:r>
      <w:r>
        <w:rPr>
          <w:rFonts w:hint="eastAsia" w:ascii="宋体" w:hAnsi="宋体"/>
          <w:color w:val="080000"/>
          <w:sz w:val="21"/>
          <w:szCs w:val="24"/>
          <w:vertAlign w:val="superscript"/>
        </w:rPr>
        <w:t>[18]</w:t>
      </w:r>
      <w:r>
        <w:rPr>
          <w:rFonts w:hint="default" w:ascii="Times New Roman" w:hAnsi="Times New Roman" w:eastAsia="宋体" w:cs="Times New Roman"/>
          <w:b w:val="0"/>
          <w:sz w:val="21"/>
          <w:szCs w:val="21"/>
          <w:highlight w:val="none"/>
          <w:lang w:val="en-US" w:eastAsia="zh-CN"/>
        </w:rPr>
        <w:fldChar w:fldCharType="end"/>
      </w:r>
      <w:r>
        <w:rPr>
          <w:rFonts w:hint="default" w:ascii="Times New Roman" w:hAnsi="Times New Roman" w:eastAsia="宋体" w:cs="Times New Roman"/>
          <w:b w:val="0"/>
          <w:sz w:val="21"/>
          <w:szCs w:val="21"/>
          <w:highlight w:val="none"/>
          <w:lang w:val="en-US" w:eastAsia="zh-CN"/>
        </w:rPr>
        <w:t>。</w:t>
      </w:r>
    </w:p>
    <w:p w14:paraId="3D10AA84">
      <w:pPr>
        <w:spacing w:line="360" w:lineRule="auto"/>
        <w:ind w:firstLine="420" w:firstLineChars="200"/>
        <w:jc w:val="left"/>
        <w:rPr>
          <w:rFonts w:hint="default" w:ascii="Times New Roman" w:hAnsi="Times New Roman" w:eastAsia="宋体" w:cs="Times New Roman"/>
          <w:b w:val="0"/>
          <w:sz w:val="21"/>
          <w:szCs w:val="21"/>
          <w:highlight w:val="none"/>
          <w:lang w:val="en-US" w:eastAsia="zh-CN"/>
        </w:rPr>
      </w:pPr>
      <w:r>
        <w:rPr>
          <w:rFonts w:hint="eastAsia" w:ascii="Times New Roman" w:hAnsi="Times New Roman" w:cs="Times New Roman"/>
          <w:b w:val="0"/>
          <w:sz w:val="21"/>
          <w:szCs w:val="21"/>
          <w:highlight w:val="none"/>
          <w:lang w:val="en-US" w:eastAsia="zh-CN"/>
        </w:rPr>
        <w:t>2、在前期研究基础上，为进一步缩短疗程，我们开展了《全口服短程方案治疗耐多药结核病的多中心随机撤药试验》，</w:t>
      </w:r>
      <w:r>
        <w:rPr>
          <w:rFonts w:hint="default" w:ascii="Times New Roman" w:hAnsi="Times New Roman" w:eastAsia="宋体" w:cs="Times New Roman"/>
          <w:b w:val="0"/>
          <w:sz w:val="21"/>
          <w:szCs w:val="21"/>
          <w:highlight w:val="none"/>
          <w:lang w:val="en-US" w:eastAsia="zh-CN"/>
        </w:rPr>
        <w:t>中国临床试验注册中心注册号：ChiCTR2100045930，注册日期：202</w:t>
      </w:r>
      <w:r>
        <w:rPr>
          <w:rFonts w:hint="eastAsia" w:ascii="Times New Roman" w:hAnsi="Times New Roman" w:cs="Times New Roman"/>
          <w:b w:val="0"/>
          <w:sz w:val="21"/>
          <w:szCs w:val="21"/>
          <w:highlight w:val="none"/>
          <w:lang w:val="en-US" w:eastAsia="zh-CN"/>
        </w:rPr>
        <w:t>1</w:t>
      </w:r>
      <w:r>
        <w:rPr>
          <w:rFonts w:hint="default" w:ascii="Times New Roman" w:hAnsi="Times New Roman" w:eastAsia="宋体" w:cs="Times New Roman"/>
          <w:b w:val="0"/>
          <w:sz w:val="21"/>
          <w:szCs w:val="21"/>
          <w:highlight w:val="none"/>
          <w:lang w:val="en-US" w:eastAsia="zh-CN"/>
        </w:rPr>
        <w:t>/04/2</w:t>
      </w:r>
      <w:r>
        <w:rPr>
          <w:rFonts w:hint="eastAsia" w:ascii="Times New Roman" w:hAnsi="Times New Roman" w:cs="Times New Roman"/>
          <w:b w:val="0"/>
          <w:sz w:val="21"/>
          <w:szCs w:val="21"/>
          <w:highlight w:val="none"/>
          <w:lang w:val="en-US" w:eastAsia="zh-CN"/>
        </w:rPr>
        <w:t>9</w:t>
      </w:r>
      <w:r>
        <w:rPr>
          <w:rFonts w:hint="default" w:ascii="Times New Roman" w:hAnsi="Times New Roman" w:eastAsia="宋体" w:cs="Times New Roman"/>
          <w:b w:val="0"/>
          <w:sz w:val="21"/>
          <w:szCs w:val="21"/>
          <w:highlight w:val="none"/>
          <w:lang w:val="en-US" w:eastAsia="zh-CN"/>
        </w:rPr>
        <w:t>。</w:t>
      </w:r>
      <w:r>
        <w:rPr>
          <w:rFonts w:hint="eastAsia" w:ascii="Times New Roman" w:hAnsi="Times New Roman" w:cs="Times New Roman"/>
          <w:b w:val="0"/>
          <w:sz w:val="21"/>
          <w:szCs w:val="21"/>
          <w:highlight w:val="none"/>
          <w:lang w:val="en-US" w:eastAsia="zh-CN"/>
        </w:rPr>
        <w:t>有23个分中心参与，目前进展顺利。</w:t>
      </w:r>
    </w:p>
    <w:p w14:paraId="394CFD1A">
      <w:pPr>
        <w:spacing w:line="360" w:lineRule="auto"/>
        <w:ind w:firstLine="420" w:firstLineChars="200"/>
        <w:jc w:val="left"/>
        <w:rPr>
          <w:rFonts w:hint="default" w:ascii="Times New Roman" w:hAnsi="Times New Roman" w:eastAsia="宋体" w:cs="Times New Roman"/>
          <w:b w:val="0"/>
          <w:sz w:val="21"/>
          <w:szCs w:val="21"/>
          <w:highlight w:val="none"/>
          <w:lang w:val="en-US" w:eastAsia="zh-CN"/>
        </w:rPr>
      </w:pPr>
      <w:r>
        <w:rPr>
          <w:rFonts w:hint="eastAsia" w:ascii="Times New Roman" w:hAnsi="Times New Roman" w:cs="Times New Roman"/>
          <w:b w:val="0"/>
          <w:sz w:val="21"/>
          <w:szCs w:val="21"/>
          <w:highlight w:val="none"/>
          <w:lang w:val="en-US" w:eastAsia="zh-CN"/>
        </w:rPr>
        <w:t>3、BDL/M联合方案的药物种类更少、疗程更短、患者依从性更好</w:t>
      </w:r>
      <w:r>
        <w:rPr>
          <w:rFonts w:hint="default" w:ascii="Times New Roman" w:hAnsi="Times New Roman" w:eastAsia="宋体" w:cs="Times New Roman"/>
          <w:b w:val="0"/>
          <w:sz w:val="21"/>
          <w:szCs w:val="21"/>
          <w:highlight w:val="none"/>
          <w:lang w:val="en-US" w:eastAsia="zh-CN"/>
        </w:rPr>
        <w:t>，</w:t>
      </w:r>
      <w:r>
        <w:rPr>
          <w:rFonts w:hint="eastAsia" w:ascii="Times New Roman" w:hAnsi="Times New Roman" w:cs="Times New Roman"/>
          <w:b w:val="0"/>
          <w:sz w:val="21"/>
          <w:szCs w:val="21"/>
          <w:highlight w:val="none"/>
          <w:lang w:val="en-US" w:eastAsia="zh-CN"/>
        </w:rPr>
        <w:t>已有一定的临床前研究和临床研究证据支持其应用。</w:t>
      </w:r>
      <w:r>
        <w:rPr>
          <w:rFonts w:hint="default" w:ascii="Times New Roman" w:hAnsi="Times New Roman" w:eastAsia="宋体" w:cs="Times New Roman"/>
          <w:b w:val="0"/>
          <w:sz w:val="21"/>
          <w:szCs w:val="21"/>
          <w:highlight w:val="none"/>
          <w:lang w:val="en-US" w:eastAsia="zh-CN"/>
        </w:rPr>
        <w:t>本研究是国内</w:t>
      </w:r>
      <w:r>
        <w:rPr>
          <w:rFonts w:hint="eastAsia" w:ascii="Times New Roman" w:hAnsi="Times New Roman" w:cs="Times New Roman"/>
          <w:b w:val="0"/>
          <w:sz w:val="21"/>
          <w:szCs w:val="21"/>
          <w:highlight w:val="none"/>
          <w:lang w:val="en-US" w:eastAsia="zh-CN"/>
        </w:rPr>
        <w:t>外</w:t>
      </w:r>
      <w:r>
        <w:rPr>
          <w:rFonts w:hint="default" w:ascii="Times New Roman" w:hAnsi="Times New Roman" w:eastAsia="宋体" w:cs="Times New Roman"/>
          <w:b w:val="0"/>
          <w:sz w:val="21"/>
          <w:szCs w:val="21"/>
          <w:highlight w:val="none"/>
          <w:lang w:val="en-US" w:eastAsia="zh-CN"/>
        </w:rPr>
        <w:t>第一个探索</w:t>
      </w:r>
      <w:r>
        <w:rPr>
          <w:rFonts w:hint="eastAsia" w:ascii="Times New Roman" w:hAnsi="Times New Roman" w:cs="Times New Roman"/>
          <w:b w:val="0"/>
          <w:sz w:val="21"/>
          <w:szCs w:val="21"/>
          <w:highlight w:val="none"/>
          <w:lang w:val="en-US" w:eastAsia="zh-CN"/>
        </w:rPr>
        <w:t>BDL/M联合方案治疗作用的前瞻性临床研究，预期能让患者获益，也能够为今后的大规模随机对照试验奠定研究基础</w:t>
      </w:r>
      <w:r>
        <w:rPr>
          <w:rFonts w:hint="default" w:ascii="Times New Roman" w:hAnsi="Times New Roman" w:eastAsia="宋体" w:cs="Times New Roman"/>
          <w:b w:val="0"/>
          <w:sz w:val="21"/>
          <w:szCs w:val="21"/>
          <w:highlight w:val="none"/>
          <w:lang w:val="en-US" w:eastAsia="zh-CN"/>
        </w:rPr>
        <w:t>。</w:t>
      </w:r>
    </w:p>
    <w:p w14:paraId="646463E0">
      <w:pPr>
        <w:spacing w:line="240" w:lineRule="auto"/>
        <w:jc w:val="left"/>
        <w:rPr>
          <w:rFonts w:hint="default" w:ascii="Times New Roman" w:hAnsi="Times New Roman" w:eastAsia="宋体" w:cs="Times New Roman"/>
          <w:color w:val="000000"/>
          <w:sz w:val="20"/>
          <w:highlight w:val="none"/>
          <w:lang w:val="en-US" w:eastAsia="zh-CN"/>
        </w:rPr>
      </w:pPr>
    </w:p>
    <w:p w14:paraId="21F6E749">
      <w:pPr>
        <w:pStyle w:val="14"/>
        <w:snapToGrid w:val="0"/>
        <w:spacing w:line="440" w:lineRule="exact"/>
        <w:ind w:left="0" w:leftChars="0" w:firstLine="0" w:firstLineChars="0"/>
        <w:outlineLvl w:val="0"/>
        <w:rPr>
          <w:rFonts w:hint="default" w:ascii="Times New Roman" w:hAnsi="Times New Roman" w:eastAsia="宋体" w:cs="Times New Roman"/>
          <w:b/>
          <w:bCs/>
          <w:color w:val="000000"/>
          <w:sz w:val="28"/>
          <w:szCs w:val="28"/>
          <w:highlight w:val="none"/>
          <w:u w:val="none"/>
        </w:rPr>
      </w:pPr>
      <w:r>
        <w:rPr>
          <w:rFonts w:hint="default" w:ascii="Times New Roman" w:hAnsi="Times New Roman" w:cs="Times New Roman"/>
          <w:b/>
          <w:bCs/>
          <w:color w:val="000000"/>
          <w:sz w:val="28"/>
          <w:szCs w:val="28"/>
          <w:highlight w:val="none"/>
          <w:u w:val="none"/>
          <w:lang w:eastAsia="zh-CN"/>
        </w:rPr>
        <w:t>三</w:t>
      </w:r>
      <w:r>
        <w:rPr>
          <w:rFonts w:hint="default" w:ascii="Times New Roman" w:hAnsi="Times New Roman" w:eastAsia="宋体" w:cs="Times New Roman"/>
          <w:b/>
          <w:bCs/>
          <w:color w:val="000000"/>
          <w:sz w:val="28"/>
          <w:szCs w:val="28"/>
          <w:highlight w:val="none"/>
          <w:u w:val="none"/>
          <w:lang w:eastAsia="zh-CN"/>
        </w:rPr>
        <w:t>、</w:t>
      </w:r>
      <w:r>
        <w:rPr>
          <w:rFonts w:hint="default" w:ascii="Times New Roman" w:hAnsi="Times New Roman" w:eastAsia="宋体" w:cs="Times New Roman"/>
          <w:b/>
          <w:bCs/>
          <w:color w:val="000000"/>
          <w:sz w:val="28"/>
          <w:szCs w:val="28"/>
          <w:highlight w:val="none"/>
          <w:u w:val="none"/>
        </w:rPr>
        <w:t>项目的研究内容、研究目标，以及拟解决的关键科学问题</w:t>
      </w:r>
    </w:p>
    <w:p w14:paraId="1EC4BC14">
      <w:pPr>
        <w:spacing w:line="360" w:lineRule="auto"/>
        <w:ind w:firstLine="241" w:firstLineChars="100"/>
        <w:rPr>
          <w:rFonts w:hint="default" w:ascii="Times New Roman" w:hAnsi="Times New Roman" w:eastAsia="宋体" w:cs="Times New Roman"/>
          <w:b/>
          <w:bCs/>
          <w:kern w:val="2"/>
          <w:sz w:val="24"/>
          <w:szCs w:val="24"/>
          <w:highlight w:val="none"/>
          <w:lang w:val="en-US" w:eastAsia="zh-CN" w:bidi="zh-CN"/>
        </w:rPr>
      </w:pPr>
      <w:r>
        <w:rPr>
          <w:rFonts w:hint="default" w:ascii="Times New Roman" w:hAnsi="Times New Roman" w:eastAsia="宋体" w:cs="Times New Roman"/>
          <w:b/>
          <w:bCs/>
          <w:kern w:val="2"/>
          <w:sz w:val="24"/>
          <w:szCs w:val="24"/>
          <w:highlight w:val="none"/>
          <w:lang w:val="en-US" w:eastAsia="zh-CN" w:bidi="zh-CN"/>
        </w:rPr>
        <w:t>（一）关键科学问题</w:t>
      </w:r>
    </w:p>
    <w:p w14:paraId="203DD830">
      <w:pPr>
        <w:spacing w:line="360" w:lineRule="auto"/>
        <w:ind w:firstLine="420" w:firstLineChars="200"/>
        <w:rPr>
          <w:rFonts w:hint="default" w:ascii="Times New Roman" w:hAnsi="Times New Roman" w:eastAsia="宋体" w:cs="Times New Roman"/>
          <w:kern w:val="2"/>
          <w:sz w:val="21"/>
          <w:szCs w:val="24"/>
          <w:highlight w:val="none"/>
          <w:lang w:val="en-US" w:eastAsia="zh-CN" w:bidi="zh-CN"/>
        </w:rPr>
      </w:pPr>
      <w:r>
        <w:rPr>
          <w:rFonts w:hint="eastAsia" w:ascii="Times New Roman" w:hAnsi="Times New Roman" w:cs="Times New Roman"/>
          <w:kern w:val="2"/>
          <w:sz w:val="21"/>
          <w:szCs w:val="24"/>
          <w:highlight w:val="none"/>
          <w:lang w:val="en-US" w:eastAsia="zh-CN" w:bidi="zh-CN"/>
        </w:rPr>
        <w:t>对于耐多药结核病人群，贝达喹啉、德拉马尼、利奈唑胺、莫西沙星联合方案的有效性和安全性是否良好？</w:t>
      </w:r>
    </w:p>
    <w:p w14:paraId="42A12922">
      <w:pPr>
        <w:spacing w:line="360" w:lineRule="auto"/>
        <w:ind w:firstLine="482" w:firstLineChars="200"/>
        <w:rPr>
          <w:rFonts w:hint="default" w:ascii="Times New Roman" w:hAnsi="Times New Roman" w:eastAsia="宋体" w:cs="Times New Roman"/>
          <w:b/>
          <w:bCs/>
          <w:kern w:val="2"/>
          <w:sz w:val="24"/>
          <w:szCs w:val="24"/>
          <w:highlight w:val="none"/>
          <w:lang w:val="en-US" w:eastAsia="zh-CN" w:bidi="zh-CN"/>
        </w:rPr>
      </w:pPr>
      <w:r>
        <w:rPr>
          <w:rFonts w:hint="default" w:ascii="Times New Roman" w:hAnsi="Times New Roman" w:eastAsia="宋体" w:cs="Times New Roman"/>
          <w:b/>
          <w:bCs/>
          <w:kern w:val="2"/>
          <w:sz w:val="24"/>
          <w:szCs w:val="24"/>
          <w:highlight w:val="none"/>
          <w:lang w:val="en-US" w:eastAsia="zh-CN" w:bidi="zh-CN"/>
        </w:rPr>
        <w:t>（二）主要研究内容</w:t>
      </w:r>
    </w:p>
    <w:p w14:paraId="294F6118">
      <w:pPr>
        <w:spacing w:line="360" w:lineRule="auto"/>
        <w:ind w:firstLine="420" w:firstLineChars="200"/>
        <w:rPr>
          <w:rFonts w:hint="eastAsia" w:ascii="Times New Roman" w:hAnsi="Times New Roman" w:cs="Times New Roman"/>
          <w:kern w:val="2"/>
          <w:sz w:val="21"/>
          <w:szCs w:val="24"/>
          <w:highlight w:val="none"/>
          <w:lang w:val="en-US" w:eastAsia="zh-CN" w:bidi="zh-CN"/>
        </w:rPr>
      </w:pPr>
      <w:r>
        <w:rPr>
          <w:rFonts w:hint="eastAsia" w:ascii="Times New Roman" w:hAnsi="Times New Roman" w:cs="Times New Roman"/>
          <w:kern w:val="2"/>
          <w:sz w:val="21"/>
          <w:szCs w:val="24"/>
          <w:highlight w:val="none"/>
          <w:lang w:val="en-US" w:eastAsia="zh-CN" w:bidi="zh-CN"/>
        </w:rPr>
        <w:t>在深圳市第三人民医院和其他分中心，充分知情同意后纳入MDR-TB患者，使用BDL/M方案抗结核治疗，随访收集有效性和安全性数据。经药敏检测发现对莫西沙星敏感者，继续使用BDLM方案，疗程为6个月；如果4个月时痰培养未能转阴，则疗程延长至9个月；如果9个月时仍然疗效欠佳，则判断为治疗失败，改用18个月个体化长程方案治疗。经药敏检测发现对莫西沙星耐药者，停用莫西沙星，继续使用BDL方案，疗程为6个月；如果4个月时痰培养未能转阴，则疗程延长至9个月；如果9个月时仍然疗效欠佳，则判断为治疗失败，改用18个月个体化长程方案治疗。治疗成功后继续随访观察6-12个月，观察有无结核病再出现（内源性复发和外源性再感染）。</w:t>
      </w:r>
    </w:p>
    <w:p w14:paraId="7E20225A">
      <w:pPr>
        <w:spacing w:line="360" w:lineRule="auto"/>
        <w:ind w:firstLine="420" w:firstLineChars="200"/>
        <w:rPr>
          <w:rFonts w:hint="eastAsia" w:ascii="Times New Roman" w:hAnsi="Times New Roman" w:cs="Times New Roman"/>
          <w:highlight w:val="none"/>
          <w:lang w:val="en-US" w:eastAsia="zh-CN" w:bidi="zh-CN"/>
        </w:rPr>
      </w:pPr>
      <w:r>
        <w:rPr>
          <w:rFonts w:hint="eastAsia" w:ascii="Times New Roman" w:hAnsi="Times New Roman" w:eastAsia="宋体" w:cs="Times New Roman"/>
          <w:sz w:val="21"/>
          <w:szCs w:val="24"/>
          <w:highlight w:val="none"/>
          <w:lang w:val="en-US" w:eastAsia="zh-CN" w:bidi="zh-CN"/>
        </w:rPr>
        <w:t>疗效</w:t>
      </w:r>
      <w:r>
        <w:rPr>
          <w:rFonts w:hint="eastAsia" w:ascii="Times New Roman" w:hAnsi="Times New Roman" w:cs="Times New Roman"/>
          <w:sz w:val="21"/>
          <w:szCs w:val="24"/>
          <w:highlight w:val="none"/>
          <w:lang w:val="en-US" w:eastAsia="zh-CN" w:bidi="zh-CN"/>
        </w:rPr>
        <w:t>欠佳</w:t>
      </w:r>
      <w:r>
        <w:rPr>
          <w:rFonts w:hint="eastAsia" w:ascii="Times New Roman" w:hAnsi="Times New Roman" w:eastAsia="宋体" w:cs="Times New Roman"/>
          <w:sz w:val="21"/>
          <w:szCs w:val="24"/>
          <w:highlight w:val="none"/>
          <w:lang w:val="en-US" w:eastAsia="zh-CN" w:bidi="zh-CN"/>
        </w:rPr>
        <w:t>的标准：</w:t>
      </w:r>
      <w:r>
        <w:rPr>
          <w:rFonts w:hint="eastAsia" w:ascii="Times New Roman" w:hAnsi="Times New Roman" w:cs="Times New Roman"/>
          <w:sz w:val="21"/>
          <w:szCs w:val="24"/>
          <w:highlight w:val="none"/>
          <w:lang w:val="en-US" w:eastAsia="zh-CN" w:bidi="zh-CN"/>
        </w:rPr>
        <w:t>（1）</w:t>
      </w:r>
      <w:r>
        <w:rPr>
          <w:rFonts w:hint="eastAsia" w:ascii="Times New Roman" w:hAnsi="Times New Roman" w:eastAsia="宋体" w:cs="Times New Roman"/>
          <w:b w:val="0"/>
          <w:bCs w:val="0"/>
          <w:sz w:val="21"/>
          <w:szCs w:val="24"/>
          <w:highlight w:val="none"/>
          <w:u w:val="none"/>
          <w:lang w:val="en-US" w:eastAsia="zh-CN" w:bidi="zh-CN"/>
        </w:rPr>
        <w:t>6个月疗效</w:t>
      </w:r>
      <w:r>
        <w:rPr>
          <w:rFonts w:hint="eastAsia" w:ascii="Times New Roman" w:hAnsi="Times New Roman" w:cs="Times New Roman"/>
          <w:b w:val="0"/>
          <w:bCs w:val="0"/>
          <w:sz w:val="21"/>
          <w:szCs w:val="24"/>
          <w:highlight w:val="none"/>
          <w:u w:val="none"/>
          <w:lang w:val="en-US" w:eastAsia="zh-CN" w:bidi="zh-CN"/>
        </w:rPr>
        <w:t>欠佳</w:t>
      </w:r>
      <w:r>
        <w:rPr>
          <w:rFonts w:hint="eastAsia" w:ascii="Times New Roman" w:hAnsi="Times New Roman" w:eastAsia="宋体" w:cs="Times New Roman"/>
          <w:sz w:val="21"/>
          <w:szCs w:val="24"/>
          <w:highlight w:val="none"/>
          <w:lang w:val="en-US" w:eastAsia="zh-CN" w:bidi="zh-CN"/>
        </w:rPr>
        <w:t>的标准：</w:t>
      </w:r>
      <w:r>
        <w:rPr>
          <w:rFonts w:hint="eastAsia" w:ascii="Times New Roman" w:hAnsi="Times New Roman" w:eastAsia="宋体" w:cs="Times New Roman"/>
          <w:sz w:val="21"/>
          <w:szCs w:val="24"/>
          <w:highlight w:val="none"/>
          <w:lang w:eastAsia="zh-CN" w:bidi="zh-CN"/>
        </w:rPr>
        <w:t>如果治疗4个月时痰培养仍然阳性，或6个月时临床症状未能缓解，或6个月时胸部CT进展加重，可延长疗程至9个月。（2）</w:t>
      </w:r>
      <w:r>
        <w:rPr>
          <w:rFonts w:hint="eastAsia" w:ascii="Times New Roman" w:hAnsi="Times New Roman" w:eastAsia="宋体" w:cs="Times New Roman"/>
          <w:b w:val="0"/>
          <w:bCs w:val="0"/>
          <w:sz w:val="21"/>
          <w:szCs w:val="24"/>
          <w:highlight w:val="none"/>
          <w:u w:val="none"/>
          <w:lang w:val="en-US" w:eastAsia="zh-CN" w:bidi="zh-CN"/>
        </w:rPr>
        <w:t>9个月疗效欠佳</w:t>
      </w:r>
      <w:r>
        <w:rPr>
          <w:rFonts w:hint="eastAsia" w:ascii="Times New Roman" w:hAnsi="Times New Roman" w:eastAsia="宋体" w:cs="Times New Roman"/>
          <w:sz w:val="21"/>
          <w:szCs w:val="24"/>
          <w:highlight w:val="none"/>
          <w:lang w:eastAsia="zh-CN" w:bidi="zh-CN"/>
        </w:rPr>
        <w:t>的标准：如果治疗6个月时痰培养仍然阳性，或9个月时临床症状未能缓解，或9个月时胸部CT进展加重，可改为18个月长程方案。</w:t>
      </w:r>
    </w:p>
    <w:p w14:paraId="2BDF3925">
      <w:pPr>
        <w:pStyle w:val="13"/>
        <w:spacing w:before="174" w:line="360" w:lineRule="auto"/>
        <w:ind w:firstLine="482" w:firstLineChars="200"/>
        <w:jc w:val="left"/>
        <w:outlineLvl w:val="1"/>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b/>
          <w:bCs/>
          <w:kern w:val="2"/>
          <w:sz w:val="24"/>
          <w:szCs w:val="24"/>
          <w:highlight w:val="none"/>
          <w:lang w:val="zh-CN" w:eastAsia="zh-CN" w:bidi="zh-CN"/>
        </w:rPr>
        <w:t>（三）研究目标</w:t>
      </w:r>
    </w:p>
    <w:p w14:paraId="5D78ACDA">
      <w:pPr>
        <w:pStyle w:val="4"/>
        <w:spacing w:before="80" w:line="278" w:lineRule="auto"/>
        <w:ind w:right="317" w:firstLine="420" w:firstLineChars="200"/>
        <w:jc w:val="left"/>
        <w:rPr>
          <w:rFonts w:hint="default" w:ascii="Times New Roman" w:hAnsi="Times New Roman" w:cs="Times New Roman"/>
          <w:highlight w:val="none"/>
          <w:lang w:val="en-US" w:eastAsia="zh-CN"/>
        </w:rPr>
      </w:pPr>
      <w:r>
        <w:rPr>
          <w:rFonts w:hint="default" w:ascii="Times New Roman" w:hAnsi="Times New Roman" w:cs="Times New Roman"/>
          <w:highlight w:val="none"/>
          <w:lang w:val="en-US" w:eastAsia="zh-CN"/>
        </w:rPr>
        <w:t>1</w:t>
      </w:r>
      <w:r>
        <w:rPr>
          <w:rFonts w:hint="eastAsia" w:ascii="Times New Roman" w:hAnsi="Times New Roman" w:cs="Times New Roman"/>
          <w:highlight w:val="none"/>
          <w:lang w:val="en-US" w:eastAsia="zh-CN"/>
        </w:rPr>
        <w:t>、</w:t>
      </w:r>
      <w:r>
        <w:rPr>
          <w:rFonts w:hint="default" w:ascii="Times New Roman" w:hAnsi="Times New Roman" w:cs="Times New Roman"/>
          <w:highlight w:val="none"/>
          <w:lang w:val="en-US" w:eastAsia="zh-CN"/>
        </w:rPr>
        <w:t>获得</w:t>
      </w:r>
      <w:r>
        <w:rPr>
          <w:rFonts w:hint="eastAsia" w:ascii="Times New Roman" w:hAnsi="Times New Roman" w:cs="Times New Roman"/>
          <w:highlight w:val="none"/>
          <w:lang w:val="en-US" w:eastAsia="zh-CN"/>
        </w:rPr>
        <w:t>一个治疗MDR-TB的全口服短程方案，即6个月BDLM方案，其有效性和安全性良好</w:t>
      </w:r>
      <w:r>
        <w:rPr>
          <w:rFonts w:hint="default" w:ascii="Times New Roman" w:hAnsi="Times New Roman" w:cs="Times New Roman"/>
          <w:highlight w:val="none"/>
          <w:lang w:val="en-US" w:eastAsia="zh-CN"/>
        </w:rPr>
        <w:t>。</w:t>
      </w:r>
    </w:p>
    <w:p w14:paraId="1F96D28A">
      <w:pPr>
        <w:pStyle w:val="4"/>
        <w:spacing w:before="80" w:line="278" w:lineRule="auto"/>
        <w:ind w:right="317" w:firstLine="420" w:firstLineChars="200"/>
        <w:jc w:val="left"/>
        <w:rPr>
          <w:rFonts w:hint="default" w:ascii="Times New Roman" w:hAnsi="Times New Roman" w:cs="Times New Roman"/>
          <w:highlight w:val="none"/>
          <w:lang w:val="en-US" w:eastAsia="zh-CN"/>
        </w:rPr>
      </w:pPr>
      <w:r>
        <w:rPr>
          <w:rFonts w:hint="eastAsia" w:ascii="Times New Roman" w:hAnsi="Times New Roman" w:cs="Times New Roman"/>
          <w:highlight w:val="none"/>
          <w:lang w:val="en-US" w:eastAsia="zh-CN"/>
        </w:rPr>
        <w:t>2、获得一个治疗pre-XDR-TB的全口服短程方案，即6个月BDL方案，其有效性和安全性良好</w:t>
      </w:r>
      <w:r>
        <w:rPr>
          <w:rFonts w:hint="default" w:ascii="Times New Roman" w:hAnsi="Times New Roman" w:cs="Times New Roman"/>
          <w:highlight w:val="none"/>
          <w:lang w:val="en-US" w:eastAsia="zh-CN"/>
        </w:rPr>
        <w:t>。</w:t>
      </w:r>
    </w:p>
    <w:p w14:paraId="20196649">
      <w:pPr>
        <w:spacing w:line="360" w:lineRule="auto"/>
        <w:ind w:firstLine="392" w:firstLineChars="200"/>
        <w:jc w:val="left"/>
        <w:rPr>
          <w:rFonts w:hint="default" w:ascii="Times New Roman" w:hAnsi="Times New Roman" w:eastAsia="宋体" w:cs="Times New Roman"/>
          <w:color w:val="auto"/>
          <w:sz w:val="21"/>
          <w:szCs w:val="21"/>
          <w:highlight w:val="none"/>
          <w:lang w:eastAsia="zh-CN"/>
        </w:rPr>
      </w:pPr>
      <w:r>
        <w:rPr>
          <w:rFonts w:hint="eastAsia" w:ascii="Times New Roman" w:hAnsi="Times New Roman" w:cs="Times New Roman"/>
          <w:spacing w:val="-7"/>
          <w:highlight w:val="none"/>
          <w:lang w:val="en-US" w:eastAsia="zh-CN"/>
        </w:rPr>
        <w:t>3、</w:t>
      </w:r>
      <w:r>
        <w:rPr>
          <w:rFonts w:hint="default" w:ascii="Times New Roman" w:hAnsi="Times New Roman" w:cs="Times New Roman"/>
          <w:highlight w:val="none"/>
          <w:lang w:val="en-US" w:eastAsia="zh-CN"/>
        </w:rPr>
        <w:t>发表SCI论文</w:t>
      </w:r>
      <w:r>
        <w:rPr>
          <w:rFonts w:hint="eastAsia" w:ascii="Times New Roman" w:hAnsi="Times New Roman" w:cs="Times New Roman"/>
          <w:highlight w:val="none"/>
          <w:lang w:val="en-US" w:eastAsia="zh-CN"/>
        </w:rPr>
        <w:t>1</w:t>
      </w:r>
      <w:r>
        <w:rPr>
          <w:rFonts w:hint="default" w:ascii="Times New Roman" w:hAnsi="Times New Roman" w:cs="Times New Roman"/>
          <w:highlight w:val="none"/>
          <w:lang w:val="en-US" w:eastAsia="zh-CN"/>
        </w:rPr>
        <w:t>篇。</w:t>
      </w:r>
    </w:p>
    <w:p w14:paraId="08791DF0">
      <w:pPr>
        <w:pStyle w:val="14"/>
        <w:snapToGrid w:val="0"/>
        <w:spacing w:line="440" w:lineRule="exact"/>
        <w:ind w:left="0" w:leftChars="0" w:firstLine="0" w:firstLineChars="0"/>
        <w:outlineLvl w:val="0"/>
        <w:rPr>
          <w:rFonts w:hint="default" w:ascii="Times New Roman" w:hAnsi="Times New Roman" w:eastAsia="宋体" w:cs="Times New Roman"/>
          <w:color w:val="000000"/>
          <w:sz w:val="28"/>
          <w:szCs w:val="28"/>
          <w:highlight w:val="none"/>
          <w:u w:val="none"/>
        </w:rPr>
      </w:pPr>
      <w:r>
        <w:rPr>
          <w:rFonts w:hint="default" w:ascii="Times New Roman" w:hAnsi="Times New Roman" w:cs="Times New Roman"/>
          <w:b/>
          <w:bCs/>
          <w:color w:val="000000"/>
          <w:sz w:val="28"/>
          <w:szCs w:val="28"/>
          <w:highlight w:val="none"/>
          <w:u w:val="none"/>
          <w:lang w:eastAsia="zh-CN"/>
        </w:rPr>
        <w:t>四</w:t>
      </w:r>
      <w:r>
        <w:rPr>
          <w:rFonts w:hint="default" w:ascii="Times New Roman" w:hAnsi="Times New Roman" w:eastAsia="宋体" w:cs="Times New Roman"/>
          <w:b/>
          <w:bCs/>
          <w:color w:val="000000"/>
          <w:sz w:val="28"/>
          <w:szCs w:val="28"/>
          <w:highlight w:val="none"/>
          <w:u w:val="none"/>
          <w:lang w:eastAsia="zh-CN"/>
        </w:rPr>
        <w:t>、</w:t>
      </w:r>
      <w:r>
        <w:rPr>
          <w:rFonts w:hint="default" w:ascii="Times New Roman" w:hAnsi="Times New Roman" w:eastAsia="宋体" w:cs="Times New Roman"/>
          <w:b/>
          <w:bCs/>
          <w:color w:val="000000"/>
          <w:sz w:val="28"/>
          <w:szCs w:val="28"/>
          <w:highlight w:val="none"/>
          <w:u w:val="none"/>
        </w:rPr>
        <w:t>拟采取的研究方案及可行性分析</w:t>
      </w:r>
      <w:r>
        <w:rPr>
          <w:rFonts w:hint="default" w:ascii="Times New Roman" w:hAnsi="Times New Roman" w:eastAsia="宋体" w:cs="Times New Roman"/>
          <w:color w:val="000000"/>
          <w:sz w:val="28"/>
          <w:szCs w:val="28"/>
          <w:highlight w:val="none"/>
          <w:u w:val="none"/>
        </w:rPr>
        <w:t>（包括研究方法、技术路线、实验手段、关键技术等说明）；</w:t>
      </w:r>
    </w:p>
    <w:p w14:paraId="133D9403">
      <w:pPr>
        <w:pStyle w:val="4"/>
        <w:spacing w:before="80" w:line="360" w:lineRule="auto"/>
        <w:ind w:right="317"/>
        <w:outlineLvl w:val="2"/>
        <w:rPr>
          <w:rFonts w:hint="default" w:ascii="Times New Roman" w:hAnsi="Times New Roman" w:eastAsia="宋体" w:cs="Times New Roman"/>
          <w:b/>
          <w:bCs/>
          <w:sz w:val="24"/>
          <w:szCs w:val="24"/>
          <w:highlight w:val="none"/>
          <w:lang w:val="en-US" w:eastAsia="zh-CN"/>
        </w:rPr>
      </w:pPr>
      <w:r>
        <w:rPr>
          <w:rFonts w:hint="default" w:ascii="Times New Roman" w:hAnsi="Times New Roman" w:cs="Times New Roman"/>
          <w:b/>
          <w:bCs/>
          <w:sz w:val="24"/>
          <w:szCs w:val="24"/>
          <w:highlight w:val="none"/>
          <w:lang w:val="en-US" w:eastAsia="zh-CN"/>
        </w:rPr>
        <w:t>（一）</w:t>
      </w:r>
      <w:r>
        <w:rPr>
          <w:rFonts w:hint="default" w:ascii="Times New Roman" w:hAnsi="Times New Roman" w:eastAsia="宋体" w:cs="Times New Roman"/>
          <w:b/>
          <w:bCs/>
          <w:spacing w:val="-7"/>
          <w:sz w:val="24"/>
          <w:szCs w:val="24"/>
          <w:highlight w:val="none"/>
          <w:lang w:eastAsia="zh-CN"/>
        </w:rPr>
        <w:t>研究方</w:t>
      </w:r>
      <w:r>
        <w:rPr>
          <w:rFonts w:hint="default" w:ascii="Times New Roman" w:hAnsi="Times New Roman" w:cs="Times New Roman"/>
          <w:b/>
          <w:bCs/>
          <w:spacing w:val="-7"/>
          <w:sz w:val="24"/>
          <w:szCs w:val="24"/>
          <w:highlight w:val="none"/>
          <w:lang w:eastAsia="zh-CN"/>
        </w:rPr>
        <w:t>案</w:t>
      </w:r>
    </w:p>
    <w:p w14:paraId="52A4E60A">
      <w:pPr>
        <w:pStyle w:val="14"/>
        <w:numPr>
          <w:ilvl w:val="0"/>
          <w:numId w:val="0"/>
        </w:numPr>
        <w:spacing w:line="360" w:lineRule="auto"/>
        <w:ind w:leftChars="0" w:firstLine="482" w:firstLineChars="200"/>
        <w:outlineLvl w:val="2"/>
        <w:rPr>
          <w:rFonts w:hint="default" w:ascii="Times New Roman" w:hAnsi="Times New Roman" w:eastAsia="宋体" w:cs="Times New Roman"/>
          <w:b/>
          <w:sz w:val="24"/>
          <w:szCs w:val="24"/>
          <w:highlight w:val="none"/>
          <w:lang w:val="zh-CN" w:eastAsia="zh-CN"/>
        </w:rPr>
      </w:pPr>
      <w:r>
        <w:rPr>
          <w:rFonts w:hint="default" w:ascii="Times New Roman" w:hAnsi="Times New Roman" w:cs="Times New Roman"/>
          <w:b/>
          <w:sz w:val="24"/>
          <w:szCs w:val="24"/>
          <w:highlight w:val="none"/>
          <w:lang w:val="en-US" w:eastAsia="zh-CN"/>
        </w:rPr>
        <w:t>1.</w:t>
      </w:r>
      <w:r>
        <w:rPr>
          <w:rFonts w:hint="default" w:ascii="Times New Roman" w:hAnsi="Times New Roman" w:eastAsia="宋体" w:cs="Times New Roman"/>
          <w:b/>
          <w:sz w:val="24"/>
          <w:szCs w:val="24"/>
          <w:highlight w:val="none"/>
          <w:lang w:val="zh-CN" w:eastAsia="zh-CN"/>
        </w:rPr>
        <w:t>研究设计</w:t>
      </w:r>
    </w:p>
    <w:p w14:paraId="06009AF6">
      <w:pPr>
        <w:spacing w:line="360" w:lineRule="auto"/>
        <w:ind w:firstLine="420" w:firstLineChars="200"/>
        <w:rPr>
          <w:rFonts w:hint="default" w:ascii="Times New Roman" w:hAnsi="Times New Roman" w:eastAsia="宋体" w:cs="Times New Roman"/>
          <w:kern w:val="2"/>
          <w:sz w:val="21"/>
          <w:szCs w:val="21"/>
          <w:highlight w:val="none"/>
          <w:lang w:val="zh-CN" w:eastAsia="zh-CN" w:bidi="zh-CN"/>
        </w:rPr>
      </w:pPr>
      <w:r>
        <w:rPr>
          <w:rFonts w:hint="default" w:ascii="Times New Roman" w:hAnsi="Times New Roman" w:eastAsia="宋体" w:cs="Times New Roman"/>
          <w:kern w:val="2"/>
          <w:sz w:val="21"/>
          <w:szCs w:val="21"/>
          <w:highlight w:val="none"/>
          <w:lang w:val="zh-CN" w:eastAsia="zh-CN" w:bidi="zh-CN"/>
        </w:rPr>
        <w:t>开展</w:t>
      </w:r>
      <w:r>
        <w:rPr>
          <w:rFonts w:hint="eastAsia" w:ascii="Times New Roman" w:hAnsi="Times New Roman" w:cs="Times New Roman"/>
          <w:kern w:val="2"/>
          <w:sz w:val="21"/>
          <w:szCs w:val="21"/>
          <w:highlight w:val="none"/>
          <w:lang w:val="zh-CN" w:eastAsia="zh-CN" w:bidi="zh-CN"/>
        </w:rPr>
        <w:t>前瞻性、单臂、治疗策略的临床研究</w:t>
      </w:r>
      <w:r>
        <w:rPr>
          <w:rFonts w:hint="default" w:ascii="Times New Roman" w:hAnsi="Times New Roman" w:eastAsia="宋体" w:cs="Times New Roman"/>
          <w:kern w:val="2"/>
          <w:sz w:val="21"/>
          <w:szCs w:val="21"/>
          <w:highlight w:val="none"/>
          <w:lang w:val="zh-CN" w:eastAsia="zh-CN" w:bidi="zh-CN"/>
        </w:rPr>
        <w:t>。</w:t>
      </w:r>
    </w:p>
    <w:p w14:paraId="103F3840">
      <w:pPr>
        <w:pStyle w:val="14"/>
        <w:numPr>
          <w:ilvl w:val="0"/>
          <w:numId w:val="0"/>
        </w:numPr>
        <w:spacing w:line="360" w:lineRule="auto"/>
        <w:ind w:leftChars="0" w:firstLine="482" w:firstLineChars="200"/>
        <w:outlineLvl w:val="2"/>
        <w:rPr>
          <w:rFonts w:hint="default" w:ascii="Times New Roman" w:hAnsi="Times New Roman" w:eastAsia="宋体" w:cs="Times New Roman"/>
          <w:b/>
          <w:sz w:val="21"/>
          <w:szCs w:val="21"/>
          <w:highlight w:val="none"/>
          <w:lang w:eastAsia="zh-CN"/>
        </w:rPr>
      </w:pPr>
      <w:r>
        <w:rPr>
          <w:rFonts w:hint="default" w:ascii="Times New Roman" w:hAnsi="Times New Roman" w:cs="Times New Roman"/>
          <w:b/>
          <w:sz w:val="24"/>
          <w:szCs w:val="24"/>
          <w:highlight w:val="none"/>
          <w:lang w:val="en-US" w:eastAsia="zh-CN"/>
        </w:rPr>
        <w:t>2.</w:t>
      </w:r>
      <w:r>
        <w:rPr>
          <w:rFonts w:hint="default" w:ascii="Times New Roman" w:hAnsi="Times New Roman" w:eastAsia="宋体" w:cs="Times New Roman"/>
          <w:b/>
          <w:sz w:val="24"/>
          <w:szCs w:val="24"/>
          <w:highlight w:val="none"/>
        </w:rPr>
        <w:t>研究对象</w:t>
      </w:r>
    </w:p>
    <w:p w14:paraId="2F15EC0F">
      <w:pPr>
        <w:pStyle w:val="14"/>
        <w:spacing w:line="360" w:lineRule="auto"/>
        <w:ind w:left="0" w:leftChars="0" w:firstLine="480" w:firstLineChars="0"/>
        <w:outlineLvl w:val="2"/>
        <w:rPr>
          <w:rFonts w:hint="default" w:ascii="Times New Roman" w:hAnsi="Times New Roman" w:eastAsia="宋体" w:cs="Times New Roman"/>
          <w:b/>
          <w:bCs/>
          <w:color w:val="000000"/>
          <w:sz w:val="21"/>
          <w:szCs w:val="21"/>
          <w:highlight w:val="none"/>
          <w:lang w:eastAsia="zh-CN"/>
        </w:rPr>
      </w:pPr>
      <w:r>
        <w:rPr>
          <w:rFonts w:hint="eastAsia" w:ascii="Times New Roman" w:hAnsi="Times New Roman" w:cs="Times New Roman"/>
          <w:b/>
          <w:bCs/>
          <w:color w:val="000000"/>
          <w:sz w:val="21"/>
          <w:szCs w:val="21"/>
          <w:highlight w:val="none"/>
          <w:lang w:eastAsia="zh-CN"/>
        </w:rPr>
        <w:t>（</w:t>
      </w:r>
      <w:r>
        <w:rPr>
          <w:rFonts w:hint="eastAsia" w:ascii="Times New Roman" w:hAnsi="Times New Roman" w:cs="Times New Roman"/>
          <w:b/>
          <w:bCs/>
          <w:color w:val="000000"/>
          <w:sz w:val="21"/>
          <w:szCs w:val="21"/>
          <w:highlight w:val="none"/>
          <w:lang w:val="en-US" w:eastAsia="zh-CN"/>
        </w:rPr>
        <w:t>1</w:t>
      </w:r>
      <w:r>
        <w:rPr>
          <w:rFonts w:hint="eastAsia" w:ascii="Times New Roman" w:hAnsi="Times New Roman"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lang w:eastAsia="zh-CN"/>
        </w:rPr>
        <w:t>纳入</w:t>
      </w:r>
      <w:r>
        <w:rPr>
          <w:rFonts w:hint="default" w:ascii="Times New Roman" w:hAnsi="Times New Roman" w:eastAsia="宋体" w:cs="Times New Roman"/>
          <w:b/>
          <w:bCs/>
          <w:color w:val="000000"/>
          <w:sz w:val="21"/>
          <w:szCs w:val="21"/>
          <w:highlight w:val="none"/>
        </w:rPr>
        <w:t>标准</w:t>
      </w:r>
      <w:r>
        <w:rPr>
          <w:rFonts w:hint="default" w:ascii="Times New Roman" w:hAnsi="Times New Roman" w:eastAsia="宋体"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lang w:val="en-US" w:eastAsia="zh-CN"/>
        </w:rPr>
        <w:t>必须同时符合以下所有条款</w:t>
      </w:r>
      <w:r>
        <w:rPr>
          <w:rFonts w:hint="default" w:ascii="Times New Roman" w:hAnsi="Times New Roman" w:eastAsia="宋体" w:cs="Times New Roman"/>
          <w:b/>
          <w:bCs/>
          <w:color w:val="000000"/>
          <w:sz w:val="21"/>
          <w:szCs w:val="21"/>
          <w:highlight w:val="none"/>
          <w:lang w:eastAsia="zh-CN"/>
        </w:rPr>
        <w:t>）：</w:t>
      </w:r>
    </w:p>
    <w:p w14:paraId="0068113C">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1）自愿参加研究并签署知情同意书；或监护人同意患儿作为受试对象，签署知情同意书；</w:t>
      </w:r>
    </w:p>
    <w:p w14:paraId="25FBA94C">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2）年龄≥14岁至≤75岁，体重≥30kg，男女不限；</w:t>
      </w:r>
    </w:p>
    <w:p w14:paraId="77ED445B">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3）胸部CT提示存在肺部病灶，不论是否病灶广泛性肺结核；允许同时存在肺外结核病，但需排除中枢神经系统结核、骨关节结核、血播结核；</w:t>
      </w:r>
    </w:p>
    <w:p w14:paraId="4DD1CA42">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rPr>
        <w:t>4）在筛选前3个月内，经痰、诱导痰或肺泡灌洗液GeneXpert MTB/RIF确诊为利福平耐药结核病患者；</w:t>
      </w:r>
    </w:p>
    <w:p w14:paraId="33DC18EA">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rPr>
        <w:t>5）在入组前或入组后2个月内能获取氟喹诺酮类药敏结果，可使用快速分子检测或表型药敏检测等方法；</w:t>
      </w:r>
    </w:p>
    <w:p w14:paraId="34F27FA6">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lang w:eastAsia="zh-CN"/>
        </w:rPr>
        <w:t>）经临床综合评估诊断为活动性肺结核，且需要</w:t>
      </w:r>
      <w:r>
        <w:rPr>
          <w:rFonts w:hint="eastAsia" w:ascii="Times New Roman" w:hAnsi="Times New Roman" w:cs="Times New Roman"/>
          <w:color w:val="000000"/>
          <w:sz w:val="21"/>
          <w:szCs w:val="21"/>
          <w:highlight w:val="none"/>
          <w:lang w:val="en-US" w:eastAsia="zh-CN"/>
        </w:rPr>
        <w:t>启动</w:t>
      </w:r>
      <w:r>
        <w:rPr>
          <w:rFonts w:hint="default" w:ascii="Times New Roman" w:hAnsi="Times New Roman" w:eastAsia="宋体" w:cs="Times New Roman"/>
          <w:color w:val="000000"/>
          <w:sz w:val="21"/>
          <w:szCs w:val="21"/>
          <w:highlight w:val="none"/>
          <w:lang w:eastAsia="zh-CN"/>
        </w:rPr>
        <w:t>抗结核治疗的患者</w:t>
      </w:r>
      <w:r>
        <w:rPr>
          <w:rFonts w:hint="default" w:ascii="Times New Roman" w:hAnsi="Times New Roman" w:eastAsia="宋体"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val="en-US" w:eastAsia="zh-CN"/>
        </w:rPr>
        <w:t>潜在受试者</w:t>
      </w:r>
      <w:r>
        <w:rPr>
          <w:rFonts w:hint="default" w:ascii="Times New Roman" w:hAnsi="Times New Roman" w:eastAsia="宋体" w:cs="Times New Roman"/>
          <w:color w:val="000000"/>
          <w:sz w:val="21"/>
          <w:szCs w:val="21"/>
          <w:highlight w:val="none"/>
          <w:lang w:eastAsia="zh-CN"/>
        </w:rPr>
        <w:t>包括：</w:t>
      </w:r>
      <w:r>
        <w:rPr>
          <w:rFonts w:hint="default" w:ascii="Times New Roman" w:hAnsi="Times New Roman" w:cs="Times New Roman"/>
          <w:color w:val="000000"/>
          <w:sz w:val="21"/>
          <w:szCs w:val="21"/>
          <w:highlight w:val="none"/>
          <w:lang w:val="en-US" w:eastAsia="zh-CN"/>
        </w:rPr>
        <w:t>a）</w:t>
      </w:r>
      <w:r>
        <w:rPr>
          <w:rFonts w:hint="default" w:ascii="Times New Roman" w:hAnsi="Times New Roman" w:eastAsia="宋体" w:cs="Times New Roman"/>
          <w:color w:val="000000"/>
          <w:sz w:val="21"/>
          <w:szCs w:val="21"/>
          <w:highlight w:val="none"/>
          <w:lang w:eastAsia="zh-CN"/>
        </w:rPr>
        <w:t>初治病例（</w:t>
      </w:r>
      <w:r>
        <w:rPr>
          <w:rFonts w:hint="default" w:ascii="Times New Roman" w:hAnsi="Times New Roman" w:eastAsia="宋体" w:cs="Times New Roman"/>
          <w:color w:val="000000"/>
          <w:sz w:val="21"/>
          <w:szCs w:val="21"/>
          <w:highlight w:val="none"/>
        </w:rPr>
        <w:t>未用过二线抗结核药物</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b</w:t>
      </w:r>
      <w:r>
        <w:rPr>
          <w:rFonts w:hint="default" w:ascii="Times New Roman" w:hAnsi="Times New Roman"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eastAsia="zh-CN"/>
        </w:rPr>
        <w:t>治疗失败病例（①</w:t>
      </w:r>
      <w:r>
        <w:rPr>
          <w:rFonts w:hint="default" w:ascii="Times New Roman" w:hAnsi="Times New Roman" w:eastAsia="宋体" w:cs="Times New Roman"/>
          <w:color w:val="000000"/>
          <w:sz w:val="21"/>
          <w:szCs w:val="21"/>
          <w:highlight w:val="none"/>
        </w:rPr>
        <w:t>使用二线抗结核药物</w:t>
      </w:r>
      <w:r>
        <w:rPr>
          <w:rFonts w:hint="default" w:ascii="Times New Roman" w:hAnsi="Times New Roman" w:eastAsia="宋体" w:cs="Times New Roman"/>
          <w:color w:val="000000"/>
          <w:sz w:val="21"/>
          <w:szCs w:val="21"/>
          <w:highlight w:val="none"/>
          <w:lang w:eastAsia="zh-CN"/>
        </w:rPr>
        <w:t>超</w:t>
      </w:r>
      <w:r>
        <w:rPr>
          <w:rFonts w:hint="default" w:ascii="Times New Roman" w:hAnsi="Times New Roman" w:eastAsia="宋体" w:cs="Times New Roman"/>
          <w:color w:val="000000"/>
          <w:sz w:val="21"/>
          <w:szCs w:val="21"/>
          <w:highlight w:val="none"/>
          <w:lang w:val="en-US" w:eastAsia="zh-CN"/>
        </w:rPr>
        <w:t>6个月且判断为</w:t>
      </w:r>
      <w:r>
        <w:rPr>
          <w:rFonts w:hint="default" w:ascii="Times New Roman" w:hAnsi="Times New Roman" w:eastAsia="宋体" w:cs="Times New Roman"/>
          <w:color w:val="000000"/>
          <w:sz w:val="21"/>
          <w:szCs w:val="21"/>
          <w:highlight w:val="none"/>
        </w:rPr>
        <w:t>治疗失败</w:t>
      </w:r>
      <w:r>
        <w:rPr>
          <w:rFonts w:hint="default" w:ascii="Times New Roman" w:hAnsi="Times New Roman" w:eastAsia="宋体" w:cs="Times New Roman"/>
          <w:color w:val="000000"/>
          <w:sz w:val="21"/>
          <w:szCs w:val="21"/>
          <w:highlight w:val="none"/>
          <w:lang w:eastAsia="zh-CN"/>
        </w:rPr>
        <w:t>；②</w:t>
      </w:r>
      <w:r>
        <w:rPr>
          <w:rFonts w:hint="default" w:ascii="Times New Roman" w:hAnsi="Times New Roman" w:eastAsia="宋体" w:cs="Times New Roman"/>
          <w:color w:val="000000"/>
          <w:sz w:val="21"/>
          <w:szCs w:val="21"/>
          <w:highlight w:val="none"/>
          <w:lang w:val="en-US" w:eastAsia="zh-CN"/>
        </w:rPr>
        <w:t>由于任何原因停用</w:t>
      </w:r>
      <w:r>
        <w:rPr>
          <w:rFonts w:hint="default" w:ascii="Times New Roman" w:hAnsi="Times New Roman" w:eastAsia="宋体" w:cs="Times New Roman"/>
          <w:color w:val="000000"/>
          <w:sz w:val="21"/>
          <w:szCs w:val="21"/>
          <w:highlight w:val="none"/>
        </w:rPr>
        <w:t>抗结核</w:t>
      </w:r>
      <w:r>
        <w:rPr>
          <w:rFonts w:hint="default" w:ascii="Times New Roman" w:hAnsi="Times New Roman" w:eastAsia="宋体" w:cs="Times New Roman"/>
          <w:color w:val="000000"/>
          <w:sz w:val="21"/>
          <w:szCs w:val="21"/>
          <w:highlight w:val="none"/>
          <w:lang w:val="en-US" w:eastAsia="zh-CN"/>
        </w:rPr>
        <w:t>方案中的2个或以上药物而判断为治疗失败）</w:t>
      </w:r>
      <w:r>
        <w:rPr>
          <w:rFonts w:hint="default" w:ascii="Times New Roman" w:hAnsi="Times New Roman" w:cs="Times New Roman"/>
          <w:color w:val="000000"/>
          <w:sz w:val="21"/>
          <w:szCs w:val="21"/>
          <w:highlight w:val="none"/>
          <w:lang w:val="en-US" w:eastAsia="zh-CN"/>
        </w:rPr>
        <w:t>。c）再出现</w:t>
      </w:r>
      <w:r>
        <w:rPr>
          <w:rFonts w:hint="default" w:ascii="Times New Roman" w:hAnsi="Times New Roman" w:eastAsia="宋体" w:cs="Times New Roman"/>
          <w:color w:val="000000"/>
          <w:sz w:val="21"/>
          <w:szCs w:val="21"/>
          <w:highlight w:val="none"/>
          <w:lang w:val="en-US" w:eastAsia="zh-CN"/>
        </w:rPr>
        <w:t>病例（内源性</w:t>
      </w:r>
      <w:r>
        <w:rPr>
          <w:rFonts w:hint="default" w:ascii="Times New Roman" w:hAnsi="Times New Roman" w:cs="Times New Roman"/>
          <w:color w:val="000000"/>
          <w:sz w:val="21"/>
          <w:szCs w:val="21"/>
          <w:highlight w:val="none"/>
          <w:lang w:val="en-US" w:eastAsia="zh-CN"/>
        </w:rPr>
        <w:t>复发</w:t>
      </w:r>
      <w:r>
        <w:rPr>
          <w:rFonts w:hint="default" w:ascii="Times New Roman" w:hAnsi="Times New Roman" w:eastAsia="宋体" w:cs="Times New Roman"/>
          <w:color w:val="000000"/>
          <w:sz w:val="21"/>
          <w:szCs w:val="21"/>
          <w:highlight w:val="none"/>
          <w:lang w:val="en-US" w:eastAsia="zh-CN"/>
        </w:rPr>
        <w:t>或外源性再感染）</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eastAsia="zh-CN"/>
        </w:rPr>
        <w:t>临床综合评估</w:t>
      </w:r>
      <w:r>
        <w:rPr>
          <w:rFonts w:hint="default" w:ascii="Times New Roman" w:hAnsi="Times New Roman" w:cs="Times New Roman"/>
          <w:color w:val="000000"/>
          <w:sz w:val="21"/>
          <w:szCs w:val="21"/>
          <w:highlight w:val="none"/>
          <w:lang w:eastAsia="zh-CN"/>
        </w:rPr>
        <w:t>需由</w:t>
      </w:r>
      <w:r>
        <w:rPr>
          <w:rFonts w:hint="eastAsia" w:ascii="Times New Roman" w:hAnsi="Times New Roman" w:cs="Times New Roman"/>
          <w:color w:val="000000"/>
          <w:sz w:val="21"/>
          <w:szCs w:val="21"/>
          <w:highlight w:val="none"/>
          <w:lang w:eastAsia="zh-CN"/>
        </w:rPr>
        <w:t>耐多药结核病</w:t>
      </w:r>
      <w:r>
        <w:rPr>
          <w:rFonts w:hint="default" w:ascii="Times New Roman" w:hAnsi="Times New Roman" w:cs="Times New Roman"/>
          <w:color w:val="000000"/>
          <w:sz w:val="21"/>
          <w:szCs w:val="21"/>
          <w:highlight w:val="none"/>
          <w:lang w:eastAsia="zh-CN"/>
        </w:rPr>
        <w:t>专家组给出；</w:t>
      </w:r>
    </w:p>
    <w:p w14:paraId="1E8E826A">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rPr>
      </w:pPr>
      <w:r>
        <w:rPr>
          <w:rFonts w:hint="eastAsia" w:ascii="Times New Roman" w:hAnsi="Times New Roman" w:cs="Times New Roman"/>
          <w:color w:val="000000"/>
          <w:sz w:val="21"/>
          <w:szCs w:val="21"/>
          <w:highlight w:val="none"/>
          <w:lang w:val="en-US" w:eastAsia="zh-CN"/>
        </w:rPr>
        <w:t>7</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lang w:eastAsia="zh-CN"/>
        </w:rPr>
        <w:t>如为</w:t>
      </w:r>
      <w:r>
        <w:rPr>
          <w:rFonts w:hint="default" w:ascii="Times New Roman" w:hAnsi="Times New Roman" w:eastAsia="宋体" w:cs="Times New Roman"/>
          <w:color w:val="000000"/>
          <w:sz w:val="21"/>
          <w:szCs w:val="21"/>
          <w:highlight w:val="none"/>
        </w:rPr>
        <w:t>育龄期妇女</w:t>
      </w:r>
      <w:r>
        <w:rPr>
          <w:rFonts w:hint="default" w:ascii="Times New Roman" w:hAnsi="Times New Roman" w:eastAsia="宋体" w:cs="Times New Roman"/>
          <w:color w:val="000000"/>
          <w:sz w:val="21"/>
          <w:szCs w:val="21"/>
          <w:highlight w:val="none"/>
          <w:lang w:eastAsia="zh-CN"/>
        </w:rPr>
        <w:t>，需要其</w:t>
      </w:r>
      <w:r>
        <w:rPr>
          <w:rFonts w:hint="default" w:ascii="Times New Roman" w:hAnsi="Times New Roman" w:eastAsia="宋体" w:cs="Times New Roman"/>
          <w:color w:val="000000"/>
          <w:sz w:val="21"/>
          <w:szCs w:val="21"/>
          <w:highlight w:val="none"/>
        </w:rPr>
        <w:t>妊娠尿检阴性并同意在研究期间</w:t>
      </w:r>
      <w:r>
        <w:rPr>
          <w:rFonts w:hint="default" w:ascii="Times New Roman" w:hAnsi="Times New Roman" w:cs="Times New Roman"/>
          <w:color w:val="000000"/>
          <w:sz w:val="21"/>
          <w:szCs w:val="21"/>
          <w:highlight w:val="none"/>
          <w:lang w:eastAsia="zh-CN"/>
        </w:rPr>
        <w:t>采取</w:t>
      </w:r>
      <w:r>
        <w:rPr>
          <w:rFonts w:hint="default" w:ascii="Times New Roman" w:hAnsi="Times New Roman" w:eastAsia="宋体" w:cs="Times New Roman"/>
          <w:color w:val="000000"/>
          <w:sz w:val="21"/>
          <w:szCs w:val="21"/>
          <w:highlight w:val="none"/>
        </w:rPr>
        <w:t>高效避孕措施</w:t>
      </w:r>
      <w:r>
        <w:rPr>
          <w:rFonts w:hint="default" w:ascii="Times New Roman" w:hAnsi="Times New Roman" w:cs="Times New Roman"/>
          <w:color w:val="000000"/>
          <w:sz w:val="21"/>
          <w:szCs w:val="21"/>
          <w:highlight w:val="none"/>
          <w:lang w:eastAsia="zh-CN"/>
        </w:rPr>
        <w:t>（包括避孕套、结扎等，不建议药物避孕）</w:t>
      </w:r>
      <w:r>
        <w:rPr>
          <w:rFonts w:hint="default" w:ascii="Times New Roman" w:hAnsi="Times New Roman" w:eastAsia="宋体" w:cs="Times New Roman"/>
          <w:color w:val="000000"/>
          <w:sz w:val="21"/>
          <w:szCs w:val="21"/>
          <w:highlight w:val="none"/>
          <w:lang w:eastAsia="zh-CN"/>
        </w:rPr>
        <w:t>；</w:t>
      </w:r>
    </w:p>
    <w:p w14:paraId="5F57DAFE">
      <w:pPr>
        <w:pStyle w:val="14"/>
        <w:spacing w:line="360" w:lineRule="auto"/>
        <w:ind w:left="0" w:leftChars="0" w:firstLine="480" w:firstLineChars="0"/>
        <w:jc w:val="left"/>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8</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预计研究期间不离开本地，且愿意提供联系方式配合完成治疗和后续随访安排</w:t>
      </w:r>
      <w:r>
        <w:rPr>
          <w:rFonts w:hint="eastAsia" w:ascii="Times New Roman" w:hAnsi="Times New Roman" w:cs="Times New Roman"/>
          <w:color w:val="000000"/>
          <w:sz w:val="21"/>
          <w:szCs w:val="21"/>
          <w:highlight w:val="none"/>
          <w:lang w:val="en-US" w:eastAsia="zh-CN"/>
        </w:rPr>
        <w:t>。</w:t>
      </w:r>
    </w:p>
    <w:p w14:paraId="2F81FCBF">
      <w:pPr>
        <w:pStyle w:val="14"/>
        <w:spacing w:line="360" w:lineRule="auto"/>
        <w:ind w:left="0" w:leftChars="0" w:firstLine="422" w:firstLineChars="200"/>
        <w:outlineLvl w:val="2"/>
        <w:rPr>
          <w:rFonts w:hint="default" w:ascii="Times New Roman" w:hAnsi="Times New Roman" w:eastAsia="宋体" w:cs="Times New Roman"/>
          <w:b/>
          <w:bCs/>
          <w:color w:val="000000"/>
          <w:sz w:val="21"/>
          <w:szCs w:val="21"/>
          <w:highlight w:val="none"/>
          <w:lang w:eastAsia="zh-CN"/>
        </w:rPr>
      </w:pPr>
      <w:r>
        <w:rPr>
          <w:rFonts w:hint="eastAsia" w:ascii="Times New Roman" w:hAnsi="Times New Roman" w:cs="Times New Roman"/>
          <w:b/>
          <w:bCs/>
          <w:color w:val="000000"/>
          <w:sz w:val="21"/>
          <w:szCs w:val="21"/>
          <w:highlight w:val="none"/>
          <w:lang w:eastAsia="zh-CN"/>
        </w:rPr>
        <w:t>（</w:t>
      </w:r>
      <w:r>
        <w:rPr>
          <w:rFonts w:hint="eastAsia" w:ascii="Times New Roman" w:hAnsi="Times New Roman" w:cs="Times New Roman"/>
          <w:b/>
          <w:bCs/>
          <w:color w:val="000000"/>
          <w:sz w:val="21"/>
          <w:szCs w:val="21"/>
          <w:highlight w:val="none"/>
          <w:lang w:val="en-US" w:eastAsia="zh-CN"/>
        </w:rPr>
        <w:t>2</w:t>
      </w:r>
      <w:r>
        <w:rPr>
          <w:rFonts w:hint="eastAsia" w:ascii="Times New Roman" w:hAnsi="Times New Roman"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rPr>
        <w:t>排除标准</w:t>
      </w:r>
      <w:r>
        <w:rPr>
          <w:rFonts w:hint="default" w:ascii="Times New Roman" w:hAnsi="Times New Roman" w:eastAsia="宋体"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lang w:val="en-US" w:eastAsia="zh-CN"/>
        </w:rPr>
        <w:t>符合以下任一条款即可</w:t>
      </w:r>
      <w:r>
        <w:rPr>
          <w:rFonts w:hint="default" w:ascii="Times New Roman" w:hAnsi="Times New Roman" w:eastAsia="宋体" w:cs="Times New Roman"/>
          <w:b/>
          <w:bCs/>
          <w:color w:val="000000"/>
          <w:sz w:val="21"/>
          <w:szCs w:val="21"/>
          <w:highlight w:val="none"/>
          <w:lang w:eastAsia="zh-CN"/>
        </w:rPr>
        <w:t>）：</w:t>
      </w:r>
    </w:p>
    <w:p w14:paraId="484D8E4A">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eastAsia="zh-CN"/>
        </w:rPr>
        <w:t>1）</w:t>
      </w:r>
      <w:r>
        <w:rPr>
          <w:rFonts w:hint="eastAsia" w:ascii="Times New Roman" w:hAnsi="Times New Roman" w:cs="Times New Roman"/>
          <w:color w:val="000000"/>
          <w:sz w:val="21"/>
          <w:szCs w:val="21"/>
          <w:highlight w:val="none"/>
          <w:lang w:val="en-US" w:eastAsia="zh-CN"/>
        </w:rPr>
        <w:t>合并非结核分枝杆菌感染，或经研究者判断将影响本研究进行的其他感染；</w:t>
      </w:r>
    </w:p>
    <w:p w14:paraId="42F97058">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2</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入组前使用贝达喹啉</w:t>
      </w:r>
      <w:r>
        <w:rPr>
          <w:rFonts w:hint="eastAsia" w:ascii="Times New Roman" w:hAnsi="Times New Roman" w:cs="Times New Roman"/>
          <w:color w:val="000000"/>
          <w:sz w:val="21"/>
          <w:szCs w:val="21"/>
          <w:highlight w:val="none"/>
          <w:lang w:val="en-US" w:eastAsia="zh-CN"/>
        </w:rPr>
        <w:t>、普托马尼、德拉马尼、莫西沙星、</w:t>
      </w:r>
      <w:r>
        <w:rPr>
          <w:rFonts w:hint="default" w:ascii="Times New Roman" w:hAnsi="Times New Roman" w:cs="Times New Roman"/>
          <w:color w:val="000000"/>
          <w:sz w:val="21"/>
          <w:szCs w:val="21"/>
          <w:highlight w:val="none"/>
          <w:lang w:val="en-US" w:eastAsia="zh-CN"/>
        </w:rPr>
        <w:t>利奈唑胺</w:t>
      </w:r>
      <w:r>
        <w:rPr>
          <w:rFonts w:hint="eastAsia" w:ascii="Times New Roman" w:hAnsi="Times New Roman" w:cs="Times New Roman"/>
          <w:color w:val="000000"/>
          <w:sz w:val="21"/>
          <w:szCs w:val="21"/>
          <w:highlight w:val="none"/>
          <w:lang w:val="en-US" w:eastAsia="zh-CN"/>
        </w:rPr>
        <w:t>等药物的单药或任意组合</w:t>
      </w:r>
      <w:r>
        <w:rPr>
          <w:rFonts w:hint="default" w:ascii="Times New Roman" w:hAnsi="Times New Roman" w:cs="Times New Roman"/>
          <w:color w:val="000000"/>
          <w:sz w:val="21"/>
          <w:szCs w:val="21"/>
          <w:highlight w:val="none"/>
          <w:lang w:val="en-US" w:eastAsia="zh-CN"/>
        </w:rPr>
        <w:t>超过1个月</w:t>
      </w:r>
      <w:r>
        <w:rPr>
          <w:rFonts w:hint="eastAsia" w:ascii="Times New Roman" w:hAnsi="Times New Roman" w:cs="Times New Roman"/>
          <w:color w:val="000000"/>
          <w:sz w:val="21"/>
          <w:szCs w:val="21"/>
          <w:highlight w:val="none"/>
          <w:lang w:val="en-US" w:eastAsia="zh-CN"/>
        </w:rPr>
        <w:t>，且有证据表明已经对这些药物耐药（</w:t>
      </w:r>
      <w:r>
        <w:rPr>
          <w:rFonts w:hint="default" w:ascii="Times New Roman" w:hAnsi="Times New Roman" w:eastAsia="宋体" w:cs="Times New Roman"/>
          <w:color w:val="000000"/>
          <w:sz w:val="21"/>
          <w:szCs w:val="21"/>
          <w:highlight w:val="none"/>
          <w:lang w:eastAsia="zh-CN"/>
        </w:rPr>
        <w:t>经快速分子生物学方法、全基因组测序、表现型体外药敏试验等方法证实）</w:t>
      </w:r>
      <w:r>
        <w:rPr>
          <w:rFonts w:hint="default" w:ascii="Times New Roman" w:hAnsi="Times New Roman" w:cs="Times New Roman"/>
          <w:color w:val="000000"/>
          <w:sz w:val="21"/>
          <w:szCs w:val="21"/>
          <w:highlight w:val="none"/>
          <w:lang w:val="en-US" w:eastAsia="zh-CN"/>
        </w:rPr>
        <w:t>；</w:t>
      </w:r>
    </w:p>
    <w:p w14:paraId="76849B3B">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3</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eastAsia="zh-CN"/>
        </w:rPr>
        <w:t>入组前已知对</w:t>
      </w:r>
      <w:r>
        <w:rPr>
          <w:rFonts w:hint="default" w:ascii="Times New Roman" w:hAnsi="Times New Roman" w:eastAsia="宋体" w:cs="Times New Roman"/>
          <w:color w:val="000000"/>
          <w:sz w:val="21"/>
          <w:szCs w:val="21"/>
          <w:highlight w:val="none"/>
          <w:lang w:val="en-US"/>
        </w:rPr>
        <w:t>所接受治疗方案中</w:t>
      </w:r>
      <w:r>
        <w:rPr>
          <w:rFonts w:hint="default" w:ascii="Times New Roman" w:hAnsi="Times New Roman" w:cs="Times New Roman"/>
          <w:color w:val="000000"/>
          <w:sz w:val="21"/>
          <w:szCs w:val="21"/>
          <w:highlight w:val="none"/>
          <w:lang w:eastAsia="zh-CN"/>
        </w:rPr>
        <w:t>的药物存在</w:t>
      </w:r>
      <w:r>
        <w:rPr>
          <w:rFonts w:hint="eastAsia" w:ascii="Times New Roman" w:hAnsi="Times New Roman" w:cs="Times New Roman"/>
          <w:color w:val="000000"/>
          <w:sz w:val="21"/>
          <w:szCs w:val="21"/>
          <w:highlight w:val="none"/>
          <w:lang w:eastAsia="zh-CN"/>
        </w:rPr>
        <w:t>不耐受，或过敏</w:t>
      </w:r>
      <w:r>
        <w:rPr>
          <w:rFonts w:hint="default" w:ascii="Times New Roman" w:hAnsi="Times New Roman" w:cs="Times New Roman"/>
          <w:color w:val="000000"/>
          <w:sz w:val="21"/>
          <w:szCs w:val="21"/>
          <w:highlight w:val="none"/>
          <w:lang w:eastAsia="zh-CN"/>
        </w:rPr>
        <w:t>；</w:t>
      </w:r>
    </w:p>
    <w:p w14:paraId="10FB1069">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4</w:t>
      </w:r>
      <w:r>
        <w:rPr>
          <w:rFonts w:hint="default" w:ascii="Times New Roman" w:hAnsi="Times New Roman" w:cs="Times New Roman"/>
          <w:color w:val="000000"/>
          <w:sz w:val="21"/>
          <w:szCs w:val="21"/>
          <w:highlight w:val="none"/>
          <w:lang w:val="en-US" w:eastAsia="zh-CN"/>
        </w:rPr>
        <w:t>）QTcF ≥ 450ms（在筛选阶段允许一次重新测试以重新评估入选资格）；有一个或多个引起QT间期延长的危险因素，包括病理性Q波（定义为Q波超过40ms或深度超过0.4-0.5mV），心室预激，完全或有临床意义的不完全左束支传导阻滞或右束支传导阻滞，二度或三度心脏传导阻滞，QRS持续时间超过120毫秒的室内传导延迟，窦性心率低于50bpm定义的心动过缓，长QT综合征的个人史或家族史，有过心脏病史、晕厥发作（即心脏性晕厥，不包括血管迷走神经或癫痫引起的晕厥）、症状性或无症状性心律失常（窦性心律失常除外），有尖端扭转型室性心动过速的危险因素；</w:t>
      </w:r>
    </w:p>
    <w:p w14:paraId="46029DEE">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5）</w:t>
      </w:r>
      <w:r>
        <w:rPr>
          <w:rFonts w:hint="default" w:ascii="Times New Roman" w:hAnsi="Times New Roman" w:cs="Times New Roman"/>
          <w:color w:val="000000"/>
          <w:sz w:val="21"/>
          <w:szCs w:val="21"/>
          <w:highlight w:val="none"/>
          <w:lang w:val="en-US" w:eastAsia="zh-CN"/>
        </w:rPr>
        <w:t>招募前14天内的实验室参数：</w:t>
      </w:r>
    </w:p>
    <w:p w14:paraId="56A3A802">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a</w:t>
      </w:r>
      <w:r>
        <w:rPr>
          <w:rFonts w:hint="default" w:ascii="Times New Roman" w:hAnsi="Times New Roman" w:cs="Times New Roman"/>
          <w:color w:val="000000"/>
          <w:sz w:val="21"/>
          <w:szCs w:val="21"/>
          <w:highlight w:val="none"/>
          <w:lang w:val="en-US" w:eastAsia="zh-CN"/>
        </w:rPr>
        <w:t>）血清AST和 ALT ≥3倍正常值上限（ULN）；</w:t>
      </w:r>
    </w:p>
    <w:p w14:paraId="71563C16">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b</w:t>
      </w:r>
      <w:r>
        <w:rPr>
          <w:rFonts w:hint="default" w:ascii="Times New Roman" w:hAnsi="Times New Roman" w:cs="Times New Roman"/>
          <w:color w:val="000000"/>
          <w:sz w:val="21"/>
          <w:szCs w:val="21"/>
          <w:highlight w:val="none"/>
          <w:lang w:val="en-US" w:eastAsia="zh-CN"/>
        </w:rPr>
        <w:t>）肌酐 ≥2倍正常值上限；</w:t>
      </w:r>
    </w:p>
    <w:p w14:paraId="1509A787">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val="en-US" w:eastAsia="zh-CN"/>
        </w:rPr>
        <w:t>）血红蛋白 ≤70 g/L；</w:t>
      </w:r>
    </w:p>
    <w:p w14:paraId="5660318E">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d</w:t>
      </w:r>
      <w:r>
        <w:rPr>
          <w:rFonts w:hint="default" w:ascii="Times New Roman" w:hAnsi="Times New Roman" w:cs="Times New Roman"/>
          <w:color w:val="000000"/>
          <w:sz w:val="21"/>
          <w:szCs w:val="21"/>
          <w:highlight w:val="none"/>
          <w:lang w:val="en-US" w:eastAsia="zh-CN"/>
        </w:rPr>
        <w:t>）血小板计数 ≤50 x 109/L；</w:t>
      </w:r>
    </w:p>
    <w:p w14:paraId="672368D4">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e</w:t>
      </w:r>
      <w:r>
        <w:rPr>
          <w:rFonts w:hint="default" w:ascii="Times New Roman" w:hAnsi="Times New Roman" w:cs="Times New Roman"/>
          <w:color w:val="000000"/>
          <w:sz w:val="21"/>
          <w:szCs w:val="21"/>
          <w:highlight w:val="none"/>
          <w:lang w:val="en-US" w:eastAsia="zh-CN"/>
        </w:rPr>
        <w:t>）血钾 ≥5.5mmol/L，或≤3.5mmol/L。</w:t>
      </w:r>
    </w:p>
    <w:p w14:paraId="5D143AD7">
      <w:pPr>
        <w:pStyle w:val="14"/>
        <w:spacing w:line="360" w:lineRule="auto"/>
        <w:ind w:left="0" w:leftChars="0" w:firstLine="420" w:firstLineChars="200"/>
        <w:jc w:val="left"/>
        <w:rPr>
          <w:rFonts w:hint="default" w:ascii="Times New Roman" w:hAnsi="Times New Roman"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eastAsia="zh-CN"/>
        </w:rPr>
        <w:t>肝硬化（</w:t>
      </w:r>
      <w:r>
        <w:rPr>
          <w:rFonts w:hint="default" w:ascii="Times New Roman" w:hAnsi="Times New Roman" w:cs="Times New Roman"/>
          <w:color w:val="000000"/>
          <w:sz w:val="21"/>
          <w:szCs w:val="21"/>
          <w:highlight w:val="none"/>
          <w:lang w:val="en-US" w:eastAsia="zh-CN"/>
        </w:rPr>
        <w:t>Child分级B或C</w:t>
      </w:r>
      <w:r>
        <w:rPr>
          <w:rFonts w:hint="default" w:ascii="Times New Roman" w:hAnsi="Times New Roman" w:cs="Times New Roman"/>
          <w:color w:val="000000"/>
          <w:sz w:val="21"/>
          <w:szCs w:val="21"/>
          <w:highlight w:val="none"/>
          <w:lang w:eastAsia="zh-CN"/>
        </w:rPr>
        <w:t>）</w:t>
      </w:r>
      <w:r>
        <w:rPr>
          <w:rFonts w:hint="eastAsia" w:ascii="Times New Roman" w:hAnsi="Times New Roman" w:cs="Times New Roman"/>
          <w:color w:val="000000"/>
          <w:sz w:val="21"/>
          <w:szCs w:val="21"/>
          <w:highlight w:val="none"/>
          <w:lang w:eastAsia="zh-CN"/>
        </w:rPr>
        <w:t>；</w:t>
      </w:r>
    </w:p>
    <w:p w14:paraId="39453A86">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7）</w:t>
      </w:r>
      <w:r>
        <w:rPr>
          <w:rFonts w:hint="default" w:ascii="Times New Roman" w:hAnsi="Times New Roman" w:eastAsia="宋体" w:cs="Times New Roman"/>
          <w:color w:val="000000"/>
          <w:sz w:val="21"/>
          <w:szCs w:val="21"/>
          <w:highlight w:val="none"/>
          <w:lang w:eastAsia="zh-CN"/>
        </w:rPr>
        <w:t>或酗酒；</w:t>
      </w:r>
    </w:p>
    <w:p w14:paraId="6AE04354">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8</w:t>
      </w:r>
      <w:r>
        <w:rPr>
          <w:rFonts w:hint="default" w:ascii="Times New Roman" w:hAnsi="Times New Roman" w:eastAsia="宋体" w:cs="Times New Roman"/>
          <w:color w:val="000000"/>
          <w:sz w:val="21"/>
          <w:szCs w:val="21"/>
          <w:highlight w:val="none"/>
          <w:lang w:eastAsia="zh-CN"/>
        </w:rPr>
        <w:t>）精神疾病（癫痫、严重抑郁、易怒或</w:t>
      </w:r>
      <w:r>
        <w:rPr>
          <w:rFonts w:hint="default" w:ascii="Times New Roman" w:hAnsi="Times New Roman" w:eastAsia="宋体" w:cs="Times New Roman"/>
          <w:color w:val="000000"/>
          <w:sz w:val="21"/>
          <w:szCs w:val="21"/>
          <w:highlight w:val="none"/>
          <w:lang w:val="en-US" w:eastAsia="zh-CN"/>
        </w:rPr>
        <w:t>其他</w:t>
      </w:r>
      <w:r>
        <w:rPr>
          <w:rFonts w:hint="default" w:ascii="Times New Roman" w:hAnsi="Times New Roman" w:eastAsia="宋体" w:cs="Times New Roman"/>
          <w:color w:val="000000"/>
          <w:sz w:val="21"/>
          <w:szCs w:val="21"/>
          <w:highlight w:val="none"/>
          <w:lang w:eastAsia="zh-CN"/>
        </w:rPr>
        <w:t>精神病）；</w:t>
      </w:r>
    </w:p>
    <w:p w14:paraId="7C1F2BA7">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9</w:t>
      </w:r>
      <w:r>
        <w:rPr>
          <w:rFonts w:hint="default" w:ascii="Times New Roman" w:hAnsi="Times New Roman" w:eastAsia="宋体" w:cs="Times New Roman"/>
          <w:color w:val="000000"/>
          <w:sz w:val="21"/>
          <w:szCs w:val="21"/>
          <w:highlight w:val="none"/>
          <w:lang w:val="en-US" w:eastAsia="zh-CN"/>
        </w:rPr>
        <w:t>）吸毒；</w:t>
      </w:r>
    </w:p>
    <w:p w14:paraId="364A54BD">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0</w:t>
      </w:r>
      <w:r>
        <w:rPr>
          <w:rFonts w:hint="default" w:ascii="Times New Roman" w:hAnsi="Times New Roman" w:eastAsia="宋体" w:cs="Times New Roman"/>
          <w:color w:val="000000"/>
          <w:sz w:val="21"/>
          <w:szCs w:val="21"/>
          <w:highlight w:val="none"/>
          <w:lang w:eastAsia="zh-CN"/>
        </w:rPr>
        <w:t>）感染人类免疫缺陷病毒（HIV），或患有免疫缺陷病；</w:t>
      </w:r>
    </w:p>
    <w:p w14:paraId="553DC8EF">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1</w:t>
      </w:r>
      <w:r>
        <w:rPr>
          <w:rFonts w:hint="default" w:ascii="Times New Roman" w:hAnsi="Times New Roman" w:cs="Times New Roman"/>
          <w:color w:val="000000"/>
          <w:sz w:val="21"/>
          <w:szCs w:val="21"/>
          <w:highlight w:val="none"/>
          <w:lang w:val="en-US" w:eastAsia="zh-CN"/>
        </w:rPr>
        <w:t>）恶性肿瘤；</w:t>
      </w:r>
    </w:p>
    <w:p w14:paraId="412C39EF">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2</w:t>
      </w:r>
      <w:r>
        <w:rPr>
          <w:rFonts w:hint="default" w:ascii="Times New Roman" w:hAnsi="Times New Roman" w:eastAsia="宋体" w:cs="Times New Roman"/>
          <w:color w:val="000000"/>
          <w:sz w:val="21"/>
          <w:szCs w:val="21"/>
          <w:highlight w:val="none"/>
          <w:lang w:eastAsia="zh-CN"/>
        </w:rPr>
        <w:t>）重症患者或其它终末期疾病，预计生存期&lt;6个月</w:t>
      </w:r>
      <w:r>
        <w:rPr>
          <w:rFonts w:hint="default" w:ascii="Times New Roman" w:hAnsi="Times New Roman" w:eastAsia="宋体" w:cs="Times New Roman"/>
          <w:color w:val="000000"/>
          <w:sz w:val="21"/>
          <w:szCs w:val="21"/>
          <w:highlight w:val="none"/>
          <w:lang w:val="en-US" w:eastAsia="zh-CN"/>
        </w:rPr>
        <w:t>或</w:t>
      </w:r>
      <w:r>
        <w:rPr>
          <w:rFonts w:hint="default" w:ascii="Times New Roman" w:hAnsi="Times New Roman" w:eastAsia="宋体" w:cs="Times New Roman"/>
          <w:color w:val="000000"/>
          <w:sz w:val="21"/>
          <w:szCs w:val="21"/>
          <w:highlight w:val="none"/>
          <w:lang w:eastAsia="zh-CN"/>
        </w:rPr>
        <w:t>Karnofsky评分＜50%；</w:t>
      </w:r>
    </w:p>
    <w:p w14:paraId="1FC9B421">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3</w:t>
      </w:r>
      <w:r>
        <w:rPr>
          <w:rFonts w:hint="default" w:ascii="Times New Roman" w:hAnsi="Times New Roman" w:eastAsia="宋体" w:cs="Times New Roman"/>
          <w:color w:val="000000"/>
          <w:sz w:val="21"/>
          <w:szCs w:val="21"/>
          <w:highlight w:val="none"/>
          <w:lang w:eastAsia="zh-CN"/>
        </w:rPr>
        <w:t>）孕妇</w:t>
      </w:r>
      <w:r>
        <w:rPr>
          <w:rFonts w:hint="default" w:ascii="Times New Roman" w:hAnsi="Times New Roman" w:cs="Times New Roman"/>
          <w:color w:val="000000"/>
          <w:sz w:val="21"/>
          <w:szCs w:val="21"/>
          <w:highlight w:val="none"/>
          <w:lang w:eastAsia="zh-CN"/>
        </w:rPr>
        <w:t>或哺乳期妇女（除非患者愿意停止哺乳）</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lang w:val="en-US" w:eastAsia="zh-CN"/>
        </w:rPr>
        <w:t xml:space="preserve">  </w:t>
      </w:r>
    </w:p>
    <w:p w14:paraId="269CC362">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lang w:eastAsia="zh-CN"/>
        </w:rPr>
        <w:t>）受试者同时应用影响本研究疗效观察或有联用禁忌的药物</w:t>
      </w:r>
      <w:r>
        <w:rPr>
          <w:rFonts w:hint="default" w:ascii="Times New Roman" w:hAnsi="Times New Roman" w:cs="Times New Roman"/>
          <w:color w:val="000000"/>
          <w:sz w:val="21"/>
          <w:szCs w:val="21"/>
          <w:highlight w:val="none"/>
          <w:lang w:val="en-US" w:eastAsia="zh-CN"/>
        </w:rPr>
        <w:t>，包括糖皮质激素、干扰素、非甾体抗炎药、单胺氧化酶抑制剂（苯乙肼、异卡波肼等）、直接或间接拟交感神经药物（如伪麻黄碱）、血管加压药物（如肾上腺素、去甲肾上腺素）、多巴胺类药物（如多巴胺、多巴酚丁胺）、5-羟色胺再摄取抑制剂、三环类抗抑郁药、5-羟色胺5-HTI 受体拮抗剂（阿米替林、丁螺环酮）、哌替啶等</w:t>
      </w:r>
      <w:r>
        <w:rPr>
          <w:rFonts w:hint="default" w:ascii="Times New Roman" w:hAnsi="Times New Roman" w:eastAsia="宋体" w:cs="Times New Roman"/>
          <w:color w:val="000000"/>
          <w:sz w:val="21"/>
          <w:szCs w:val="21"/>
          <w:highlight w:val="none"/>
          <w:lang w:eastAsia="zh-CN"/>
        </w:rPr>
        <w:t>；</w:t>
      </w:r>
    </w:p>
    <w:p w14:paraId="38E4E291">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1</w:t>
      </w:r>
      <w:r>
        <w:rPr>
          <w:rFonts w:hint="eastAsia" w:ascii="Times New Roman" w:hAnsi="Times New Roman"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lang w:eastAsia="zh-CN"/>
        </w:rPr>
        <w:t>）</w:t>
      </w:r>
      <w:r>
        <w:rPr>
          <w:rFonts w:hint="eastAsia" w:ascii="Times New Roman" w:hAnsi="Times New Roman" w:cs="Times New Roman"/>
          <w:color w:val="000000"/>
          <w:sz w:val="21"/>
          <w:szCs w:val="21"/>
          <w:highlight w:val="none"/>
          <w:lang w:val="en-US" w:eastAsia="zh-CN"/>
        </w:rPr>
        <w:t>入组前3个月内参加过其他治疗干预类临床试验，或目前</w:t>
      </w:r>
      <w:r>
        <w:rPr>
          <w:rFonts w:hint="default" w:ascii="Times New Roman" w:hAnsi="Times New Roman" w:eastAsia="宋体" w:cs="Times New Roman"/>
          <w:color w:val="000000"/>
          <w:sz w:val="21"/>
          <w:szCs w:val="21"/>
          <w:highlight w:val="none"/>
          <w:lang w:eastAsia="zh-CN"/>
        </w:rPr>
        <w:t>正在参加</w:t>
      </w:r>
      <w:r>
        <w:rPr>
          <w:rFonts w:hint="default" w:ascii="Times New Roman" w:hAnsi="Times New Roman" w:cs="Times New Roman"/>
          <w:color w:val="000000"/>
          <w:sz w:val="21"/>
          <w:szCs w:val="21"/>
          <w:highlight w:val="none"/>
          <w:lang w:eastAsia="zh-CN"/>
        </w:rPr>
        <w:t>其他</w:t>
      </w:r>
      <w:r>
        <w:rPr>
          <w:rFonts w:hint="default" w:ascii="Times New Roman" w:hAnsi="Times New Roman" w:eastAsia="宋体" w:cs="Times New Roman"/>
          <w:color w:val="000000"/>
          <w:sz w:val="21"/>
          <w:szCs w:val="21"/>
          <w:highlight w:val="none"/>
          <w:lang w:eastAsia="zh-CN"/>
        </w:rPr>
        <w:t>临床试验；</w:t>
      </w:r>
    </w:p>
    <w:p w14:paraId="11F4DFDC">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lang w:eastAsia="zh-CN"/>
        </w:rPr>
        <w:t>）经研究者判定患者不适合参加本研究的其他状况。</w:t>
      </w:r>
    </w:p>
    <w:p w14:paraId="4D41ABB3">
      <w:pPr>
        <w:pStyle w:val="14"/>
        <w:spacing w:line="360" w:lineRule="auto"/>
        <w:ind w:left="0" w:leftChars="0" w:firstLine="422" w:firstLineChars="200"/>
        <w:jc w:val="left"/>
        <w:rPr>
          <w:rFonts w:hint="default" w:ascii="Times New Roman" w:hAnsi="Times New Roman" w:eastAsia="宋体" w:cs="Times New Roman"/>
          <w:b/>
          <w:bCs/>
          <w:color w:val="000000"/>
          <w:sz w:val="21"/>
          <w:szCs w:val="21"/>
          <w:highlight w:val="none"/>
          <w:lang w:eastAsia="zh-CN"/>
        </w:rPr>
      </w:pPr>
      <w:r>
        <w:rPr>
          <w:rFonts w:hint="eastAsia" w:ascii="Times New Roman" w:hAnsi="Times New Roman" w:cs="Times New Roman"/>
          <w:b/>
          <w:bCs/>
          <w:color w:val="000000"/>
          <w:sz w:val="21"/>
          <w:szCs w:val="21"/>
          <w:highlight w:val="none"/>
          <w:lang w:eastAsia="zh-CN"/>
        </w:rPr>
        <w:t>（</w:t>
      </w:r>
      <w:r>
        <w:rPr>
          <w:rFonts w:hint="eastAsia" w:ascii="Times New Roman" w:hAnsi="Times New Roman" w:cs="Times New Roman"/>
          <w:b/>
          <w:bCs/>
          <w:color w:val="000000"/>
          <w:sz w:val="21"/>
          <w:szCs w:val="21"/>
          <w:highlight w:val="none"/>
          <w:lang w:val="en-US" w:eastAsia="zh-CN"/>
        </w:rPr>
        <w:t>3</w:t>
      </w:r>
      <w:r>
        <w:rPr>
          <w:rFonts w:hint="eastAsia" w:ascii="Times New Roman" w:hAnsi="Times New Roman"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lang w:eastAsia="zh-CN"/>
        </w:rPr>
        <w:t>退出标准（符合以下任一条款即可）：</w:t>
      </w:r>
    </w:p>
    <w:p w14:paraId="7B952B18">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研究对象有权利在试验的任何时候退出研究，出现以下任一情况时研究对象可提前退出研究：</w:t>
      </w:r>
    </w:p>
    <w:p w14:paraId="242D3C93">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1）在筛查、基线、治疗2周时的结核分枝杆菌培养均为阴性；</w:t>
      </w:r>
    </w:p>
    <w:p w14:paraId="287BDE22">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2）表型DST结果提示对利福平敏感；</w:t>
      </w:r>
    </w:p>
    <w:p w14:paraId="108320F0">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3）抗结核治疗当中合并非结核分枝杆菌感染，且经临床评估认为需要使用其他抗生素针对性治疗（如考虑无需针对性治疗，则无需退出本研究）；</w:t>
      </w:r>
    </w:p>
    <w:p w14:paraId="2B2C8781">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4）研究对象或研究对象的法定代表要求退出；</w:t>
      </w:r>
    </w:p>
    <w:p w14:paraId="6610FDB2">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5）研究对象怀孕或无法采取有效的避孕措施；</w:t>
      </w:r>
    </w:p>
    <w:p w14:paraId="4953696A">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6）研究对象感染了艾滋病；</w:t>
      </w:r>
    </w:p>
    <w:p w14:paraId="42CE1511">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7）医生或研究者认为认为参加研究不再符合受试者的最佳利益，而退出研究是最佳选择。</w:t>
      </w:r>
    </w:p>
    <w:p w14:paraId="4A4D1554">
      <w:pPr>
        <w:pStyle w:val="14"/>
        <w:spacing w:line="360" w:lineRule="auto"/>
        <w:ind w:left="0" w:leftChars="0" w:firstLine="420" w:firstLineChars="200"/>
        <w:jc w:val="left"/>
        <w:rPr>
          <w:rFonts w:hint="default" w:ascii="Times New Roman" w:hAnsi="Times New Roman" w:eastAsia="宋体" w:cs="Times New Roman"/>
          <w:color w:val="000000"/>
          <w:sz w:val="21"/>
          <w:szCs w:val="21"/>
          <w:highlight w:val="none"/>
          <w:lang w:eastAsia="zh-CN"/>
        </w:rPr>
      </w:pPr>
      <w:r>
        <w:rPr>
          <w:rFonts w:hint="default" w:ascii="Times New Roman" w:hAnsi="Times New Roman" w:eastAsia="宋体" w:cs="Times New Roman"/>
          <w:color w:val="000000"/>
          <w:sz w:val="21"/>
          <w:szCs w:val="21"/>
          <w:highlight w:val="none"/>
          <w:lang w:eastAsia="zh-CN"/>
        </w:rPr>
        <w:t>研究对象一旦提前退出研究，研究者必须在研究对象的病例报告表记录其退出的原因，尽可能在最后一次访视中完成提前退出研究时的检查项目。对因为不良反应或者临床实验室检测结果异常而退出的所有研究对象，都必须进行随访直到受试者恢复或者稳定，并记录之后的转归情况。</w:t>
      </w:r>
    </w:p>
    <w:p w14:paraId="7978E6EC">
      <w:pPr>
        <w:pStyle w:val="14"/>
        <w:spacing w:line="360" w:lineRule="auto"/>
        <w:ind w:left="0" w:leftChars="0" w:firstLine="482" w:firstLineChars="200"/>
        <w:outlineLvl w:val="2"/>
        <w:rPr>
          <w:rFonts w:hint="default" w:ascii="Times New Roman" w:hAnsi="Times New Roman" w:eastAsia="宋体" w:cs="Times New Roman"/>
          <w:color w:val="000000"/>
          <w:sz w:val="24"/>
          <w:szCs w:val="24"/>
          <w:highlight w:val="none"/>
          <w:lang w:eastAsia="zh-CN"/>
        </w:rPr>
      </w:pPr>
      <w:r>
        <w:rPr>
          <w:rFonts w:hint="default" w:ascii="Times New Roman" w:hAnsi="Times New Roman" w:cs="Times New Roman"/>
          <w:b/>
          <w:bCs/>
          <w:color w:val="000000"/>
          <w:sz w:val="24"/>
          <w:szCs w:val="24"/>
          <w:highlight w:val="none"/>
          <w:lang w:val="en-US" w:eastAsia="zh-CN"/>
        </w:rPr>
        <w:t>3.</w:t>
      </w:r>
      <w:r>
        <w:rPr>
          <w:rFonts w:hint="default" w:ascii="Times New Roman" w:hAnsi="Times New Roman" w:eastAsia="宋体" w:cs="Times New Roman"/>
          <w:b/>
          <w:bCs/>
          <w:color w:val="000000"/>
          <w:sz w:val="24"/>
          <w:szCs w:val="24"/>
          <w:highlight w:val="none"/>
        </w:rPr>
        <w:t>入选策略</w:t>
      </w:r>
    </w:p>
    <w:p w14:paraId="5081E29B">
      <w:pPr>
        <w:pStyle w:val="14"/>
        <w:spacing w:line="360" w:lineRule="auto"/>
        <w:ind w:left="0" w:leftChars="0" w:firstLine="480" w:firstLineChars="0"/>
        <w:rPr>
          <w:rFonts w:hint="default" w:ascii="Times New Roman" w:hAnsi="Times New Roman" w:eastAsia="宋体" w:cs="Times New Roman"/>
          <w:color w:val="000000"/>
          <w:sz w:val="21"/>
          <w:szCs w:val="21"/>
          <w:highlight w:val="none"/>
        </w:rPr>
      </w:pPr>
      <w:r>
        <w:rPr>
          <w:rFonts w:hint="default" w:ascii="Times New Roman" w:hAnsi="Times New Roman" w:eastAsia="宋体" w:cs="Times New Roman"/>
          <w:color w:val="000000"/>
          <w:sz w:val="21"/>
          <w:szCs w:val="21"/>
          <w:highlight w:val="none"/>
          <w:lang w:val="en-US" w:eastAsia="zh-CN"/>
        </w:rPr>
        <w:t>时间：202</w:t>
      </w:r>
      <w:r>
        <w:rPr>
          <w:rFonts w:hint="eastAsia" w:ascii="Times New Roman" w:hAnsi="Times New Roman" w:cs="Times New Roman"/>
          <w:color w:val="000000"/>
          <w:sz w:val="21"/>
          <w:szCs w:val="21"/>
          <w:highlight w:val="none"/>
          <w:lang w:val="en-US" w:eastAsia="zh-CN"/>
        </w:rPr>
        <w:t>2</w:t>
      </w:r>
      <w:r>
        <w:rPr>
          <w:rFonts w:hint="default" w:ascii="Times New Roman" w:hAnsi="Times New Roman" w:eastAsia="宋体" w:cs="Times New Roman"/>
          <w:color w:val="000000"/>
          <w:sz w:val="21"/>
          <w:szCs w:val="21"/>
          <w:highlight w:val="none"/>
          <w:lang w:val="en-US" w:eastAsia="zh-CN"/>
        </w:rPr>
        <w:t>年</w:t>
      </w:r>
      <w:r>
        <w:rPr>
          <w:rFonts w:hint="eastAsia" w:ascii="Times New Roman" w:hAnsi="Times New Roman" w:cs="Times New Roman"/>
          <w:color w:val="000000"/>
          <w:sz w:val="21"/>
          <w:szCs w:val="21"/>
          <w:highlight w:val="none"/>
          <w:lang w:val="en-US" w:eastAsia="zh-CN"/>
        </w:rPr>
        <w:t>12</w:t>
      </w:r>
      <w:r>
        <w:rPr>
          <w:rFonts w:hint="default" w:ascii="Times New Roman" w:hAnsi="Times New Roman" w:eastAsia="宋体" w:cs="Times New Roman"/>
          <w:color w:val="000000"/>
          <w:sz w:val="21"/>
          <w:szCs w:val="21"/>
          <w:highlight w:val="none"/>
          <w:lang w:val="en-US" w:eastAsia="zh-CN"/>
        </w:rPr>
        <w:t>月至202</w:t>
      </w:r>
      <w:r>
        <w:rPr>
          <w:rFonts w:hint="eastAsia" w:ascii="Times New Roman" w:hAnsi="Times New Roman"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lang w:val="en-US" w:eastAsia="zh-CN"/>
        </w:rPr>
        <w:t>年</w:t>
      </w:r>
      <w:r>
        <w:rPr>
          <w:rFonts w:hint="eastAsia" w:ascii="Times New Roman" w:hAnsi="Times New Roman" w:cs="Times New Roman"/>
          <w:color w:val="000000"/>
          <w:sz w:val="21"/>
          <w:szCs w:val="21"/>
          <w:highlight w:val="none"/>
          <w:lang w:val="en-US" w:eastAsia="zh-CN"/>
        </w:rPr>
        <w:t>06</w:t>
      </w:r>
      <w:r>
        <w:rPr>
          <w:rFonts w:hint="default" w:ascii="Times New Roman" w:hAnsi="Times New Roman" w:eastAsia="宋体" w:cs="Times New Roman"/>
          <w:color w:val="000000"/>
          <w:sz w:val="21"/>
          <w:szCs w:val="21"/>
          <w:highlight w:val="none"/>
          <w:lang w:val="en-US" w:eastAsia="zh-CN"/>
        </w:rPr>
        <w:t>月</w:t>
      </w:r>
      <w:r>
        <w:rPr>
          <w:rFonts w:hint="default" w:ascii="Times New Roman" w:hAnsi="Times New Roman"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连续性纳入</w:t>
      </w:r>
      <w:r>
        <w:rPr>
          <w:rFonts w:hint="default" w:ascii="Times New Roman" w:hAnsi="Times New Roman" w:cs="Times New Roman"/>
          <w:color w:val="000000"/>
          <w:sz w:val="21"/>
          <w:szCs w:val="21"/>
          <w:highlight w:val="none"/>
          <w:lang w:val="en-US" w:eastAsia="zh-CN"/>
        </w:rPr>
        <w:t>研究对象</w:t>
      </w:r>
      <w:r>
        <w:rPr>
          <w:rFonts w:hint="eastAsia" w:ascii="Times New Roman" w:hAnsi="Times New Roman" w:cs="Times New Roman"/>
          <w:color w:val="000000"/>
          <w:sz w:val="21"/>
          <w:szCs w:val="21"/>
          <w:highlight w:val="none"/>
          <w:lang w:val="en-US" w:eastAsia="zh-CN"/>
        </w:rPr>
        <w:t>，知情同意，自愿入组</w:t>
      </w:r>
      <w:r>
        <w:rPr>
          <w:rFonts w:hint="default" w:ascii="Times New Roman" w:hAnsi="Times New Roman" w:eastAsia="宋体" w:cs="Times New Roman"/>
          <w:color w:val="000000"/>
          <w:sz w:val="21"/>
          <w:szCs w:val="21"/>
          <w:highlight w:val="none"/>
          <w:lang w:val="en-US" w:eastAsia="zh-CN"/>
        </w:rPr>
        <w:t>。研究</w:t>
      </w:r>
      <w:r>
        <w:rPr>
          <w:rFonts w:hint="eastAsia" w:ascii="Times New Roman" w:hAnsi="Times New Roman" w:cs="Times New Roman"/>
          <w:color w:val="000000"/>
          <w:sz w:val="21"/>
          <w:szCs w:val="21"/>
          <w:highlight w:val="none"/>
          <w:lang w:val="en-US" w:eastAsia="zh-CN"/>
        </w:rPr>
        <w:t>地点</w:t>
      </w:r>
      <w:r>
        <w:rPr>
          <w:rFonts w:hint="default" w:ascii="Times New Roman" w:hAnsi="Times New Roman" w:eastAsia="宋体" w:cs="Times New Roman"/>
          <w:color w:val="000000"/>
          <w:sz w:val="21"/>
          <w:szCs w:val="21"/>
          <w:highlight w:val="none"/>
          <w:lang w:val="en-US" w:eastAsia="zh-CN"/>
        </w:rPr>
        <w:t>：</w:t>
      </w:r>
      <w:r>
        <w:rPr>
          <w:rFonts w:hint="default" w:ascii="Times New Roman" w:hAnsi="Times New Roman" w:cs="Times New Roman"/>
          <w:color w:val="000000"/>
          <w:sz w:val="21"/>
          <w:szCs w:val="21"/>
          <w:lang w:val="en-US" w:eastAsia="zh-CN"/>
        </w:rPr>
        <w:t>深圳市第三人民医院和其他分中心</w:t>
      </w:r>
      <w:r>
        <w:rPr>
          <w:rFonts w:hint="default" w:ascii="Times New Roman" w:hAnsi="Times New Roman" w:cs="Times New Roman"/>
          <w:color w:val="000000"/>
          <w:sz w:val="21"/>
          <w:szCs w:val="21"/>
          <w:highlight w:val="none"/>
          <w:lang w:val="en-US" w:eastAsia="zh-CN"/>
        </w:rPr>
        <w:t>。</w:t>
      </w:r>
    </w:p>
    <w:p w14:paraId="5B6DF427">
      <w:pPr>
        <w:pStyle w:val="14"/>
        <w:numPr>
          <w:ilvl w:val="0"/>
          <w:numId w:val="0"/>
        </w:numPr>
        <w:spacing w:line="360" w:lineRule="auto"/>
        <w:ind w:firstLine="482" w:firstLineChars="200"/>
        <w:outlineLvl w:val="2"/>
        <w:rPr>
          <w:rFonts w:hint="default" w:ascii="Times New Roman" w:hAnsi="Times New Roman" w:eastAsia="宋体" w:cs="Times New Roman"/>
          <w:b/>
          <w:sz w:val="24"/>
          <w:szCs w:val="24"/>
          <w:highlight w:val="none"/>
        </w:rPr>
      </w:pPr>
      <w:r>
        <w:rPr>
          <w:rFonts w:hint="default" w:ascii="Times New Roman" w:hAnsi="Times New Roman" w:cs="Times New Roman"/>
          <w:b/>
          <w:sz w:val="24"/>
          <w:szCs w:val="24"/>
          <w:highlight w:val="none"/>
          <w:lang w:val="en-US" w:eastAsia="zh-CN"/>
        </w:rPr>
        <w:t>4.</w:t>
      </w:r>
      <w:r>
        <w:rPr>
          <w:rFonts w:hint="default" w:ascii="Times New Roman" w:hAnsi="Times New Roman" w:eastAsia="宋体" w:cs="Times New Roman"/>
          <w:b/>
          <w:sz w:val="24"/>
          <w:szCs w:val="24"/>
          <w:highlight w:val="none"/>
        </w:rPr>
        <w:t>观察指标</w:t>
      </w:r>
    </w:p>
    <w:p w14:paraId="382516F4">
      <w:pPr>
        <w:pStyle w:val="14"/>
        <w:spacing w:line="360" w:lineRule="auto"/>
        <w:ind w:left="0" w:leftChars="0" w:firstLine="422" w:firstLineChars="200"/>
        <w:jc w:val="left"/>
        <w:rPr>
          <w:rFonts w:hint="default" w:ascii="Times New Roman" w:hAnsi="Times New Roman" w:eastAsia="宋体" w:cs="Times New Roman"/>
          <w:b/>
          <w:bCs/>
          <w:color w:val="000000"/>
          <w:sz w:val="21"/>
          <w:szCs w:val="21"/>
          <w:highlight w:val="none"/>
        </w:rPr>
      </w:pPr>
      <w:r>
        <w:rPr>
          <w:rFonts w:hint="eastAsia" w:ascii="Times New Roman" w:hAnsi="Times New Roman" w:cs="Times New Roman"/>
          <w:b/>
          <w:bCs/>
          <w:color w:val="000000"/>
          <w:sz w:val="21"/>
          <w:szCs w:val="21"/>
          <w:highlight w:val="none"/>
          <w:lang w:eastAsia="zh-CN"/>
        </w:rPr>
        <w:t>（</w:t>
      </w:r>
      <w:r>
        <w:rPr>
          <w:rFonts w:hint="eastAsia" w:ascii="Times New Roman" w:hAnsi="Times New Roman" w:cs="Times New Roman"/>
          <w:b/>
          <w:bCs/>
          <w:color w:val="000000"/>
          <w:sz w:val="21"/>
          <w:szCs w:val="21"/>
          <w:highlight w:val="none"/>
          <w:lang w:val="en-US" w:eastAsia="zh-CN"/>
        </w:rPr>
        <w:t>1</w:t>
      </w:r>
      <w:r>
        <w:rPr>
          <w:rFonts w:hint="eastAsia" w:ascii="Times New Roman" w:hAnsi="Times New Roman" w:cs="Times New Roman"/>
          <w:b/>
          <w:bCs/>
          <w:color w:val="000000"/>
          <w:sz w:val="21"/>
          <w:szCs w:val="21"/>
          <w:highlight w:val="none"/>
          <w:lang w:eastAsia="zh-CN"/>
        </w:rPr>
        <w:t>）</w:t>
      </w:r>
      <w:r>
        <w:rPr>
          <w:rFonts w:hint="default" w:ascii="Times New Roman" w:hAnsi="Times New Roman" w:eastAsia="宋体" w:cs="Times New Roman"/>
          <w:b/>
          <w:bCs/>
          <w:color w:val="000000"/>
          <w:sz w:val="21"/>
          <w:szCs w:val="21"/>
          <w:highlight w:val="none"/>
        </w:rPr>
        <w:t>主要结果指标</w:t>
      </w:r>
      <w:r>
        <w:rPr>
          <w:rFonts w:hint="default" w:ascii="Times New Roman" w:hAnsi="Times New Roman" w:eastAsia="宋体" w:cs="Times New Roman"/>
          <w:b/>
          <w:bCs/>
          <w:color w:val="000000"/>
          <w:sz w:val="21"/>
          <w:szCs w:val="21"/>
          <w:highlight w:val="none"/>
          <w:lang w:val="en-US" w:eastAsia="zh-CN"/>
        </w:rPr>
        <w:t>（相关定义详见附件</w:t>
      </w:r>
      <w:r>
        <w:rPr>
          <w:rFonts w:hint="eastAsia" w:ascii="Times New Roman" w:hAnsi="Times New Roman" w:cs="Times New Roman"/>
          <w:b/>
          <w:bCs/>
          <w:color w:val="000000"/>
          <w:sz w:val="21"/>
          <w:szCs w:val="21"/>
          <w:highlight w:val="none"/>
          <w:lang w:val="en-US" w:eastAsia="zh-CN"/>
        </w:rPr>
        <w:t>1</w:t>
      </w:r>
      <w:r>
        <w:rPr>
          <w:rFonts w:hint="default" w:ascii="Times New Roman" w:hAnsi="Times New Roman" w:eastAsia="宋体" w:cs="Times New Roman"/>
          <w:b/>
          <w:bCs/>
          <w:color w:val="000000"/>
          <w:sz w:val="21"/>
          <w:szCs w:val="21"/>
          <w:highlight w:val="none"/>
          <w:lang w:val="en-US" w:eastAsia="zh-CN"/>
        </w:rPr>
        <w:t>）</w:t>
      </w:r>
      <w:r>
        <w:rPr>
          <w:rFonts w:hint="default" w:ascii="Times New Roman" w:hAnsi="Times New Roman" w:eastAsia="宋体" w:cs="Times New Roman"/>
          <w:b/>
          <w:bCs/>
          <w:color w:val="000000"/>
          <w:sz w:val="21"/>
          <w:szCs w:val="21"/>
          <w:highlight w:val="none"/>
        </w:rPr>
        <w:t>：</w:t>
      </w:r>
    </w:p>
    <w:p w14:paraId="6FB47374">
      <w:pPr>
        <w:pStyle w:val="14"/>
        <w:spacing w:line="360" w:lineRule="auto"/>
        <w:ind w:left="0" w:leftChars="0" w:firstLine="420" w:firstLineChars="200"/>
        <w:jc w:val="left"/>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color w:val="000000"/>
          <w:sz w:val="21"/>
          <w:szCs w:val="21"/>
          <w:highlight w:val="none"/>
        </w:rPr>
        <w:t>不良结局发生率：</w:t>
      </w:r>
      <w:r>
        <w:rPr>
          <w:rFonts w:hint="eastAsia" w:ascii="Times New Roman" w:hAnsi="Times New Roman" w:cs="Times New Roman"/>
          <w:color w:val="000000"/>
          <w:sz w:val="21"/>
          <w:szCs w:val="21"/>
          <w:highlight w:val="none"/>
          <w:lang w:eastAsia="zh-CN"/>
        </w:rPr>
        <w:t>入</w:t>
      </w:r>
      <w:r>
        <w:rPr>
          <w:rFonts w:hint="default" w:ascii="Times New Roman" w:hAnsi="Times New Roman" w:eastAsia="宋体" w:cs="Times New Roman"/>
          <w:color w:val="000000"/>
          <w:sz w:val="21"/>
          <w:szCs w:val="21"/>
          <w:highlight w:val="none"/>
        </w:rPr>
        <w:t>组后的</w:t>
      </w:r>
      <w:r>
        <w:rPr>
          <w:rFonts w:hint="eastAsia" w:ascii="Times New Roman" w:hAnsi="Times New Roman" w:cs="Times New Roman"/>
          <w:color w:val="000000"/>
          <w:sz w:val="21"/>
          <w:szCs w:val="21"/>
          <w:highlight w:val="none"/>
          <w:lang w:val="en-US" w:eastAsia="zh-CN"/>
        </w:rPr>
        <w:t>12</w:t>
      </w:r>
      <w:r>
        <w:rPr>
          <w:rFonts w:hint="default" w:ascii="Times New Roman" w:hAnsi="Times New Roman" w:eastAsia="宋体" w:cs="Times New Roman"/>
          <w:color w:val="000000"/>
          <w:sz w:val="21"/>
          <w:szCs w:val="21"/>
          <w:highlight w:val="none"/>
        </w:rPr>
        <w:t>个月内，不良结局发生率（</w:t>
      </w:r>
      <w:r>
        <w:rPr>
          <w:rFonts w:hint="eastAsia" w:ascii="Times New Roman" w:hAnsi="Times New Roman" w:cs="Times New Roman"/>
          <w:color w:val="000000"/>
          <w:sz w:val="21"/>
          <w:szCs w:val="21"/>
          <w:highlight w:val="none"/>
          <w:lang w:eastAsia="zh-CN"/>
        </w:rPr>
        <w:t>细菌学失败、复发、再感染和临床失败</w:t>
      </w:r>
      <w:r>
        <w:rPr>
          <w:rFonts w:hint="default" w:ascii="Times New Roman" w:hAnsi="Times New Roman" w:eastAsia="宋体" w:cs="Times New Roman"/>
          <w:color w:val="000000"/>
          <w:sz w:val="21"/>
          <w:szCs w:val="21"/>
          <w:highlight w:val="none"/>
        </w:rPr>
        <w:t>）[时间范围：治疗期：</w:t>
      </w:r>
      <w:r>
        <w:rPr>
          <w:rFonts w:hint="eastAsia" w:ascii="Times New Roman" w:hAnsi="Times New Roman" w:cs="Times New Roman"/>
          <w:color w:val="000000"/>
          <w:sz w:val="21"/>
          <w:szCs w:val="21"/>
          <w:highlight w:val="none"/>
          <w:lang w:val="en-US" w:eastAsia="zh-CN"/>
        </w:rPr>
        <w:t>第</w:t>
      </w:r>
      <w:r>
        <w:rPr>
          <w:rFonts w:hint="default" w:ascii="Times New Roman" w:hAnsi="Times New Roman" w:eastAsia="宋体" w:cs="Times New Roman"/>
          <w:color w:val="000000"/>
          <w:sz w:val="21"/>
          <w:szCs w:val="21"/>
          <w:highlight w:val="none"/>
        </w:rPr>
        <w:t>6月。</w:t>
      </w:r>
      <w:r>
        <w:rPr>
          <w:rFonts w:hint="eastAsia" w:ascii="Times New Roman" w:hAnsi="Times New Roman" w:cs="Times New Roman"/>
          <w:color w:val="000000"/>
          <w:sz w:val="21"/>
          <w:szCs w:val="21"/>
          <w:highlight w:val="none"/>
          <w:lang w:eastAsia="zh-CN"/>
        </w:rPr>
        <w:t>停药后</w:t>
      </w:r>
      <w:r>
        <w:rPr>
          <w:rFonts w:hint="default" w:ascii="Times New Roman" w:hAnsi="Times New Roman" w:eastAsia="宋体" w:cs="Times New Roman"/>
          <w:color w:val="000000"/>
          <w:sz w:val="21"/>
          <w:szCs w:val="21"/>
          <w:highlight w:val="none"/>
        </w:rPr>
        <w:t>随访期：第</w:t>
      </w:r>
      <w:r>
        <w:rPr>
          <w:rFonts w:hint="default" w:ascii="Times New Roman" w:hAnsi="Times New Roman" w:cs="Times New Roman"/>
          <w:color w:val="000000"/>
          <w:sz w:val="21"/>
          <w:szCs w:val="21"/>
          <w:highlight w:val="none"/>
          <w:lang w:eastAsia="zh-CN"/>
        </w:rPr>
        <w:t>3、6</w:t>
      </w:r>
      <w:r>
        <w:rPr>
          <w:rFonts w:hint="eastAsia" w:ascii="Times New Roman" w:hAnsi="Times New Roman" w:cs="Times New Roman"/>
          <w:color w:val="000000"/>
          <w:sz w:val="21"/>
          <w:szCs w:val="21"/>
          <w:highlight w:val="none"/>
          <w:lang w:eastAsia="zh-CN"/>
        </w:rPr>
        <w:t>、</w:t>
      </w:r>
      <w:r>
        <w:rPr>
          <w:rFonts w:hint="eastAsia" w:ascii="Times New Roman" w:hAnsi="Times New Roman" w:cs="Times New Roman"/>
          <w:color w:val="000000"/>
          <w:sz w:val="21"/>
          <w:szCs w:val="21"/>
          <w:highlight w:val="none"/>
          <w:lang w:val="en-US" w:eastAsia="zh-CN"/>
        </w:rPr>
        <w:t>9、12</w:t>
      </w:r>
      <w:r>
        <w:rPr>
          <w:rFonts w:hint="default" w:ascii="Times New Roman" w:hAnsi="Times New Roman" w:eastAsia="宋体" w:cs="Times New Roman"/>
          <w:color w:val="000000"/>
          <w:sz w:val="21"/>
          <w:szCs w:val="21"/>
          <w:highlight w:val="none"/>
        </w:rPr>
        <w:t>月]。</w:t>
      </w:r>
    </w:p>
    <w:p w14:paraId="2D298BC3">
      <w:pPr>
        <w:pStyle w:val="14"/>
        <w:spacing w:line="360" w:lineRule="auto"/>
        <w:ind w:left="0" w:leftChars="0" w:firstLine="422" w:firstLineChars="200"/>
        <w:rPr>
          <w:rFonts w:hint="default" w:ascii="Times New Roman" w:hAnsi="Times New Roman" w:eastAsia="宋体" w:cs="Times New Roman"/>
          <w:b/>
          <w:bCs/>
          <w:color w:val="000000"/>
          <w:sz w:val="21"/>
          <w:szCs w:val="21"/>
          <w:highlight w:val="none"/>
          <w:lang w:val="en-US" w:eastAsia="zh-CN"/>
        </w:rPr>
      </w:pPr>
      <w:r>
        <w:rPr>
          <w:rFonts w:hint="eastAsia" w:ascii="Times New Roman" w:hAnsi="Times New Roman" w:cs="Times New Roman"/>
          <w:b/>
          <w:bCs/>
          <w:color w:val="000000"/>
          <w:sz w:val="21"/>
          <w:szCs w:val="21"/>
          <w:highlight w:val="none"/>
          <w:lang w:val="en-US" w:eastAsia="zh-CN"/>
        </w:rPr>
        <w:t>（2）</w:t>
      </w:r>
      <w:r>
        <w:rPr>
          <w:rFonts w:hint="default" w:ascii="Times New Roman" w:hAnsi="Times New Roman" w:eastAsia="宋体" w:cs="Times New Roman"/>
          <w:b/>
          <w:bCs/>
          <w:color w:val="000000"/>
          <w:sz w:val="21"/>
          <w:szCs w:val="21"/>
          <w:highlight w:val="none"/>
          <w:lang w:val="en-US" w:eastAsia="zh-CN"/>
        </w:rPr>
        <w:t>次要结果指标：</w:t>
      </w:r>
    </w:p>
    <w:p w14:paraId="25133CA2">
      <w:pPr>
        <w:spacing w:line="360" w:lineRule="auto"/>
        <w:ind w:left="0" w:leftChars="0" w:firstLine="420" w:firstLineChars="200"/>
        <w:rPr>
          <w:rFonts w:hint="eastAsia" w:ascii="Times New Roman" w:hAnsi="Times New Roman" w:eastAsia="宋体" w:cs="Times New Roman"/>
          <w:color w:val="000000"/>
          <w:sz w:val="21"/>
          <w:szCs w:val="21"/>
          <w:highlight w:val="none"/>
          <w:lang w:val="en-US" w:eastAsia="zh-CN" w:bidi="ar-SA"/>
        </w:rPr>
      </w:pPr>
      <w:r>
        <w:rPr>
          <w:rFonts w:hint="eastAsia" w:ascii="Times New Roman" w:hAnsi="Times New Roman" w:cs="Times New Roman"/>
          <w:color w:val="000000"/>
          <w:sz w:val="21"/>
          <w:szCs w:val="21"/>
          <w:highlight w:val="none"/>
          <w:lang w:val="en-US" w:eastAsia="zh-CN" w:bidi="ar-SA"/>
        </w:rPr>
        <w:t>1）</w:t>
      </w:r>
      <w:r>
        <w:rPr>
          <w:rFonts w:hint="default" w:ascii="Times New Roman" w:hAnsi="Times New Roman" w:eastAsia="宋体" w:cs="Times New Roman"/>
          <w:color w:val="000000"/>
          <w:sz w:val="21"/>
          <w:szCs w:val="21"/>
          <w:highlight w:val="none"/>
        </w:rPr>
        <w:t>不良结局发生率：</w:t>
      </w:r>
      <w:r>
        <w:rPr>
          <w:rFonts w:hint="eastAsia" w:ascii="Times New Roman" w:hAnsi="Times New Roman" w:cs="Times New Roman"/>
          <w:color w:val="000000"/>
          <w:sz w:val="21"/>
          <w:szCs w:val="21"/>
          <w:highlight w:val="none"/>
          <w:lang w:eastAsia="zh-CN"/>
        </w:rPr>
        <w:t>入</w:t>
      </w:r>
      <w:r>
        <w:rPr>
          <w:rFonts w:hint="default" w:ascii="Times New Roman" w:hAnsi="Times New Roman" w:eastAsia="宋体" w:cs="Times New Roman"/>
          <w:color w:val="000000"/>
          <w:sz w:val="21"/>
          <w:szCs w:val="21"/>
          <w:highlight w:val="none"/>
        </w:rPr>
        <w:t>组后的</w:t>
      </w:r>
      <w:r>
        <w:rPr>
          <w:rFonts w:hint="eastAsia" w:ascii="Times New Roman" w:hAnsi="Times New Roman" w:cs="Times New Roman"/>
          <w:color w:val="000000"/>
          <w:sz w:val="21"/>
          <w:szCs w:val="21"/>
          <w:highlight w:val="none"/>
          <w:lang w:val="en-US" w:eastAsia="zh-CN"/>
        </w:rPr>
        <w:t>18</w:t>
      </w:r>
      <w:r>
        <w:rPr>
          <w:rFonts w:hint="default" w:ascii="Times New Roman" w:hAnsi="Times New Roman" w:eastAsia="宋体" w:cs="Times New Roman"/>
          <w:color w:val="000000"/>
          <w:sz w:val="21"/>
          <w:szCs w:val="21"/>
          <w:highlight w:val="none"/>
        </w:rPr>
        <w:t>个月内，不良结局发生率（</w:t>
      </w:r>
      <w:r>
        <w:rPr>
          <w:rFonts w:hint="eastAsia" w:ascii="Times New Roman" w:hAnsi="Times New Roman" w:cs="Times New Roman"/>
          <w:color w:val="000000"/>
          <w:sz w:val="21"/>
          <w:szCs w:val="21"/>
          <w:highlight w:val="none"/>
          <w:lang w:eastAsia="zh-CN"/>
        </w:rPr>
        <w:t>细菌学失败、复发、再感染和临床失败</w:t>
      </w:r>
      <w:r>
        <w:rPr>
          <w:rFonts w:hint="default" w:ascii="Times New Roman" w:hAnsi="Times New Roman" w:eastAsia="宋体" w:cs="Times New Roman"/>
          <w:color w:val="000000"/>
          <w:sz w:val="21"/>
          <w:szCs w:val="21"/>
          <w:highlight w:val="none"/>
        </w:rPr>
        <w:t>）[时间范围：治疗期：</w:t>
      </w:r>
      <w:r>
        <w:rPr>
          <w:rFonts w:hint="eastAsia" w:ascii="Times New Roman" w:hAnsi="Times New Roman" w:cs="Times New Roman"/>
          <w:color w:val="000000"/>
          <w:sz w:val="21"/>
          <w:szCs w:val="21"/>
          <w:highlight w:val="none"/>
          <w:lang w:val="en-US" w:eastAsia="zh-CN"/>
        </w:rPr>
        <w:t>第</w:t>
      </w:r>
      <w:r>
        <w:rPr>
          <w:rFonts w:hint="default" w:ascii="Times New Roman" w:hAnsi="Times New Roman" w:eastAsia="宋体" w:cs="Times New Roman"/>
          <w:color w:val="000000"/>
          <w:sz w:val="21"/>
          <w:szCs w:val="21"/>
          <w:highlight w:val="none"/>
        </w:rPr>
        <w:t>6月。</w:t>
      </w:r>
      <w:r>
        <w:rPr>
          <w:rFonts w:hint="eastAsia" w:ascii="Times New Roman" w:hAnsi="Times New Roman" w:cs="Times New Roman"/>
          <w:color w:val="000000"/>
          <w:sz w:val="21"/>
          <w:szCs w:val="21"/>
          <w:highlight w:val="none"/>
          <w:lang w:eastAsia="zh-CN"/>
        </w:rPr>
        <w:t>停药后</w:t>
      </w:r>
      <w:r>
        <w:rPr>
          <w:rFonts w:hint="default" w:ascii="Times New Roman" w:hAnsi="Times New Roman" w:eastAsia="宋体" w:cs="Times New Roman"/>
          <w:color w:val="000000"/>
          <w:sz w:val="21"/>
          <w:szCs w:val="21"/>
          <w:highlight w:val="none"/>
        </w:rPr>
        <w:t>随访期：第</w:t>
      </w:r>
      <w:r>
        <w:rPr>
          <w:rFonts w:hint="default" w:ascii="Times New Roman" w:hAnsi="Times New Roman" w:cs="Times New Roman"/>
          <w:color w:val="000000"/>
          <w:sz w:val="21"/>
          <w:szCs w:val="21"/>
          <w:highlight w:val="none"/>
          <w:lang w:eastAsia="zh-CN"/>
        </w:rPr>
        <w:t>3、6</w:t>
      </w:r>
      <w:r>
        <w:rPr>
          <w:rFonts w:hint="eastAsia" w:ascii="Times New Roman" w:hAnsi="Times New Roman" w:cs="Times New Roman"/>
          <w:color w:val="000000"/>
          <w:sz w:val="21"/>
          <w:szCs w:val="21"/>
          <w:highlight w:val="none"/>
          <w:lang w:eastAsia="zh-CN"/>
        </w:rPr>
        <w:t>、</w:t>
      </w:r>
      <w:r>
        <w:rPr>
          <w:rFonts w:hint="eastAsia" w:ascii="Times New Roman" w:hAnsi="Times New Roman" w:cs="Times New Roman"/>
          <w:color w:val="000000"/>
          <w:sz w:val="21"/>
          <w:szCs w:val="21"/>
          <w:highlight w:val="none"/>
          <w:lang w:val="en-US" w:eastAsia="zh-CN"/>
        </w:rPr>
        <w:t>9、12</w:t>
      </w:r>
      <w:r>
        <w:rPr>
          <w:rFonts w:hint="default" w:ascii="Times New Roman" w:hAnsi="Times New Roman" w:eastAsia="宋体" w:cs="Times New Roman"/>
          <w:color w:val="000000"/>
          <w:sz w:val="21"/>
          <w:szCs w:val="21"/>
          <w:highlight w:val="none"/>
        </w:rPr>
        <w:t>月]</w:t>
      </w:r>
      <w:r>
        <w:rPr>
          <w:rFonts w:hint="eastAsia" w:ascii="Times New Roman" w:hAnsi="Times New Roman" w:cs="Times New Roman"/>
          <w:color w:val="000000"/>
          <w:sz w:val="21"/>
          <w:szCs w:val="21"/>
          <w:highlight w:val="none"/>
          <w:lang w:eastAsia="zh-CN"/>
        </w:rPr>
        <w:t>。</w:t>
      </w:r>
    </w:p>
    <w:p w14:paraId="69C19218">
      <w:pPr>
        <w:spacing w:line="360" w:lineRule="auto"/>
        <w:ind w:left="0" w:leftChars="0" w:firstLine="420" w:firstLineChars="200"/>
        <w:rPr>
          <w:rFonts w:hint="default" w:ascii="Times New Roman" w:hAnsi="Times New Roman" w:eastAsia="宋体" w:cs="Times New Roman"/>
          <w:color w:val="000000"/>
          <w:sz w:val="21"/>
          <w:szCs w:val="21"/>
          <w:highlight w:val="none"/>
        </w:rPr>
      </w:pPr>
      <w:r>
        <w:rPr>
          <w:rFonts w:hint="eastAsia" w:ascii="Times New Roman" w:hAnsi="Times New Roman" w:cs="Times New Roman"/>
          <w:color w:val="000000"/>
          <w:sz w:val="21"/>
          <w:szCs w:val="21"/>
          <w:highlight w:val="none"/>
          <w:lang w:val="en-US" w:eastAsia="zh-CN" w:bidi="ar-SA"/>
        </w:rPr>
        <w:t>2</w:t>
      </w:r>
      <w:r>
        <w:rPr>
          <w:rFonts w:hint="default" w:ascii="Times New Roman" w:hAnsi="Times New Roman" w:eastAsia="宋体" w:cs="Times New Roman"/>
          <w:color w:val="000000"/>
          <w:sz w:val="21"/>
          <w:szCs w:val="21"/>
          <w:highlight w:val="none"/>
          <w:lang w:val="en-US" w:eastAsia="zh-CN" w:bidi="ar-SA"/>
        </w:rPr>
        <w:t>）</w:t>
      </w:r>
      <w:r>
        <w:rPr>
          <w:rFonts w:hint="default" w:ascii="Times New Roman" w:hAnsi="Times New Roman" w:eastAsia="宋体" w:cs="Times New Roman"/>
          <w:color w:val="000000"/>
          <w:sz w:val="21"/>
          <w:szCs w:val="21"/>
          <w:highlight w:val="none"/>
        </w:rPr>
        <w:t>治疗2个月的结核菌培养阴转率[时间范围：治疗期：第0、0.5、1、1.5、2]。</w:t>
      </w:r>
    </w:p>
    <w:p w14:paraId="34A4D081">
      <w:pPr>
        <w:spacing w:line="360" w:lineRule="auto"/>
        <w:ind w:left="0" w:leftChars="0" w:firstLine="420" w:firstLineChars="200"/>
        <w:rPr>
          <w:rFonts w:hint="default" w:ascii="Times New Roman" w:hAnsi="Times New Roman" w:eastAsia="宋体" w:cs="Times New Roman"/>
          <w:color w:val="000000"/>
          <w:sz w:val="21"/>
          <w:szCs w:val="21"/>
          <w:highlight w:val="none"/>
        </w:rPr>
      </w:pPr>
      <w:r>
        <w:rPr>
          <w:rFonts w:hint="eastAsia" w:ascii="Times New Roman" w:hAnsi="Times New Roman" w:cs="Times New Roman"/>
          <w:color w:val="000000"/>
          <w:sz w:val="21"/>
          <w:szCs w:val="21"/>
          <w:highlight w:val="none"/>
          <w:lang w:val="en-US" w:eastAsia="zh-CN"/>
        </w:rPr>
        <w:t>3</w:t>
      </w:r>
      <w:r>
        <w:rPr>
          <w:rFonts w:hint="default" w:ascii="Times New Roman" w:hAnsi="Times New Roman" w:eastAsia="宋体" w:cs="Times New Roman"/>
          <w:color w:val="000000"/>
          <w:sz w:val="21"/>
          <w:szCs w:val="21"/>
          <w:highlight w:val="none"/>
        </w:rPr>
        <w:t>）结核菌培养阴转速度[时间范围：治疗期：第0、0.5、1、1.5、2、3、4、5、6、7、8、9月]。</w:t>
      </w:r>
    </w:p>
    <w:p w14:paraId="2E385F1D">
      <w:pPr>
        <w:pStyle w:val="14"/>
        <w:spacing w:line="360" w:lineRule="auto"/>
        <w:ind w:left="0" w:leftChars="0" w:firstLine="420" w:firstLineChars="200"/>
        <w:rPr>
          <w:rFonts w:hint="default" w:ascii="Times New Roman" w:hAnsi="Times New Roman" w:cs="Times New Roman"/>
          <w:color w:val="000000"/>
          <w:sz w:val="21"/>
          <w:szCs w:val="21"/>
          <w:highlight w:val="none"/>
          <w:lang w:eastAsia="zh-CN"/>
        </w:rPr>
      </w:pPr>
      <w:r>
        <w:rPr>
          <w:rFonts w:hint="eastAsia" w:ascii="Times New Roman" w:hAnsi="Times New Roman"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严重不良事件</w:t>
      </w:r>
      <w:r>
        <w:rPr>
          <w:rFonts w:hint="default" w:ascii="Times New Roman" w:hAnsi="Times New Roman" w:eastAsia="宋体" w:cs="Times New Roman"/>
          <w:color w:val="000000"/>
          <w:sz w:val="21"/>
          <w:szCs w:val="21"/>
          <w:highlight w:val="none"/>
          <w:lang w:eastAsia="zh-CN"/>
        </w:rPr>
        <w:t>和</w:t>
      </w:r>
      <w:r>
        <w:rPr>
          <w:rFonts w:hint="default" w:ascii="Times New Roman" w:hAnsi="Times New Roman" w:eastAsia="宋体" w:cs="Times New Roman"/>
          <w:color w:val="000000"/>
          <w:sz w:val="21"/>
          <w:szCs w:val="21"/>
          <w:highlight w:val="none"/>
        </w:rPr>
        <w:t>3级及以上不良事件</w:t>
      </w:r>
      <w:r>
        <w:rPr>
          <w:rFonts w:hint="default" w:ascii="Times New Roman" w:hAnsi="Times New Roman" w:eastAsia="宋体" w:cs="Times New Roman"/>
          <w:color w:val="000000"/>
          <w:sz w:val="21"/>
          <w:szCs w:val="21"/>
          <w:highlight w:val="none"/>
          <w:lang w:eastAsia="zh-CN"/>
        </w:rPr>
        <w:t>，其</w:t>
      </w:r>
      <w:r>
        <w:rPr>
          <w:rFonts w:hint="default" w:ascii="Times New Roman" w:hAnsi="Times New Roman" w:eastAsia="宋体" w:cs="Times New Roman"/>
          <w:color w:val="000000"/>
          <w:sz w:val="21"/>
          <w:szCs w:val="21"/>
          <w:highlight w:val="none"/>
        </w:rPr>
        <w:t>发生率</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预后</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发生频率</w:t>
      </w:r>
      <w:r>
        <w:rPr>
          <w:rFonts w:hint="default" w:ascii="Times New Roman" w:hAnsi="Times New Roman" w:eastAsia="宋体" w:cs="Times New Roman"/>
          <w:color w:val="000000"/>
          <w:sz w:val="21"/>
          <w:szCs w:val="21"/>
          <w:highlight w:val="none"/>
          <w:lang w:eastAsia="zh-CN"/>
        </w:rPr>
        <w:t>、持续</w:t>
      </w:r>
      <w:r>
        <w:rPr>
          <w:rFonts w:hint="default" w:ascii="Times New Roman" w:hAnsi="Times New Roman" w:eastAsia="宋体" w:cs="Times New Roman"/>
          <w:color w:val="000000"/>
          <w:sz w:val="21"/>
          <w:szCs w:val="21"/>
          <w:highlight w:val="none"/>
        </w:rPr>
        <w:t>时间</w:t>
      </w:r>
      <w:r>
        <w:rPr>
          <w:rFonts w:hint="default" w:ascii="Times New Roman" w:hAnsi="Times New Roman" w:eastAsia="宋体" w:cs="Times New Roman"/>
          <w:color w:val="000000"/>
          <w:sz w:val="21"/>
          <w:szCs w:val="21"/>
          <w:highlight w:val="none"/>
          <w:lang w:eastAsia="zh-CN"/>
        </w:rPr>
        <w:t>、</w:t>
      </w:r>
      <w:r>
        <w:rPr>
          <w:rFonts w:hint="default" w:ascii="Times New Roman" w:hAnsi="Times New Roman" w:eastAsia="宋体" w:cs="Times New Roman"/>
          <w:color w:val="000000"/>
          <w:sz w:val="21"/>
          <w:szCs w:val="21"/>
          <w:highlight w:val="none"/>
        </w:rPr>
        <w:t>严重程度</w:t>
      </w:r>
      <w:r>
        <w:rPr>
          <w:rFonts w:hint="default" w:ascii="Times New Roman" w:hAnsi="Times New Roman" w:eastAsia="宋体" w:cs="Times New Roman"/>
          <w:color w:val="000000"/>
          <w:sz w:val="21"/>
          <w:szCs w:val="21"/>
          <w:highlight w:val="none"/>
          <w:lang w:eastAsia="zh-CN"/>
        </w:rPr>
        <w:t>和是否因此而死亡</w:t>
      </w:r>
      <w:r>
        <w:rPr>
          <w:rFonts w:hint="default" w:ascii="Times New Roman" w:hAnsi="Times New Roman" w:eastAsia="宋体" w:cs="Times New Roman"/>
          <w:color w:val="000000"/>
          <w:sz w:val="21"/>
          <w:szCs w:val="21"/>
          <w:highlight w:val="none"/>
        </w:rPr>
        <w:t>（无论是否与结核病相关）[时间范围：治疗期：第0.5、1、1.5、2、3、4、5、6、7、8、9月。随访期：第</w:t>
      </w:r>
      <w:r>
        <w:rPr>
          <w:rFonts w:hint="default" w:ascii="Times New Roman" w:hAnsi="Times New Roman" w:cs="Times New Roman"/>
          <w:color w:val="000000"/>
          <w:sz w:val="21"/>
          <w:szCs w:val="21"/>
          <w:highlight w:val="none"/>
          <w:lang w:eastAsia="zh-CN"/>
        </w:rPr>
        <w:t>3、6、9、12</w:t>
      </w:r>
      <w:r>
        <w:rPr>
          <w:rFonts w:hint="default" w:ascii="Times New Roman" w:hAnsi="Times New Roman" w:eastAsia="宋体" w:cs="Times New Roman"/>
          <w:color w:val="000000"/>
          <w:sz w:val="21"/>
          <w:szCs w:val="21"/>
          <w:highlight w:val="none"/>
        </w:rPr>
        <w:t>月]</w:t>
      </w:r>
      <w:r>
        <w:rPr>
          <w:rFonts w:hint="default" w:ascii="Times New Roman" w:hAnsi="Times New Roman" w:cs="Times New Roman"/>
          <w:color w:val="000000"/>
          <w:sz w:val="21"/>
          <w:szCs w:val="21"/>
          <w:highlight w:val="none"/>
          <w:lang w:eastAsia="zh-CN"/>
        </w:rPr>
        <w:t>。</w:t>
      </w:r>
    </w:p>
    <w:p w14:paraId="1F70A001">
      <w:pPr>
        <w:pStyle w:val="14"/>
        <w:spacing w:line="360" w:lineRule="auto"/>
        <w:ind w:left="0" w:leftChars="0" w:firstLine="420" w:firstLineChars="200"/>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5）全因死亡[时间范围：治疗期：第0.5、1、1.5、2、3、4、5、6、7、8、9月。随访期：第3、6、9、12月]。</w:t>
      </w:r>
    </w:p>
    <w:p w14:paraId="51AB0B3F">
      <w:pPr>
        <w:pStyle w:val="14"/>
        <w:numPr>
          <w:ilvl w:val="0"/>
          <w:numId w:val="0"/>
        </w:numPr>
        <w:spacing w:line="360" w:lineRule="auto"/>
        <w:ind w:firstLine="482" w:firstLineChars="200"/>
        <w:outlineLvl w:val="2"/>
        <w:rPr>
          <w:rFonts w:hint="default" w:ascii="Times New Roman" w:hAnsi="Times New Roman" w:eastAsia="宋体" w:cs="Times New Roman"/>
          <w:sz w:val="24"/>
          <w:szCs w:val="24"/>
          <w:highlight w:val="none"/>
          <w:lang w:eastAsia="zh-CN"/>
        </w:rPr>
      </w:pPr>
      <w:r>
        <w:rPr>
          <w:rFonts w:hint="eastAsia" w:ascii="Times New Roman" w:hAnsi="Times New Roman" w:cs="Times New Roman"/>
          <w:b/>
          <w:sz w:val="24"/>
          <w:szCs w:val="24"/>
          <w:highlight w:val="none"/>
          <w:lang w:val="en-US" w:eastAsia="zh-CN"/>
        </w:rPr>
        <w:t>5</w:t>
      </w:r>
      <w:r>
        <w:rPr>
          <w:rFonts w:hint="default" w:ascii="Times New Roman" w:hAnsi="Times New Roman" w:cs="Times New Roman"/>
          <w:b/>
          <w:sz w:val="24"/>
          <w:szCs w:val="24"/>
          <w:highlight w:val="none"/>
          <w:lang w:val="en-US" w:eastAsia="zh-CN"/>
        </w:rPr>
        <w:t>.</w:t>
      </w:r>
      <w:r>
        <w:rPr>
          <w:rFonts w:hint="default" w:ascii="Times New Roman" w:hAnsi="Times New Roman" w:eastAsia="宋体" w:cs="Times New Roman"/>
          <w:b/>
          <w:sz w:val="24"/>
          <w:szCs w:val="24"/>
          <w:highlight w:val="none"/>
        </w:rPr>
        <w:t>样本量的估算</w:t>
      </w:r>
      <w:r>
        <w:rPr>
          <w:rFonts w:hint="default" w:ascii="Times New Roman" w:hAnsi="Times New Roman" w:eastAsia="宋体" w:cs="Times New Roman"/>
          <w:b/>
          <w:sz w:val="24"/>
          <w:szCs w:val="24"/>
          <w:highlight w:val="none"/>
          <w:lang w:eastAsia="zh-CN"/>
        </w:rPr>
        <w:t>和统计学考虑</w:t>
      </w:r>
    </w:p>
    <w:p w14:paraId="490F3043">
      <w:pPr>
        <w:pStyle w:val="14"/>
        <w:numPr>
          <w:ilvl w:val="0"/>
          <w:numId w:val="0"/>
        </w:numPr>
        <w:spacing w:line="360" w:lineRule="auto"/>
        <w:ind w:firstLine="422" w:firstLineChars="200"/>
        <w:outlineLvl w:val="2"/>
        <w:rPr>
          <w:rFonts w:hint="default" w:ascii="Times New Roman" w:hAnsi="Times New Roman" w:eastAsia="宋体" w:cs="Times New Roman"/>
          <w:b/>
          <w:sz w:val="21"/>
          <w:szCs w:val="21"/>
          <w:highlight w:val="none"/>
          <w:lang w:eastAsia="zh-CN"/>
        </w:rPr>
      </w:pPr>
      <w:r>
        <w:rPr>
          <w:rFonts w:hint="eastAsia" w:ascii="Times New Roman" w:hAnsi="Times New Roman" w:cs="Times New Roman"/>
          <w:b/>
          <w:sz w:val="21"/>
          <w:szCs w:val="21"/>
          <w:highlight w:val="none"/>
          <w:lang w:val="en-US" w:eastAsia="zh-CN"/>
        </w:rPr>
        <w:t>（</w:t>
      </w:r>
      <w:r>
        <w:rPr>
          <w:rFonts w:hint="default" w:ascii="Times New Roman" w:hAnsi="Times New Roman" w:eastAsia="宋体" w:cs="Times New Roman"/>
          <w:b/>
          <w:sz w:val="21"/>
          <w:szCs w:val="21"/>
          <w:highlight w:val="none"/>
          <w:lang w:val="en-US" w:eastAsia="zh-CN"/>
        </w:rPr>
        <w:t>1</w:t>
      </w:r>
      <w:r>
        <w:rPr>
          <w:rFonts w:hint="eastAsia" w:ascii="Times New Roman" w:hAnsi="Times New Roman" w:cs="Times New Roman"/>
          <w:b/>
          <w:sz w:val="21"/>
          <w:szCs w:val="21"/>
          <w:highlight w:val="none"/>
          <w:lang w:val="en-US" w:eastAsia="zh-CN"/>
        </w:rPr>
        <w:t>）</w:t>
      </w:r>
      <w:r>
        <w:rPr>
          <w:rFonts w:hint="default" w:ascii="Times New Roman" w:hAnsi="Times New Roman" w:eastAsia="宋体" w:cs="Times New Roman"/>
          <w:b/>
          <w:sz w:val="21"/>
          <w:szCs w:val="21"/>
          <w:highlight w:val="none"/>
          <w:lang w:eastAsia="zh-CN"/>
        </w:rPr>
        <w:t>样本量计算</w:t>
      </w:r>
    </w:p>
    <w:p w14:paraId="7621B8E5">
      <w:pPr>
        <w:pStyle w:val="14"/>
        <w:spacing w:line="360" w:lineRule="auto"/>
        <w:ind w:left="0" w:firstLine="420" w:firstLineChars="200"/>
        <w:rPr>
          <w:rFonts w:hint="eastAsia" w:ascii="Times New Roman" w:hAnsi="Times New Roman" w:cs="Times New Roman"/>
          <w:color w:val="000000"/>
          <w:szCs w:val="21"/>
          <w:highlight w:val="none"/>
          <w:lang w:val="en-US"/>
        </w:rPr>
      </w:pPr>
      <w:r>
        <w:rPr>
          <w:rFonts w:hint="eastAsia" w:ascii="Times New Roman" w:hAnsi="Times New Roman" w:cs="Times New Roman"/>
          <w:color w:val="000000"/>
          <w:szCs w:val="21"/>
          <w:highlight w:val="none"/>
          <w:lang w:val="en-US" w:eastAsia="zh-CN"/>
        </w:rPr>
        <w:t>6BDL/M对标的是6BPL/M方案，而6BPL/M的良好结局率是88%（源自TB-PRACTICAL研究），以非劣性设计来计算样本量，</w:t>
      </w:r>
      <w:r>
        <w:rPr>
          <w:rFonts w:hint="eastAsia" w:ascii="Times New Roman" w:hAnsi="Times New Roman" w:cs="Times New Roman"/>
          <w:color w:val="000000"/>
          <w:szCs w:val="21"/>
          <w:highlight w:val="none"/>
          <w:lang w:val="en-US"/>
        </w:rPr>
        <w:t>非劣效性试验中每组的样本量公式为：</w:t>
      </w:r>
    </w:p>
    <w:p w14:paraId="216E9DAD">
      <w:pPr>
        <w:pStyle w:val="14"/>
        <w:spacing w:line="360" w:lineRule="auto"/>
        <w:ind w:left="0" w:firstLine="0" w:firstLineChars="0"/>
        <w:rPr>
          <w:rFonts w:hint="eastAsia" w:ascii="Times New Roman" w:hAnsi="Times New Roman" w:cs="Times New Roman"/>
          <w:color w:val="000000"/>
          <w:szCs w:val="21"/>
          <w:highlight w:val="none"/>
          <w:lang w:val="en-US"/>
        </w:rPr>
      </w:pPr>
      <w:r>
        <w:rPr>
          <w:rFonts w:hint="eastAsia" w:ascii="Times New Roman" w:hAnsi="Times New Roman" w:cs="Times New Roman"/>
          <w:color w:val="000000"/>
          <w:szCs w:val="21"/>
          <w:highlight w:val="none"/>
          <w:lang w:val="en-US"/>
        </w:rPr>
        <w:drawing>
          <wp:inline distT="0" distB="0" distL="114300" distR="114300">
            <wp:extent cx="4124325" cy="51435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4124325" cy="514350"/>
                    </a:xfrm>
                    <a:prstGeom prst="rect">
                      <a:avLst/>
                    </a:prstGeom>
                    <a:noFill/>
                    <a:ln>
                      <a:noFill/>
                    </a:ln>
                  </pic:spPr>
                </pic:pic>
              </a:graphicData>
            </a:graphic>
          </wp:inline>
        </w:drawing>
      </w:r>
    </w:p>
    <w:p w14:paraId="77FC2DAF">
      <w:pPr>
        <w:pStyle w:val="14"/>
        <w:spacing w:line="360" w:lineRule="auto"/>
        <w:ind w:left="0" w:firstLine="0" w:firstLineChars="0"/>
        <w:rPr>
          <w:rFonts w:hint="eastAsia" w:ascii="Times New Roman" w:hAnsi="Times New Roman" w:cs="Times New Roman"/>
          <w:color w:val="000000"/>
          <w:szCs w:val="21"/>
          <w:highlight w:val="none"/>
          <w:lang w:val="en-US"/>
        </w:rPr>
      </w:pPr>
      <w:r>
        <w:rPr>
          <w:rFonts w:hint="eastAsia" w:ascii="Times New Roman" w:hAnsi="Times New Roman" w:cs="Times New Roman"/>
          <w:color w:val="000000"/>
          <w:szCs w:val="21"/>
          <w:highlight w:val="none"/>
          <w:lang w:val="en-US"/>
        </w:rPr>
        <w:t>代入参数：</w:t>
      </w:r>
      <w:r>
        <w:rPr>
          <w:rFonts w:hint="eastAsia" w:ascii="Times New Roman" w:hAnsi="Times New Roman" w:eastAsia="宋体" w:cs="Times New Roman"/>
          <w:color w:val="000000"/>
          <w:sz w:val="21"/>
          <w:szCs w:val="21"/>
          <w:highlight w:val="none"/>
          <w:lang w:val="en-US"/>
        </w:rPr>
        <w:t>P</w:t>
      </w:r>
      <w:r>
        <w:rPr>
          <w:rFonts w:hint="eastAsia" w:ascii="Times New Roman" w:hAnsi="Times New Roman" w:eastAsia="宋体" w:cs="Times New Roman"/>
          <w:color w:val="000000"/>
          <w:sz w:val="21"/>
          <w:szCs w:val="21"/>
          <w:highlight w:val="none"/>
          <w:vertAlign w:val="baseline"/>
          <w:lang w:val="en-US"/>
        </w:rPr>
        <w:t>C</w:t>
      </w:r>
      <w:r>
        <w:rPr>
          <w:rFonts w:hint="eastAsia" w:ascii="Times New Roman" w:hAnsi="Times New Roman" w:eastAsia="宋体" w:cs="Times New Roman"/>
          <w:color w:val="000000"/>
          <w:sz w:val="21"/>
          <w:szCs w:val="21"/>
          <w:highlight w:val="none"/>
          <w:lang w:val="en-US"/>
        </w:rPr>
        <w:t>=0.9, P</w:t>
      </w:r>
      <w:r>
        <w:rPr>
          <w:rFonts w:hint="eastAsia" w:ascii="Times New Roman" w:hAnsi="Times New Roman" w:eastAsia="宋体" w:cs="Times New Roman"/>
          <w:color w:val="000000"/>
          <w:sz w:val="21"/>
          <w:szCs w:val="21"/>
          <w:highlight w:val="none"/>
          <w:vertAlign w:val="baseline"/>
          <w:lang w:val="en-US"/>
        </w:rPr>
        <w:t>T</w:t>
      </w:r>
      <w:r>
        <w:rPr>
          <w:rFonts w:hint="eastAsia" w:ascii="Times New Roman" w:hAnsi="Times New Roman" w:eastAsia="宋体" w:cs="Times New Roman"/>
          <w:color w:val="000000"/>
          <w:sz w:val="21"/>
          <w:szCs w:val="21"/>
          <w:highlight w:val="none"/>
          <w:lang w:val="en-US"/>
        </w:rPr>
        <w:t>=0.9,非劣效性界值δ=0.1，显著性水平α=0.05（对应 Z</w:t>
      </w:r>
      <w:r>
        <w:rPr>
          <w:rFonts w:hint="eastAsia" w:ascii="Times New Roman" w:hAnsi="Times New Roman" w:eastAsia="宋体" w:cs="Times New Roman"/>
          <w:color w:val="000000"/>
          <w:sz w:val="21"/>
          <w:szCs w:val="21"/>
          <w:highlight w:val="none"/>
          <w:vertAlign w:val="baseline"/>
          <w:lang w:val="en-US"/>
        </w:rPr>
        <w:t>1−α</w:t>
      </w:r>
      <w:r>
        <w:rPr>
          <w:rFonts w:hint="eastAsia" w:ascii="Times New Roman" w:hAnsi="Times New Roman" w:eastAsia="宋体" w:cs="Times New Roman"/>
          <w:color w:val="000000"/>
          <w:sz w:val="21"/>
          <w:szCs w:val="21"/>
          <w:highlight w:val="none"/>
          <w:lang w:val="en-US"/>
        </w:rPr>
        <w:t>=1.645），功效1−β=0.8（对应Z</w:t>
      </w:r>
      <w:r>
        <w:rPr>
          <w:rFonts w:hint="eastAsia" w:ascii="Times New Roman" w:hAnsi="Times New Roman" w:eastAsia="宋体" w:cs="Times New Roman"/>
          <w:color w:val="000000"/>
          <w:sz w:val="21"/>
          <w:szCs w:val="21"/>
          <w:highlight w:val="none"/>
          <w:vertAlign w:val="baseline"/>
          <w:lang w:val="en-US" w:eastAsia="zh-CN"/>
        </w:rPr>
        <w:t>1-β</w:t>
      </w:r>
      <w:r>
        <w:rPr>
          <w:rFonts w:hint="eastAsia" w:ascii="Times New Roman" w:hAnsi="Times New Roman" w:eastAsia="宋体" w:cs="Times New Roman"/>
          <w:color w:val="000000"/>
          <w:sz w:val="21"/>
          <w:szCs w:val="21"/>
          <w:highlight w:val="none"/>
          <w:lang w:val="en-US"/>
        </w:rPr>
        <w:t xml:space="preserve"> = 0.84）。</w:t>
      </w:r>
      <w:r>
        <w:rPr>
          <w:rFonts w:hint="eastAsia" w:ascii="Times New Roman" w:hAnsi="Times New Roman" w:cs="Times New Roman"/>
          <w:color w:val="000000"/>
          <w:szCs w:val="21"/>
          <w:highlight w:val="none"/>
          <w:lang w:val="en-US"/>
        </w:rPr>
        <w:t>计算得出每组样本量为142。</w:t>
      </w:r>
    </w:p>
    <w:p w14:paraId="53374435">
      <w:pPr>
        <w:pStyle w:val="14"/>
        <w:spacing w:line="360" w:lineRule="auto"/>
        <w:ind w:left="0" w:firstLine="0" w:firstLineChars="0"/>
        <w:rPr>
          <w:rFonts w:hint="eastAsia" w:ascii="Times New Roman" w:hAnsi="Times New Roman" w:cs="Times New Roman"/>
          <w:color w:val="000000"/>
          <w:szCs w:val="21"/>
          <w:highlight w:val="none"/>
          <w:lang w:val="en-US"/>
        </w:rPr>
      </w:pPr>
      <w:r>
        <w:rPr>
          <w:rFonts w:hint="eastAsia" w:ascii="Times New Roman" w:hAnsi="Times New Roman" w:cs="Times New Roman"/>
          <w:color w:val="000000"/>
          <w:szCs w:val="21"/>
          <w:highlight w:val="none"/>
          <w:lang w:val="en-US"/>
        </w:rPr>
        <w:t>调整失访率</w:t>
      </w:r>
      <w:r>
        <w:rPr>
          <w:rFonts w:hint="eastAsia" w:ascii="Times New Roman" w:hAnsi="Times New Roman" w:cs="Times New Roman"/>
          <w:color w:val="000000"/>
          <w:szCs w:val="21"/>
          <w:highlight w:val="none"/>
          <w:lang w:val="en-US" w:eastAsia="zh-CN"/>
        </w:rPr>
        <w:t>：</w:t>
      </w:r>
      <w:r>
        <w:rPr>
          <w:rFonts w:hint="eastAsia" w:ascii="Times New Roman" w:hAnsi="Times New Roman" w:cs="Times New Roman"/>
          <w:color w:val="000000"/>
          <w:szCs w:val="21"/>
          <w:highlight w:val="none"/>
          <w:lang w:val="en-US"/>
        </w:rPr>
        <w:t>假设失访率为10%，调整后的每组样本量为</w:t>
      </w:r>
      <w:r>
        <w:rPr>
          <w:rFonts w:hint="eastAsia" w:ascii="Times New Roman" w:hAnsi="Times New Roman" w:cs="Times New Roman"/>
          <w:color w:val="000000"/>
          <w:szCs w:val="21"/>
          <w:highlight w:val="none"/>
          <w:lang w:val="en-US" w:eastAsia="zh-CN"/>
        </w:rPr>
        <w:t>158例。</w:t>
      </w:r>
    </w:p>
    <w:p w14:paraId="18D95178">
      <w:pPr>
        <w:rPr>
          <w:rFonts w:hint="eastAsia"/>
        </w:rPr>
      </w:pPr>
      <w:r>
        <w:rPr>
          <w:rFonts w:hint="eastAsia"/>
        </w:rPr>
        <w:t xml:space="preserve"> </w:t>
      </w:r>
      <w:r>
        <w:drawing>
          <wp:inline distT="0" distB="0" distL="114300" distR="114300">
            <wp:extent cx="2190750" cy="5238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2190750" cy="523875"/>
                    </a:xfrm>
                    <a:prstGeom prst="rect">
                      <a:avLst/>
                    </a:prstGeom>
                    <a:noFill/>
                    <a:ln>
                      <a:noFill/>
                    </a:ln>
                  </pic:spPr>
                </pic:pic>
              </a:graphicData>
            </a:graphic>
          </wp:inline>
        </w:drawing>
      </w:r>
    </w:p>
    <w:p w14:paraId="23C1363F">
      <w:pPr>
        <w:pStyle w:val="14"/>
        <w:numPr>
          <w:ilvl w:val="0"/>
          <w:numId w:val="0"/>
        </w:numPr>
        <w:spacing w:line="360" w:lineRule="auto"/>
        <w:ind w:firstLine="420" w:firstLineChars="200"/>
        <w:outlineLvl w:val="2"/>
        <w:rPr>
          <w:rFonts w:hint="default" w:ascii="Times New Roman" w:hAnsi="Times New Roman" w:eastAsia="宋体" w:cs="Times New Roman"/>
          <w:b w:val="0"/>
          <w:bCs/>
          <w:sz w:val="21"/>
          <w:szCs w:val="21"/>
          <w:highlight w:val="none"/>
          <w:lang w:val="en-US" w:eastAsia="zh-CN"/>
        </w:rPr>
      </w:pPr>
      <w:r>
        <w:rPr>
          <w:rFonts w:hint="eastAsia" w:ascii="Times New Roman" w:hAnsi="Times New Roman" w:eastAsia="宋体" w:cs="Times New Roman"/>
          <w:b w:val="0"/>
          <w:bCs/>
          <w:sz w:val="21"/>
          <w:szCs w:val="21"/>
          <w:highlight w:val="none"/>
          <w:lang w:val="en-US" w:eastAsia="zh-CN"/>
        </w:rPr>
        <w:t>本研究为</w:t>
      </w:r>
      <w:r>
        <w:rPr>
          <w:rFonts w:hint="eastAsia" w:ascii="Times New Roman" w:hAnsi="Times New Roman" w:cs="Times New Roman"/>
          <w:b w:val="0"/>
          <w:bCs/>
          <w:sz w:val="21"/>
          <w:szCs w:val="21"/>
          <w:highlight w:val="none"/>
          <w:lang w:val="en-US" w:eastAsia="zh-CN"/>
        </w:rPr>
        <w:t>单臂的策略性研究（根据M耐药性决定是否保留M），BDL/M的总样本量为158例，其中BDL和BDLM的比例不限。</w:t>
      </w:r>
    </w:p>
    <w:p w14:paraId="48EEF0CE">
      <w:pPr>
        <w:pStyle w:val="14"/>
        <w:numPr>
          <w:ilvl w:val="0"/>
          <w:numId w:val="0"/>
        </w:numPr>
        <w:spacing w:line="360" w:lineRule="auto"/>
        <w:ind w:firstLine="422" w:firstLineChars="200"/>
        <w:outlineLvl w:val="2"/>
        <w:rPr>
          <w:rFonts w:hint="default" w:ascii="Times New Roman" w:hAnsi="Times New Roman" w:eastAsia="宋体" w:cs="Times New Roman"/>
          <w:b/>
          <w:sz w:val="21"/>
          <w:szCs w:val="21"/>
          <w:highlight w:val="none"/>
        </w:rPr>
      </w:pPr>
      <w:r>
        <w:rPr>
          <w:rFonts w:hint="eastAsia" w:ascii="Times New Roman" w:hAnsi="Times New Roman" w:cs="Times New Roman"/>
          <w:b/>
          <w:sz w:val="21"/>
          <w:szCs w:val="21"/>
          <w:highlight w:val="none"/>
          <w:lang w:val="en-US" w:eastAsia="zh-CN"/>
        </w:rPr>
        <w:t>（2）</w:t>
      </w:r>
      <w:r>
        <w:rPr>
          <w:rFonts w:hint="default" w:ascii="Times New Roman" w:hAnsi="Times New Roman" w:eastAsia="宋体" w:cs="Times New Roman"/>
          <w:b/>
          <w:sz w:val="21"/>
          <w:szCs w:val="21"/>
          <w:highlight w:val="none"/>
          <w:lang w:val="en-US"/>
        </w:rPr>
        <w:t>统计分析方法</w:t>
      </w:r>
    </w:p>
    <w:p w14:paraId="09F57000">
      <w:pPr>
        <w:pStyle w:val="14"/>
        <w:widowControl w:val="0"/>
        <w:numPr>
          <w:ilvl w:val="0"/>
          <w:numId w:val="0"/>
        </w:numPr>
        <w:spacing w:line="360" w:lineRule="auto"/>
        <w:ind w:firstLine="420" w:firstLineChars="200"/>
        <w:jc w:val="both"/>
        <w:rPr>
          <w:rFonts w:hint="eastAsia" w:ascii="Times New Roman" w:hAnsi="Times New Roman" w:eastAsia="宋体" w:cs="Times New Roman"/>
          <w:b w:val="0"/>
          <w:bCs w:val="0"/>
          <w:sz w:val="21"/>
          <w:szCs w:val="21"/>
          <w:lang w:eastAsia="zh-CN"/>
        </w:rPr>
      </w:pPr>
      <w:r>
        <w:rPr>
          <w:rFonts w:hint="eastAsia" w:ascii="Times New Roman" w:hAnsi="Times New Roman" w:cs="Times New Roman"/>
          <w:b w:val="0"/>
          <w:bCs w:val="0"/>
          <w:kern w:val="0"/>
          <w:sz w:val="21"/>
          <w:szCs w:val="21"/>
          <w:lang w:eastAsia="zh-CN"/>
        </w:rPr>
        <w:t>统计描述为主。不进行方案间统计分析。</w:t>
      </w:r>
    </w:p>
    <w:p w14:paraId="1D3E9BBE">
      <w:pPr>
        <w:pStyle w:val="14"/>
        <w:numPr>
          <w:ilvl w:val="0"/>
          <w:numId w:val="0"/>
        </w:numPr>
        <w:spacing w:line="360" w:lineRule="auto"/>
        <w:ind w:firstLine="422" w:firstLineChars="200"/>
        <w:outlineLvl w:val="2"/>
        <w:rPr>
          <w:rFonts w:hint="default" w:ascii="Times New Roman" w:hAnsi="Times New Roman" w:eastAsia="宋体" w:cs="Times New Roman"/>
          <w:b/>
          <w:sz w:val="21"/>
          <w:szCs w:val="21"/>
          <w:highlight w:val="none"/>
          <w:lang w:val="en-US" w:eastAsia="zh-CN"/>
        </w:rPr>
      </w:pPr>
      <w:r>
        <w:rPr>
          <w:rFonts w:hint="eastAsia" w:ascii="Times New Roman" w:hAnsi="Times New Roman" w:eastAsia="宋体" w:cs="Times New Roman"/>
          <w:b/>
          <w:sz w:val="21"/>
          <w:szCs w:val="21"/>
          <w:highlight w:val="none"/>
          <w:lang w:val="en-US" w:eastAsia="zh-CN"/>
        </w:rPr>
        <w:t>（3）</w:t>
      </w:r>
      <w:r>
        <w:rPr>
          <w:rFonts w:hint="default" w:ascii="Times New Roman" w:hAnsi="Times New Roman" w:eastAsia="宋体" w:cs="Times New Roman"/>
          <w:b/>
          <w:sz w:val="21"/>
          <w:szCs w:val="21"/>
          <w:highlight w:val="none"/>
          <w:lang w:val="en-US" w:eastAsia="zh-CN"/>
        </w:rPr>
        <w:t>数据管理计划</w:t>
      </w:r>
    </w:p>
    <w:p w14:paraId="624800B0">
      <w:pPr>
        <w:pStyle w:val="14"/>
        <w:widowControl w:val="0"/>
        <w:numPr>
          <w:ilvl w:val="0"/>
          <w:numId w:val="0"/>
        </w:numPr>
        <w:spacing w:line="360" w:lineRule="auto"/>
        <w:ind w:firstLine="420" w:firstLineChars="200"/>
        <w:jc w:val="both"/>
        <w:rPr>
          <w:rFonts w:hint="default" w:ascii="Times New Roman" w:hAnsi="Times New Roman" w:cs="Times New Roman"/>
          <w:b w:val="0"/>
          <w:bCs/>
          <w:sz w:val="21"/>
          <w:szCs w:val="21"/>
          <w:highlight w:val="none"/>
          <w:lang w:val="en-US" w:eastAsia="zh-CN"/>
        </w:rPr>
      </w:pPr>
      <w:r>
        <w:rPr>
          <w:rFonts w:hint="eastAsia" w:ascii="Times New Roman" w:hAnsi="Times New Roman" w:cs="Times New Roman"/>
          <w:b w:val="0"/>
          <w:bCs/>
          <w:sz w:val="21"/>
          <w:szCs w:val="21"/>
          <w:highlight w:val="none"/>
          <w:lang w:val="en-US" w:eastAsia="zh-CN"/>
        </w:rPr>
        <w:t>1</w:t>
      </w:r>
      <w:r>
        <w:rPr>
          <w:rFonts w:hint="default" w:ascii="Times New Roman" w:hAnsi="Times New Roman" w:cs="Times New Roman"/>
          <w:b w:val="0"/>
          <w:bCs/>
          <w:sz w:val="21"/>
          <w:szCs w:val="21"/>
          <w:highlight w:val="none"/>
          <w:lang w:val="en-US" w:eastAsia="zh-CN"/>
        </w:rPr>
        <w:t>）使用</w:t>
      </w:r>
      <w:r>
        <w:rPr>
          <w:rFonts w:hint="default" w:ascii="Times New Roman" w:hAnsi="Times New Roman" w:cs="Times New Roman"/>
          <w:bCs/>
          <w:szCs w:val="21"/>
          <w:highlight w:val="none"/>
          <w:lang w:val="en-US"/>
        </w:rPr>
        <w:t>电子数据捕获系统（Electronic Data Capture System，EDC）</w:t>
      </w:r>
      <w:r>
        <w:rPr>
          <w:rFonts w:hint="default" w:ascii="Times New Roman" w:hAnsi="Times New Roman" w:cs="Times New Roman"/>
          <w:b w:val="0"/>
          <w:bCs/>
          <w:sz w:val="21"/>
          <w:szCs w:val="21"/>
          <w:highlight w:val="none"/>
          <w:lang w:val="en-US" w:eastAsia="zh-CN"/>
        </w:rPr>
        <w:t>录入数据，结合部分纸质表格和若干量表进行数据收集。</w:t>
      </w:r>
    </w:p>
    <w:p w14:paraId="5765BEB8">
      <w:pPr>
        <w:pStyle w:val="14"/>
        <w:widowControl w:val="0"/>
        <w:numPr>
          <w:ilvl w:val="0"/>
          <w:numId w:val="0"/>
        </w:numPr>
        <w:spacing w:line="360" w:lineRule="auto"/>
        <w:ind w:firstLine="420" w:firstLineChars="200"/>
        <w:jc w:val="both"/>
        <w:rPr>
          <w:rFonts w:hint="default" w:ascii="Times New Roman" w:hAnsi="Times New Roman" w:cs="Times New Roman"/>
          <w:b w:val="0"/>
          <w:bCs/>
          <w:sz w:val="21"/>
          <w:szCs w:val="21"/>
          <w:highlight w:val="none"/>
          <w:lang w:val="en-US" w:eastAsia="zh-CN"/>
        </w:rPr>
      </w:pPr>
      <w:r>
        <w:rPr>
          <w:rFonts w:hint="eastAsia" w:ascii="Times New Roman" w:hAnsi="Times New Roman" w:cs="Times New Roman"/>
          <w:b w:val="0"/>
          <w:bCs/>
          <w:sz w:val="21"/>
          <w:szCs w:val="21"/>
          <w:highlight w:val="none"/>
          <w:lang w:val="en-US" w:eastAsia="zh-CN"/>
        </w:rPr>
        <w:t>2</w:t>
      </w:r>
      <w:r>
        <w:rPr>
          <w:rFonts w:hint="default" w:ascii="Times New Roman" w:hAnsi="Times New Roman" w:cs="Times New Roman"/>
          <w:b w:val="0"/>
          <w:bCs/>
          <w:sz w:val="21"/>
          <w:szCs w:val="21"/>
          <w:highlight w:val="none"/>
          <w:lang w:val="en-US" w:eastAsia="zh-CN"/>
        </w:rPr>
        <w:t>）由专业的数据管理团队进行数据核查、锁定、统计等。</w:t>
      </w:r>
    </w:p>
    <w:p w14:paraId="5EBF407B">
      <w:pPr>
        <w:spacing w:line="360" w:lineRule="auto"/>
        <w:jc w:val="left"/>
        <w:rPr>
          <w:rFonts w:hint="default" w:ascii="Times New Roman" w:hAnsi="Times New Roman" w:eastAsia="宋体" w:cs="Times New Roman"/>
          <w:b w:val="0"/>
          <w:bCs/>
          <w:sz w:val="21"/>
          <w:szCs w:val="21"/>
          <w:highlight w:val="none"/>
          <w:lang w:val="en-US" w:eastAsia="zh-CN"/>
        </w:rPr>
      </w:pPr>
    </w:p>
    <w:p w14:paraId="6166E8C5">
      <w:pPr>
        <w:spacing w:line="360" w:lineRule="auto"/>
        <w:outlineLvl w:val="2"/>
        <w:rPr>
          <w:rFonts w:hint="default" w:ascii="Times New Roman" w:hAnsi="Times New Roman" w:eastAsia="宋体" w:cs="Times New Roman"/>
          <w:b/>
          <w:bCs/>
          <w:kern w:val="2"/>
          <w:sz w:val="24"/>
          <w:szCs w:val="24"/>
          <w:highlight w:val="none"/>
          <w:lang w:val="zh-CN" w:eastAsia="zh-CN" w:bidi="zh-CN"/>
        </w:rPr>
      </w:pPr>
      <w:r>
        <w:rPr>
          <w:rFonts w:hint="default" w:ascii="Times New Roman" w:hAnsi="Times New Roman" w:eastAsia="宋体" w:cs="Times New Roman"/>
          <w:b/>
          <w:bCs/>
          <w:kern w:val="2"/>
          <w:sz w:val="24"/>
          <w:szCs w:val="24"/>
          <w:highlight w:val="none"/>
          <w:lang w:val="en-US" w:eastAsia="zh-CN" w:bidi="zh-CN"/>
        </w:rPr>
        <w:t xml:space="preserve">（二） </w:t>
      </w:r>
      <w:r>
        <w:rPr>
          <w:rFonts w:hint="default" w:ascii="Times New Roman" w:hAnsi="Times New Roman" w:eastAsia="宋体" w:cs="Times New Roman"/>
          <w:b/>
          <w:bCs/>
          <w:kern w:val="2"/>
          <w:sz w:val="24"/>
          <w:szCs w:val="24"/>
          <w:highlight w:val="none"/>
          <w:lang w:val="zh-CN" w:eastAsia="zh-CN" w:bidi="zh-CN"/>
        </w:rPr>
        <w:t>技术</w:t>
      </w:r>
      <w:r>
        <w:rPr>
          <w:rFonts w:hint="eastAsia" w:ascii="Times New Roman" w:hAnsi="Times New Roman" w:cs="Times New Roman"/>
          <w:b/>
          <w:bCs/>
          <w:kern w:val="2"/>
          <w:sz w:val="24"/>
          <w:szCs w:val="24"/>
          <w:highlight w:val="none"/>
          <w:lang w:val="zh-CN" w:eastAsia="zh-CN" w:bidi="zh-CN"/>
        </w:rPr>
        <w:t>路线</w:t>
      </w:r>
    </w:p>
    <w:p w14:paraId="22EDE035">
      <w:pPr>
        <w:spacing w:line="360" w:lineRule="auto"/>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114300" distR="114300">
            <wp:extent cx="5263515" cy="6798945"/>
            <wp:effectExtent l="0" t="0" r="13335" b="1905"/>
            <wp:docPr id="1" name="图片 1" descr="患者纳入流程图 2024-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患者纳入流程图 2024-11-29"/>
                    <pic:cNvPicPr>
                      <a:picLocks noChangeAspect="1"/>
                    </pic:cNvPicPr>
                  </pic:nvPicPr>
                  <pic:blipFill>
                    <a:blip r:embed="rId8"/>
                    <a:stretch>
                      <a:fillRect/>
                    </a:stretch>
                  </pic:blipFill>
                  <pic:spPr>
                    <a:xfrm>
                      <a:off x="0" y="0"/>
                      <a:ext cx="5263515" cy="6798945"/>
                    </a:xfrm>
                    <a:prstGeom prst="rect">
                      <a:avLst/>
                    </a:prstGeom>
                  </pic:spPr>
                </pic:pic>
              </a:graphicData>
            </a:graphic>
          </wp:inline>
        </w:drawing>
      </w:r>
    </w:p>
    <w:p w14:paraId="51DBEC46">
      <w:pPr>
        <w:pStyle w:val="5"/>
        <w:jc w:val="center"/>
        <w:rPr>
          <w:rFonts w:hint="default" w:ascii="Times New Roman" w:hAnsi="Times New Roman" w:cs="Times New Roman"/>
          <w:b/>
          <w:bCs/>
        </w:rPr>
      </w:pPr>
      <w:r>
        <w:rPr>
          <w:rFonts w:hint="default" w:ascii="Times New Roman" w:hAnsi="Times New Roman" w:cs="Times New Roman"/>
          <w:b/>
          <w:bCs/>
          <w:lang w:eastAsia="zh-CN"/>
        </w:rPr>
        <w:t>图</w:t>
      </w:r>
      <w:r>
        <w:rPr>
          <w:rFonts w:hint="default" w:ascii="Times New Roman" w:hAnsi="Times New Roman" w:cs="Times New Roman"/>
          <w:b/>
          <w:bCs/>
          <w:lang w:val="en-US" w:eastAsia="zh-CN"/>
        </w:rPr>
        <w:t xml:space="preserve">1 </w:t>
      </w:r>
      <w:r>
        <w:rPr>
          <w:rFonts w:hint="eastAsia" w:ascii="Times New Roman" w:hAnsi="Times New Roman" w:cs="Times New Roman"/>
          <w:b/>
          <w:bCs/>
          <w:lang w:val="en-US" w:eastAsia="zh-CN"/>
        </w:rPr>
        <w:t xml:space="preserve"> </w:t>
      </w:r>
      <w:r>
        <w:rPr>
          <w:rFonts w:hint="eastAsia" w:cs="Times New Roman"/>
          <w:b/>
          <w:bCs/>
          <w:kern w:val="2"/>
          <w:sz w:val="21"/>
          <w:szCs w:val="21"/>
          <w:highlight w:val="none"/>
          <w:lang w:val="en-US" w:eastAsia="zh-CN" w:bidi="zh-CN"/>
        </w:rPr>
        <w:t>BDL/M方案</w:t>
      </w:r>
      <w:r>
        <w:rPr>
          <w:rFonts w:hint="default" w:ascii="Times New Roman" w:hAnsi="Times New Roman" w:cs="Times New Roman"/>
          <w:b/>
          <w:bCs/>
        </w:rPr>
        <w:t>研究</w:t>
      </w:r>
      <w:r>
        <w:rPr>
          <w:rFonts w:hint="eastAsia" w:ascii="Times New Roman" w:hAnsi="Times New Roman" w:cs="Times New Roman"/>
          <w:b/>
          <w:bCs/>
          <w:lang w:val="en-US" w:eastAsia="zh-CN"/>
        </w:rPr>
        <w:t>路线</w:t>
      </w:r>
      <w:r>
        <w:rPr>
          <w:rFonts w:hint="default" w:ascii="Times New Roman" w:hAnsi="Times New Roman" w:cs="Times New Roman"/>
          <w:b/>
          <w:bCs/>
        </w:rPr>
        <w:t>图</w:t>
      </w:r>
    </w:p>
    <w:p w14:paraId="4C8D3ADE">
      <w:pPr>
        <w:pStyle w:val="5"/>
        <w:jc w:val="center"/>
        <w:rPr>
          <w:rFonts w:hint="default" w:ascii="Times New Roman" w:hAnsi="Times New Roman" w:cs="Times New Roman"/>
          <w:b/>
          <w:bCs/>
        </w:rPr>
      </w:pPr>
    </w:p>
    <w:p w14:paraId="1386F020">
      <w:pPr>
        <w:pStyle w:val="2"/>
        <w:spacing w:line="240" w:lineRule="auto"/>
        <w:jc w:val="center"/>
        <w:rPr>
          <w:rFonts w:hint="default" w:ascii="Times New Roman" w:hAnsi="Times New Roman" w:eastAsia="宋体" w:cs="Times New Roman"/>
          <w:b/>
          <w:bCs/>
          <w:kern w:val="2"/>
          <w:sz w:val="21"/>
          <w:szCs w:val="21"/>
          <w:highlight w:val="none"/>
          <w:lang w:val="zh-CN" w:eastAsia="zh-CN" w:bidi="zh-CN"/>
        </w:rPr>
      </w:pPr>
      <w:r>
        <w:rPr>
          <w:rFonts w:hint="default" w:ascii="Times New Roman" w:hAnsi="Times New Roman" w:eastAsia="宋体" w:cs="Times New Roman"/>
          <w:b/>
          <w:bCs/>
          <w:kern w:val="2"/>
          <w:sz w:val="21"/>
          <w:szCs w:val="21"/>
          <w:highlight w:val="none"/>
          <w:lang w:val="zh-CN" w:eastAsia="zh-CN" w:bidi="zh-CN"/>
        </w:rPr>
        <w:t>表</w:t>
      </w:r>
      <w:r>
        <w:rPr>
          <w:rFonts w:hint="default" w:ascii="Times New Roman" w:hAnsi="Times New Roman" w:eastAsia="宋体" w:cs="Times New Roman"/>
          <w:b/>
          <w:bCs/>
          <w:kern w:val="2"/>
          <w:sz w:val="21"/>
          <w:szCs w:val="21"/>
          <w:highlight w:val="none"/>
          <w:lang w:val="en-US" w:eastAsia="zh-CN" w:bidi="zh-CN"/>
        </w:rPr>
        <w:t>1</w:t>
      </w:r>
      <w:r>
        <w:rPr>
          <w:rFonts w:hint="default" w:ascii="Times New Roman" w:hAnsi="Times New Roman" w:eastAsia="宋体" w:cs="Times New Roman"/>
          <w:b/>
          <w:bCs/>
          <w:kern w:val="2"/>
          <w:sz w:val="21"/>
          <w:szCs w:val="21"/>
          <w:highlight w:val="none"/>
          <w:lang w:val="zh-CN" w:eastAsia="zh-CN" w:bidi="zh-CN"/>
        </w:rPr>
        <w:t xml:space="preserve"> </w:t>
      </w:r>
      <w:r>
        <w:rPr>
          <w:rFonts w:hint="eastAsia" w:cs="Times New Roman"/>
          <w:b/>
          <w:bCs/>
          <w:kern w:val="2"/>
          <w:sz w:val="21"/>
          <w:szCs w:val="21"/>
          <w:highlight w:val="none"/>
          <w:lang w:val="en-US" w:eastAsia="zh-CN" w:bidi="zh-CN"/>
        </w:rPr>
        <w:t xml:space="preserve"> BDL/M方案</w:t>
      </w:r>
      <w:r>
        <w:rPr>
          <w:rFonts w:hint="default" w:ascii="Times New Roman" w:hAnsi="Times New Roman" w:eastAsia="宋体" w:cs="Times New Roman"/>
          <w:b/>
          <w:bCs/>
          <w:kern w:val="2"/>
          <w:sz w:val="21"/>
          <w:szCs w:val="21"/>
          <w:highlight w:val="none"/>
          <w:lang w:val="zh-CN" w:eastAsia="zh-CN" w:bidi="zh-CN"/>
        </w:rPr>
        <w:t>数据采集内容和随访计划</w:t>
      </w:r>
    </w:p>
    <w:tbl>
      <w:tblPr>
        <w:tblStyle w:val="9"/>
        <w:tblW w:w="499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2"/>
        <w:gridCol w:w="438"/>
        <w:gridCol w:w="773"/>
        <w:gridCol w:w="472"/>
        <w:gridCol w:w="472"/>
        <w:gridCol w:w="472"/>
        <w:gridCol w:w="494"/>
        <w:gridCol w:w="272"/>
        <w:gridCol w:w="494"/>
        <w:gridCol w:w="272"/>
        <w:gridCol w:w="494"/>
        <w:gridCol w:w="494"/>
        <w:gridCol w:w="494"/>
        <w:gridCol w:w="494"/>
        <w:gridCol w:w="494"/>
        <w:gridCol w:w="383"/>
        <w:gridCol w:w="328"/>
      </w:tblGrid>
      <w:tr w14:paraId="52D33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60ED19A7">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访视窗（天）</w:t>
            </w:r>
          </w:p>
        </w:tc>
        <w:tc>
          <w:tcPr>
            <w:tcW w:w="394" w:type="pct"/>
            <w:tcBorders>
              <w:top w:val="single" w:color="000000" w:sz="4" w:space="0"/>
              <w:left w:val="single" w:color="000000" w:sz="4" w:space="0"/>
              <w:bottom w:val="single" w:color="000000" w:sz="4" w:space="0"/>
              <w:right w:val="single" w:color="000000" w:sz="4" w:space="0"/>
            </w:tcBorders>
            <w:shd w:val="clear" w:color="auto" w:fill="FFC000"/>
            <w:noWrap/>
            <w:vAlign w:val="bottom"/>
          </w:tcPr>
          <w:p w14:paraId="4BCC555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FFF2CC"/>
            <w:noWrap/>
            <w:vAlign w:val="center"/>
          </w:tcPr>
          <w:p w14:paraId="46ABF8F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筛查后7天内</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28EDE4E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5"/>
                <w:szCs w:val="15"/>
                <w:u w:val="none"/>
              </w:rPr>
            </w:pPr>
            <w:r>
              <w:rPr>
                <w:rStyle w:val="20"/>
                <w:sz w:val="15"/>
                <w:szCs w:val="15"/>
                <w:lang w:val="en-US" w:eastAsia="zh-CN" w:bidi="ar"/>
              </w:rPr>
              <w:t>±3天</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3634C05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5"/>
                <w:szCs w:val="15"/>
                <w:u w:val="none"/>
              </w:rPr>
            </w:pPr>
            <w:r>
              <w:rPr>
                <w:rStyle w:val="20"/>
                <w:sz w:val="15"/>
                <w:szCs w:val="15"/>
                <w:lang w:val="en-US" w:eastAsia="zh-CN" w:bidi="ar"/>
              </w:rPr>
              <w:t>±3天</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64FA595D">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5"/>
                <w:szCs w:val="15"/>
                <w:u w:val="none"/>
              </w:rPr>
            </w:pPr>
            <w:r>
              <w:rPr>
                <w:rStyle w:val="20"/>
                <w:sz w:val="15"/>
                <w:szCs w:val="15"/>
                <w:lang w:val="en-US" w:eastAsia="zh-CN" w:bidi="ar"/>
              </w:rPr>
              <w:t>±3天</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04B51CC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5"/>
                <w:szCs w:val="15"/>
                <w:u w:val="none"/>
              </w:rPr>
            </w:pPr>
            <w:r>
              <w:rPr>
                <w:rStyle w:val="20"/>
                <w:sz w:val="15"/>
                <w:szCs w:val="15"/>
                <w:lang w:val="en-US" w:eastAsia="zh-CN" w:bidi="ar"/>
              </w:rPr>
              <w:t>±3天</w:t>
            </w:r>
          </w:p>
        </w:tc>
        <w:tc>
          <w:tcPr>
            <w:tcW w:w="887" w:type="pct"/>
            <w:gridSpan w:val="4"/>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1E1DC80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±7天</w:t>
            </w:r>
          </w:p>
        </w:tc>
        <w:tc>
          <w:tcPr>
            <w:tcW w:w="876" w:type="pct"/>
            <w:gridSpan w:val="4"/>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0FEBBB7E">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5"/>
                <w:szCs w:val="15"/>
                <w:u w:val="none"/>
              </w:rPr>
            </w:pPr>
            <w:r>
              <w:rPr>
                <w:rFonts w:hint="eastAsia" w:ascii="宋体" w:hAnsi="宋体" w:eastAsia="宋体" w:cs="宋体"/>
                <w:b/>
                <w:bCs/>
                <w:i w:val="0"/>
                <w:iCs w:val="0"/>
                <w:color w:val="000000"/>
                <w:kern w:val="0"/>
                <w:sz w:val="15"/>
                <w:szCs w:val="15"/>
                <w:u w:val="none"/>
                <w:lang w:val="en-US" w:eastAsia="zh-CN" w:bidi="ar"/>
              </w:rPr>
              <w:t>±15天</w:t>
            </w:r>
          </w:p>
        </w:tc>
        <w:tc>
          <w:tcPr>
            <w:tcW w:w="383"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2BACB27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76"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185D89F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r>
      <w:tr w14:paraId="4ECE5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4" w:hRule="atLeast"/>
        </w:trPr>
        <w:tc>
          <w:tcPr>
            <w:tcW w:w="904" w:type="pct"/>
            <w:tcBorders>
              <w:top w:val="single" w:color="000000" w:sz="4" w:space="0"/>
              <w:left w:val="single" w:color="000000" w:sz="4" w:space="0"/>
              <w:bottom w:val="single" w:color="000000" w:sz="4" w:space="0"/>
              <w:right w:val="single" w:color="000000" w:sz="4" w:space="0"/>
            </w:tcBorders>
            <w:shd w:val="clear" w:color="auto" w:fill="FFF2CC"/>
            <w:noWrap/>
            <w:vAlign w:val="bottom"/>
          </w:tcPr>
          <w:p w14:paraId="009E0111">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访视（月）</w:t>
            </w:r>
          </w:p>
        </w:tc>
        <w:tc>
          <w:tcPr>
            <w:tcW w:w="394" w:type="pct"/>
            <w:tcBorders>
              <w:top w:val="single" w:color="000000" w:sz="4" w:space="0"/>
              <w:left w:val="single" w:color="000000" w:sz="4" w:space="0"/>
              <w:bottom w:val="single" w:color="000000" w:sz="4" w:space="0"/>
              <w:right w:val="single" w:color="000000" w:sz="4" w:space="0"/>
            </w:tcBorders>
            <w:shd w:val="clear" w:color="auto" w:fill="FFC000"/>
            <w:noWrap/>
            <w:vAlign w:val="bottom"/>
          </w:tcPr>
          <w:p w14:paraId="6563B12F">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筛查</w:t>
            </w:r>
          </w:p>
        </w:tc>
        <w:tc>
          <w:tcPr>
            <w:tcW w:w="296" w:type="pct"/>
            <w:tcBorders>
              <w:top w:val="single" w:color="000000" w:sz="4" w:space="0"/>
              <w:left w:val="nil"/>
              <w:bottom w:val="single" w:color="000000" w:sz="4" w:space="0"/>
              <w:right w:val="single" w:color="000000" w:sz="4" w:space="0"/>
            </w:tcBorders>
            <w:shd w:val="clear" w:color="auto" w:fill="FFF2CC"/>
            <w:noWrap/>
            <w:vAlign w:val="center"/>
          </w:tcPr>
          <w:p w14:paraId="01F39D7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基线</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19FC953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0.5</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381844C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09F8698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1.5</w:t>
            </w:r>
          </w:p>
        </w:tc>
        <w:tc>
          <w:tcPr>
            <w:tcW w:w="22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5C38445B">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13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32435720">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w:t>
            </w:r>
          </w:p>
        </w:tc>
        <w:tc>
          <w:tcPr>
            <w:tcW w:w="313"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71BE2FA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w:t>
            </w:r>
          </w:p>
        </w:tc>
        <w:tc>
          <w:tcPr>
            <w:tcW w:w="130"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72CFE68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w:t>
            </w:r>
          </w:p>
        </w:tc>
        <w:tc>
          <w:tcPr>
            <w:tcW w:w="313" w:type="pct"/>
            <w:tcBorders>
              <w:top w:val="single" w:color="000000" w:sz="4" w:space="0"/>
              <w:left w:val="single" w:color="000000" w:sz="4" w:space="0"/>
              <w:bottom w:val="single" w:color="000000" w:sz="4" w:space="0"/>
              <w:right w:val="single" w:color="000000" w:sz="4" w:space="0"/>
            </w:tcBorders>
            <w:shd w:val="clear" w:color="auto" w:fill="FFF2CC"/>
            <w:noWrap/>
            <w:vAlign w:val="center"/>
          </w:tcPr>
          <w:p w14:paraId="53C86F5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w:t>
            </w:r>
          </w:p>
        </w:tc>
        <w:tc>
          <w:tcPr>
            <w:tcW w:w="218" w:type="pct"/>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081BC5F7">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w:t>
            </w:r>
          </w:p>
        </w:tc>
        <w:tc>
          <w:tcPr>
            <w:tcW w:w="218" w:type="pct"/>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0FDB5EF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w:t>
            </w:r>
          </w:p>
        </w:tc>
        <w:tc>
          <w:tcPr>
            <w:tcW w:w="218" w:type="pct"/>
            <w:tcBorders>
              <w:top w:val="single" w:color="000000" w:sz="4" w:space="0"/>
              <w:left w:val="nil"/>
              <w:bottom w:val="single" w:color="000000" w:sz="4" w:space="0"/>
              <w:right w:val="single" w:color="000000" w:sz="4" w:space="0"/>
            </w:tcBorders>
            <w:shd w:val="clear" w:color="auto" w:fill="FFC000"/>
            <w:noWrap/>
            <w:vAlign w:val="center"/>
          </w:tcPr>
          <w:p w14:paraId="2AC358E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15</w:t>
            </w:r>
          </w:p>
        </w:tc>
        <w:tc>
          <w:tcPr>
            <w:tcW w:w="220" w:type="pct"/>
            <w:tcBorders>
              <w:top w:val="single" w:color="000000" w:sz="4" w:space="0"/>
              <w:left w:val="single" w:color="000000" w:sz="4" w:space="0"/>
              <w:bottom w:val="single" w:color="000000" w:sz="4" w:space="0"/>
              <w:right w:val="single" w:color="000000" w:sz="4" w:space="0"/>
            </w:tcBorders>
            <w:shd w:val="clear" w:color="auto" w:fill="FFC000"/>
            <w:noWrap/>
            <w:vAlign w:val="center"/>
          </w:tcPr>
          <w:p w14:paraId="05C0F21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18</w:t>
            </w:r>
          </w:p>
        </w:tc>
        <w:tc>
          <w:tcPr>
            <w:tcW w:w="383" w:type="pct"/>
            <w:tcBorders>
              <w:top w:val="single" w:color="000000" w:sz="4" w:space="0"/>
              <w:left w:val="single" w:color="000000" w:sz="4" w:space="0"/>
              <w:bottom w:val="single" w:color="000000" w:sz="4" w:space="0"/>
              <w:right w:val="single" w:color="000000" w:sz="4" w:space="0"/>
            </w:tcBorders>
            <w:shd w:val="clear" w:color="auto" w:fill="FFF2CC"/>
            <w:vAlign w:val="center"/>
          </w:tcPr>
          <w:p w14:paraId="3225279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判断为有可能治疗反应欠佳时</w:t>
            </w:r>
          </w:p>
        </w:tc>
        <w:tc>
          <w:tcPr>
            <w:tcW w:w="376" w:type="pct"/>
            <w:tcBorders>
              <w:top w:val="single" w:color="000000" w:sz="4" w:space="0"/>
              <w:left w:val="single" w:color="000000" w:sz="4" w:space="0"/>
              <w:bottom w:val="single" w:color="000000" w:sz="4" w:space="0"/>
              <w:right w:val="single" w:color="000000" w:sz="4" w:space="0"/>
            </w:tcBorders>
            <w:shd w:val="clear" w:color="auto" w:fill="FFF2CC"/>
            <w:vAlign w:val="center"/>
          </w:tcPr>
          <w:p w14:paraId="63E61F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提前终止治疗后的访视</w:t>
            </w:r>
          </w:p>
        </w:tc>
      </w:tr>
      <w:tr w14:paraId="15A25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79F0FAAD">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知情同意</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5859A2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5BE00D7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3235AF">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AB0A2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4C4D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675D9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9C38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209C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EAF5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6E3F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3F9B504C">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21405AE">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ABDD061">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A7AEA">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282E04C1">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61064E6F">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26A77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6A03308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纳入/排除</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F27348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23D763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84CBA6">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F9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14AFF">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0C450">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46917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BC9D3">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19CBC">
            <w:pPr>
              <w:keepNext w:val="0"/>
              <w:keepLines w:val="0"/>
              <w:suppressLineNumbers w:val="0"/>
              <w:spacing w:before="0" w:beforeAutospacing="0" w:after="0" w:afterAutospacing="0"/>
              <w:ind w:left="0" w:right="0"/>
              <w:jc w:val="center"/>
              <w:rPr>
                <w:rFonts w:hint="eastAsia" w:ascii="微软雅黑" w:hAnsi="微软雅黑" w:eastAsia="微软雅黑" w:cs="微软雅黑"/>
                <w:b/>
                <w:bCs/>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6F570F">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466A3CD">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EB2EB5A">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56BE992F">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4DD31">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21134366">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78AF3295">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6A007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6BF6129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人口学资料，医疗史</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08D671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0B98F98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55275">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AE6A7">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7FE33">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61273">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4AECFF">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E6257A">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FE621B">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73D2C5">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AAE16EF">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08B4E513">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7BC8EA2">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0509E">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76E0B435">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27D18AA2">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13B9A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2D2C15A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联系方式</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0296AF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1B8FBA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3389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B3FF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137F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B2CC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D5C2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D9D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E22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8A5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9A119D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23F6E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0FEEB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D7F0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77B991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5379F3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r>
      <w:tr w14:paraId="3586F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7B90E10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间歇来诊的病史回顾</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D20C57A">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2AF8AA0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121CA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FB5E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61350">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A684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ED773">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73390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CF70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CBCD5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FE31E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7735A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3879E6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724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4FF3FE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21D261B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2BA6C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1DE42C3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症状</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1A229C1F">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19FB420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F41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F6EA4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A16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50F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5FAB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343B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E3CE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16AD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041AED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F88AD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F8697E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E283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3F0BCD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653BC17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r>
      <w:tr w14:paraId="5B21D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2F5021D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合并症的伴随用药</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71C2FF08">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234673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CC1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EA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825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0673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A0B0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291D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9EC4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F9FF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C4104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08A954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5A0532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7D6B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64A3B1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5AE174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r>
      <w:tr w14:paraId="6424D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380F83D9">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身高</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546B1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73405FD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77AA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0217D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65260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3C152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2B51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3DBFD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D334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5D91F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FBCAEF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1222219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BB5C4E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70BBC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4F7F50C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108B074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4A55C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1CC9E677">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体重(kg)</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3BEDB3B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374ABF2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F3E5A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16A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94F0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28F4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572E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5F4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1EDB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906B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59C5A0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1175FE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545592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273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2DF2229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58C5B5E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r>
      <w:tr w14:paraId="33F16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500A53C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视力</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3E9413F">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4F0325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333EF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3F91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4AD8F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20D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059193">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45FAF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0040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5CA9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093EC2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504E8C3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FB4B06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D753A">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1A526E8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72A32023">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0F2A6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03CBA94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周围神经病筛查</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5E6210E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745B7C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CF4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E8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3F4B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7FDB0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34F1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4509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883C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6A8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DA776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7FD151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0E5F01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564C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072C648A">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58221A9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08917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53F34CA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抑郁和焦虑量表</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498BE5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1B0C698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9F9E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D38C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BB3B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FA80C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4911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AEED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760ED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AEBC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38337AE5">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3ADAB314">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F205367">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1CDC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3EA302E1">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249707D5">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60DE8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35987EB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生活质量评估表</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77B1CB22">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602A35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067E9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949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9FC7E">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AB8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3A1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22A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6AC41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27C1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8A77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D9C3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9DEB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FC99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11C7E2D9">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4A85FDCA">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38C37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51F587E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HIV检测</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34E38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3EFCCC9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5B72B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60A1C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36D6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EBA23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EFA1F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8423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CEF0C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13642">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91DF63F">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0B2CEED">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1971F773">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1966D">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1F97D1A4">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61A0BD8C">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607D8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0D1E687F">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Style w:val="21"/>
                <w:sz w:val="13"/>
                <w:szCs w:val="13"/>
                <w:lang w:val="en-US" w:eastAsia="zh-CN" w:bidi="ar"/>
              </w:rPr>
              <w:t>尿</w:t>
            </w:r>
            <w:r>
              <w:rPr>
                <w:rStyle w:val="22"/>
                <w:rFonts w:hint="default"/>
                <w:sz w:val="11"/>
                <w:szCs w:val="11"/>
                <w:lang w:val="en-US" w:eastAsia="zh-CN" w:bidi="ar"/>
              </w:rPr>
              <w:t>HCG</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307B9A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514D394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F85A3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4C432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285E3">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BA6DE">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A43B7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AE9C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ED93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256FEA">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8AEC793">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C3D1419">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5C1E889">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854218">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0F070B3C">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1DEC83E4">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4D4CE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1685F33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糖尿病筛查</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073D2D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7D3A7340">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90A7E">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F869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3098F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3637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EB3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5D64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5D99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3C4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D17B56D">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33380838">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C84CED3">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E515B">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203FE10C">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4A025B25">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78393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4290AE2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随机分组</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022BE02">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nil"/>
              <w:left w:val="nil"/>
              <w:bottom w:val="nil"/>
              <w:right w:val="nil"/>
            </w:tcBorders>
            <w:shd w:val="clear" w:color="auto" w:fill="auto"/>
            <w:noWrap/>
            <w:vAlign w:val="center"/>
          </w:tcPr>
          <w:p w14:paraId="5423C66D">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359A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BA9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E3E3E">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8C83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8A54E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13D21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A748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nil"/>
              <w:bottom w:val="single" w:color="000000" w:sz="4" w:space="0"/>
              <w:right w:val="single" w:color="000000" w:sz="4" w:space="0"/>
            </w:tcBorders>
            <w:shd w:val="clear" w:color="auto" w:fill="auto"/>
            <w:noWrap/>
            <w:vAlign w:val="center"/>
          </w:tcPr>
          <w:p w14:paraId="713556F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A549FD8">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39AB6E42">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375EBE6">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6D21D">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0291EE75">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4B747369">
            <w:pPr>
              <w:keepNext w:val="0"/>
              <w:keepLines w:val="0"/>
              <w:suppressLineNumbers w:val="0"/>
              <w:spacing w:before="0" w:beforeAutospacing="0" w:after="0" w:afterAutospacing="0"/>
              <w:ind w:left="0" w:right="0"/>
              <w:rPr>
                <w:rFonts w:hint="eastAsia" w:ascii="宋体" w:hAnsi="宋体" w:eastAsia="宋体" w:cs="宋体"/>
                <w:i w:val="0"/>
                <w:iCs w:val="0"/>
                <w:color w:val="000000"/>
                <w:sz w:val="15"/>
                <w:szCs w:val="15"/>
                <w:u w:val="none"/>
              </w:rPr>
            </w:pPr>
          </w:p>
        </w:tc>
      </w:tr>
      <w:tr w14:paraId="01E30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42FE31DB">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痰涂片和痰培养</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12F2F9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4818BB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C0A1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B9F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6E4F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7E06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C892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F6B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4CB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8AC9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C9D85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1BC7D8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0DDC25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0E196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5AF3AD9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XXX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6420CDA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70198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7576C18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快速分子药敏（如有）</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069616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008E08F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43A02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375A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90F58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55BF8E">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CFAF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3C63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3280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258C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1C8604C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FF74A3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E4E92B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2932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3AC48B3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3C6307E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6FBC3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29A250C3">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表型药敏检测</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3A9176CF">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3CCD88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87BE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7E9E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BBD02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C6D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2CDB3E">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65E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7452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877C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C24D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DAF8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8D70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D45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5"/>
                <w:szCs w:val="15"/>
                <w:u w:val="none"/>
              </w:rPr>
            </w:pPr>
            <w:r>
              <w:rPr>
                <w:rFonts w:hint="eastAsia" w:ascii="宋体" w:hAnsi="宋体" w:eastAsia="宋体" w:cs="宋体"/>
                <w:i w:val="0"/>
                <w:iCs w:val="0"/>
                <w:color w:val="000000"/>
                <w:kern w:val="0"/>
                <w:sz w:val="15"/>
                <w:szCs w:val="15"/>
                <w:u w:val="none"/>
                <w:lang w:val="en-US" w:eastAsia="zh-CN" w:bidi="ar"/>
              </w:rPr>
              <w:t>如必要</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2D60DB5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323651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2F167F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2D8524E0">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菌株储存（如有）</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ED9DE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222070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0F3B5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3D6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C6F0F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3E2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DE7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D3C89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BFF1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E90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1DD28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CEBD7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0B541E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79879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47B9ED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3052A01E">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2E6C6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6"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vAlign w:val="center"/>
          </w:tcPr>
          <w:p w14:paraId="1E18FB55">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储存血、尿、便、呼出气样本（如有）</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070E2543">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6C41FB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EA1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81E00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24267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F39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320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00F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1A0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F3A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7050E9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6DD83E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6D908A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E18E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17100F3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4514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r>
      <w:tr w14:paraId="7C413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3483521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血常规、肝肾功能、电解质</w:t>
            </w:r>
          </w:p>
        </w:tc>
        <w:tc>
          <w:tcPr>
            <w:tcW w:w="394" w:type="pct"/>
            <w:tcBorders>
              <w:top w:val="single" w:color="000000" w:sz="4" w:space="0"/>
              <w:left w:val="single" w:color="000000" w:sz="4" w:space="0"/>
              <w:bottom w:val="single" w:color="000000" w:sz="4" w:space="0"/>
              <w:right w:val="single" w:color="000000" w:sz="4" w:space="0"/>
            </w:tcBorders>
            <w:shd w:val="clear" w:color="auto" w:fill="E2EFDA"/>
            <w:vAlign w:val="center"/>
          </w:tcPr>
          <w:p w14:paraId="6062579D">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75F51E1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D688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D8C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4FC4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E723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E4E8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7F0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98451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518F4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17C4A9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7041A0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01B0C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7AC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7194D40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02C910E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78A8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18A006DE">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尿常规</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7FEBA10E">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105E46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7B690">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FC78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D9BEA">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03EA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8A4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64A5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8ADC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F376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033E28E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62528EE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06860FC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36F9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2E6163FA">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21F00E1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7FF75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448C0BA8">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胸部CT</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A94DA2E">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0FAD672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8782CA">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519CA0">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3627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4D1C4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6FC2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8894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67EBA">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AA95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036D64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16A143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5101117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BCB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6CE601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45481BC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r>
      <w:tr w14:paraId="45A0A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01F9C19C">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心电图</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2C4E0E2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20C6C970">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9FC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EC5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A16F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18FB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D505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C32B9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D206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16AD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4FAB432A">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2C61DE7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single" w:color="000000" w:sz="4" w:space="0"/>
              <w:right w:val="single" w:color="000000" w:sz="4" w:space="0"/>
            </w:tcBorders>
            <w:shd w:val="clear" w:color="auto" w:fill="auto"/>
            <w:noWrap/>
            <w:vAlign w:val="center"/>
          </w:tcPr>
          <w:p w14:paraId="03D688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60319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83" w:type="pct"/>
            <w:tcBorders>
              <w:top w:val="single" w:color="000000" w:sz="4" w:space="0"/>
              <w:left w:val="nil"/>
              <w:bottom w:val="single" w:color="000000" w:sz="4" w:space="0"/>
              <w:right w:val="single" w:color="000000" w:sz="4" w:space="0"/>
            </w:tcBorders>
            <w:shd w:val="clear" w:color="auto" w:fill="auto"/>
            <w:noWrap/>
            <w:vAlign w:val="center"/>
          </w:tcPr>
          <w:p w14:paraId="340F00B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single" w:color="000000" w:sz="4" w:space="0"/>
              <w:right w:val="single" w:color="000000" w:sz="4" w:space="0"/>
            </w:tcBorders>
            <w:shd w:val="clear" w:color="auto" w:fill="auto"/>
            <w:noWrap/>
            <w:vAlign w:val="center"/>
          </w:tcPr>
          <w:p w14:paraId="4385525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075EC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nil"/>
              <w:right w:val="single" w:color="000000" w:sz="4" w:space="0"/>
            </w:tcBorders>
            <w:shd w:val="clear" w:color="auto" w:fill="E2EFD9"/>
            <w:noWrap/>
            <w:vAlign w:val="center"/>
          </w:tcPr>
          <w:p w14:paraId="42DA6E74">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肝脏B超</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12CC62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X</w:t>
            </w:r>
          </w:p>
        </w:tc>
        <w:tc>
          <w:tcPr>
            <w:tcW w:w="296" w:type="pct"/>
            <w:tcBorders>
              <w:top w:val="single" w:color="000000" w:sz="4" w:space="0"/>
              <w:left w:val="nil"/>
              <w:bottom w:val="nil"/>
              <w:right w:val="single" w:color="000000" w:sz="4" w:space="0"/>
            </w:tcBorders>
            <w:shd w:val="clear" w:color="auto" w:fill="auto"/>
            <w:noWrap/>
            <w:vAlign w:val="center"/>
          </w:tcPr>
          <w:p w14:paraId="3782A0D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nil"/>
              <w:right w:val="single" w:color="000000" w:sz="4" w:space="0"/>
            </w:tcBorders>
            <w:shd w:val="clear" w:color="auto" w:fill="auto"/>
            <w:noWrap/>
            <w:vAlign w:val="center"/>
          </w:tcPr>
          <w:p w14:paraId="7AF0839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nil"/>
              <w:right w:val="single" w:color="000000" w:sz="4" w:space="0"/>
            </w:tcBorders>
            <w:shd w:val="clear" w:color="auto" w:fill="auto"/>
            <w:noWrap/>
            <w:vAlign w:val="center"/>
          </w:tcPr>
          <w:p w14:paraId="6AC07A5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nil"/>
              <w:right w:val="single" w:color="000000" w:sz="4" w:space="0"/>
            </w:tcBorders>
            <w:shd w:val="clear" w:color="auto" w:fill="auto"/>
            <w:noWrap/>
            <w:vAlign w:val="center"/>
          </w:tcPr>
          <w:p w14:paraId="7E30C1B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nil"/>
              <w:right w:val="single" w:color="000000" w:sz="4" w:space="0"/>
            </w:tcBorders>
            <w:shd w:val="clear" w:color="auto" w:fill="auto"/>
            <w:noWrap/>
            <w:vAlign w:val="center"/>
          </w:tcPr>
          <w:p w14:paraId="3E456DF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nil"/>
              <w:right w:val="single" w:color="000000" w:sz="4" w:space="0"/>
            </w:tcBorders>
            <w:shd w:val="clear" w:color="auto" w:fill="auto"/>
            <w:noWrap/>
            <w:vAlign w:val="center"/>
          </w:tcPr>
          <w:p w14:paraId="711A2046">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nil"/>
              <w:right w:val="single" w:color="000000" w:sz="4" w:space="0"/>
            </w:tcBorders>
            <w:shd w:val="clear" w:color="auto" w:fill="auto"/>
            <w:noWrap/>
            <w:vAlign w:val="center"/>
          </w:tcPr>
          <w:p w14:paraId="3D1B8C3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0" w:type="pct"/>
            <w:tcBorders>
              <w:top w:val="single" w:color="000000" w:sz="4" w:space="0"/>
              <w:left w:val="single" w:color="000000" w:sz="4" w:space="0"/>
              <w:bottom w:val="nil"/>
              <w:right w:val="single" w:color="000000" w:sz="4" w:space="0"/>
            </w:tcBorders>
            <w:shd w:val="clear" w:color="auto" w:fill="auto"/>
            <w:noWrap/>
            <w:vAlign w:val="center"/>
          </w:tcPr>
          <w:p w14:paraId="0560A76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13" w:type="pct"/>
            <w:tcBorders>
              <w:top w:val="single" w:color="000000" w:sz="4" w:space="0"/>
              <w:left w:val="single" w:color="000000" w:sz="4" w:space="0"/>
              <w:bottom w:val="nil"/>
              <w:right w:val="single" w:color="000000" w:sz="4" w:space="0"/>
            </w:tcBorders>
            <w:shd w:val="clear" w:color="auto" w:fill="auto"/>
            <w:noWrap/>
            <w:vAlign w:val="center"/>
          </w:tcPr>
          <w:p w14:paraId="0FA0613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nil"/>
              <w:right w:val="single" w:color="000000" w:sz="4" w:space="0"/>
            </w:tcBorders>
            <w:shd w:val="clear" w:color="auto" w:fill="auto"/>
            <w:noWrap/>
            <w:vAlign w:val="center"/>
          </w:tcPr>
          <w:p w14:paraId="0A960492">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nil"/>
              <w:right w:val="single" w:color="000000" w:sz="4" w:space="0"/>
            </w:tcBorders>
            <w:shd w:val="clear" w:color="auto" w:fill="auto"/>
            <w:noWrap/>
            <w:vAlign w:val="center"/>
          </w:tcPr>
          <w:p w14:paraId="0274C20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18" w:type="pct"/>
            <w:tcBorders>
              <w:top w:val="single" w:color="000000" w:sz="4" w:space="0"/>
              <w:left w:val="nil"/>
              <w:bottom w:val="nil"/>
              <w:right w:val="single" w:color="000000" w:sz="4" w:space="0"/>
            </w:tcBorders>
            <w:shd w:val="clear" w:color="auto" w:fill="auto"/>
            <w:noWrap/>
            <w:vAlign w:val="center"/>
          </w:tcPr>
          <w:p w14:paraId="2663A294">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20" w:type="pct"/>
            <w:tcBorders>
              <w:top w:val="single" w:color="000000" w:sz="4" w:space="0"/>
              <w:left w:val="single" w:color="000000" w:sz="4" w:space="0"/>
              <w:bottom w:val="nil"/>
              <w:right w:val="single" w:color="000000" w:sz="4" w:space="0"/>
            </w:tcBorders>
            <w:shd w:val="clear" w:color="auto" w:fill="auto"/>
            <w:noWrap/>
            <w:vAlign w:val="center"/>
          </w:tcPr>
          <w:p w14:paraId="0AC83D1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83" w:type="pct"/>
            <w:tcBorders>
              <w:top w:val="single" w:color="000000" w:sz="4" w:space="0"/>
              <w:left w:val="nil"/>
              <w:bottom w:val="nil"/>
              <w:right w:val="single" w:color="000000" w:sz="4" w:space="0"/>
            </w:tcBorders>
            <w:shd w:val="clear" w:color="auto" w:fill="auto"/>
            <w:noWrap/>
            <w:vAlign w:val="center"/>
          </w:tcPr>
          <w:p w14:paraId="0A90D4C1">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nil"/>
              <w:bottom w:val="nil"/>
              <w:right w:val="single" w:color="000000" w:sz="4" w:space="0"/>
            </w:tcBorders>
            <w:shd w:val="clear" w:color="auto" w:fill="auto"/>
            <w:noWrap/>
            <w:vAlign w:val="center"/>
          </w:tcPr>
          <w:p w14:paraId="7A0C1E9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14:paraId="785FF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904" w:type="pct"/>
            <w:tcBorders>
              <w:top w:val="single" w:color="000000" w:sz="4" w:space="0"/>
              <w:left w:val="single" w:color="000000" w:sz="4" w:space="0"/>
              <w:bottom w:val="single" w:color="000000" w:sz="4" w:space="0"/>
              <w:right w:val="single" w:color="000000" w:sz="4" w:space="0"/>
            </w:tcBorders>
            <w:shd w:val="clear" w:color="auto" w:fill="E2EFD9"/>
            <w:noWrap/>
            <w:vAlign w:val="center"/>
          </w:tcPr>
          <w:p w14:paraId="4FD1E93A">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3"/>
                <w:szCs w:val="13"/>
                <w:u w:val="none"/>
              </w:rPr>
            </w:pPr>
            <w:r>
              <w:rPr>
                <w:rFonts w:hint="eastAsia" w:ascii="宋体" w:hAnsi="宋体" w:eastAsia="宋体" w:cs="宋体"/>
                <w:b/>
                <w:bCs/>
                <w:i w:val="0"/>
                <w:iCs w:val="0"/>
                <w:color w:val="000000"/>
                <w:kern w:val="0"/>
                <w:sz w:val="13"/>
                <w:szCs w:val="13"/>
                <w:u w:val="none"/>
                <w:lang w:val="en-US" w:eastAsia="zh-CN" w:bidi="ar"/>
              </w:rPr>
              <w:t>不良事件</w:t>
            </w:r>
          </w:p>
        </w:tc>
        <w:tc>
          <w:tcPr>
            <w:tcW w:w="394" w:type="pct"/>
            <w:tcBorders>
              <w:top w:val="single" w:color="000000" w:sz="4" w:space="0"/>
              <w:left w:val="single" w:color="000000" w:sz="4" w:space="0"/>
              <w:bottom w:val="single" w:color="000000" w:sz="4" w:space="0"/>
              <w:right w:val="single" w:color="000000" w:sz="4" w:space="0"/>
            </w:tcBorders>
            <w:shd w:val="clear" w:color="auto" w:fill="E2EFDA"/>
            <w:noWrap/>
            <w:vAlign w:val="center"/>
          </w:tcPr>
          <w:p w14:paraId="01946AD9">
            <w:pPr>
              <w:keepNext w:val="0"/>
              <w:keepLines w:val="0"/>
              <w:suppressLineNumbers w:val="0"/>
              <w:spacing w:before="0" w:beforeAutospacing="0" w:after="0" w:afterAutospacing="0"/>
              <w:ind w:left="0" w:right="0"/>
              <w:jc w:val="left"/>
              <w:rPr>
                <w:rFonts w:hint="eastAsia" w:ascii="宋体" w:hAnsi="宋体" w:eastAsia="宋体" w:cs="宋体"/>
                <w:b/>
                <w:bCs/>
                <w:i w:val="0"/>
                <w:iCs w:val="0"/>
                <w:color w:val="000000"/>
                <w:sz w:val="18"/>
                <w:szCs w:val="18"/>
                <w:u w:val="none"/>
              </w:rPr>
            </w:pPr>
          </w:p>
        </w:tc>
        <w:tc>
          <w:tcPr>
            <w:tcW w:w="296" w:type="pct"/>
            <w:tcBorders>
              <w:top w:val="single" w:color="000000" w:sz="4" w:space="0"/>
              <w:left w:val="nil"/>
              <w:bottom w:val="single" w:color="000000" w:sz="4" w:space="0"/>
              <w:right w:val="single" w:color="000000" w:sz="4" w:space="0"/>
            </w:tcBorders>
            <w:shd w:val="clear" w:color="auto" w:fill="auto"/>
            <w:noWrap/>
            <w:vAlign w:val="center"/>
          </w:tcPr>
          <w:p w14:paraId="1653EB6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9B436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756A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2E6E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F0CB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829D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A8D7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13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83D2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1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96D8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2FCC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8711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1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D01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2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F56E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c>
          <w:tcPr>
            <w:tcW w:w="3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39D567">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3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EADF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X</w:t>
            </w:r>
          </w:p>
        </w:tc>
      </w:tr>
    </w:tbl>
    <w:p w14:paraId="6674E790">
      <w:pPr>
        <w:pStyle w:val="4"/>
        <w:spacing w:before="80" w:line="360" w:lineRule="auto"/>
        <w:ind w:right="317"/>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a.一个月按照30天计算。</w:t>
      </w:r>
    </w:p>
    <w:p w14:paraId="6599DBD6">
      <w:pPr>
        <w:pStyle w:val="4"/>
        <w:spacing w:before="80" w:line="360" w:lineRule="auto"/>
        <w:ind w:right="317"/>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b.神经损伤采用两种形式：询问主观症状（较简单）和密歇根神经病变筛查表（较复杂）。建议每次复诊时都询问主观症状，必要时需填写量表；同时，规定治疗期第0、2、4、6、9月时必须填写量表，以防漏诊。</w:t>
      </w:r>
    </w:p>
    <w:p w14:paraId="60033990">
      <w:pPr>
        <w:pStyle w:val="4"/>
        <w:spacing w:before="80" w:line="360" w:lineRule="auto"/>
        <w:ind w:right="317"/>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c.抑郁量表采用抑郁自评量表（Self-rating depression scale，SDS）;焦虑量表采用焦虑自评量表（Self-rating Anxiety Scale, SAS）。</w:t>
      </w:r>
    </w:p>
    <w:p w14:paraId="0463C7BB">
      <w:pPr>
        <w:pStyle w:val="4"/>
        <w:spacing w:before="80" w:line="360" w:lineRule="auto"/>
        <w:ind w:right="317"/>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d.使用贝达喹啉后1周，可行一次心电图检测。</w:t>
      </w:r>
    </w:p>
    <w:p w14:paraId="764E2F5D">
      <w:pPr>
        <w:pStyle w:val="4"/>
        <w:spacing w:before="80" w:line="360" w:lineRule="auto"/>
        <w:ind w:right="317"/>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e.HbA1C 是首选检测。如果无法进行此检测，则可以测量空腹或随机血糖。</w:t>
      </w:r>
    </w:p>
    <w:p w14:paraId="113A093E">
      <w:pPr>
        <w:pStyle w:val="4"/>
        <w:spacing w:before="80" w:line="360" w:lineRule="auto"/>
        <w:ind w:right="317"/>
        <w:rPr>
          <w:rFonts w:hint="default" w:ascii="Times New Roman" w:hAnsi="Times New Roman" w:cs="Times New Roman"/>
          <w:sz w:val="21"/>
          <w:szCs w:val="21"/>
          <w:highlight w:val="none"/>
          <w:lang w:val="en-US" w:eastAsia="zh-CN"/>
        </w:rPr>
      </w:pPr>
    </w:p>
    <w:p w14:paraId="15B44E2B">
      <w:pPr>
        <w:pStyle w:val="4"/>
        <w:spacing w:before="80" w:line="360" w:lineRule="auto"/>
        <w:ind w:right="317"/>
        <w:outlineLvl w:val="2"/>
        <w:rPr>
          <w:rFonts w:hint="default" w:ascii="Times New Roman" w:hAnsi="Times New Roman" w:eastAsia="宋体" w:cs="Times New Roman"/>
          <w:b/>
          <w:bCs/>
          <w:sz w:val="24"/>
          <w:szCs w:val="24"/>
          <w:highlight w:val="none"/>
        </w:rPr>
      </w:pPr>
      <w:r>
        <w:rPr>
          <w:rFonts w:hint="default" w:ascii="Times New Roman" w:hAnsi="Times New Roman" w:cs="Times New Roman"/>
          <w:b/>
          <w:bCs/>
          <w:sz w:val="24"/>
          <w:szCs w:val="24"/>
          <w:highlight w:val="none"/>
          <w:lang w:val="en-US" w:eastAsia="zh-CN"/>
        </w:rPr>
        <w:t>（三）</w:t>
      </w:r>
      <w:r>
        <w:rPr>
          <w:rFonts w:hint="default" w:ascii="Times New Roman" w:hAnsi="Times New Roman" w:eastAsia="宋体" w:cs="Times New Roman"/>
          <w:b/>
          <w:bCs/>
          <w:color w:val="000000"/>
          <w:sz w:val="24"/>
          <w:szCs w:val="24"/>
          <w:highlight w:val="none"/>
          <w:u w:val="none"/>
        </w:rPr>
        <w:t>本项目的特色与创新之处</w:t>
      </w:r>
    </w:p>
    <w:p w14:paraId="4858532A">
      <w:pPr>
        <w:pStyle w:val="4"/>
        <w:spacing w:before="80" w:line="360" w:lineRule="auto"/>
        <w:ind w:right="317"/>
        <w:rPr>
          <w:rFonts w:hint="default" w:ascii="Times New Roman" w:hAnsi="Times New Roman" w:eastAsia="宋体" w:cs="Times New Roman"/>
          <w:sz w:val="21"/>
          <w:szCs w:val="21"/>
          <w:highlight w:val="none"/>
        </w:rPr>
      </w:pPr>
      <w:r>
        <w:rPr>
          <w:rFonts w:hint="eastAsia" w:ascii="Times New Roman" w:hAnsi="Times New Roman" w:cs="Times New Roman"/>
          <w:sz w:val="21"/>
          <w:szCs w:val="21"/>
          <w:highlight w:val="none"/>
          <w:lang w:val="en-US" w:eastAsia="zh-CN"/>
        </w:rPr>
        <w:t xml:space="preserve">    </w:t>
      </w:r>
      <w:r>
        <w:rPr>
          <w:rFonts w:hint="default" w:ascii="Times New Roman" w:hAnsi="Times New Roman" w:cs="Times New Roman"/>
          <w:sz w:val="21"/>
          <w:szCs w:val="21"/>
          <w:highlight w:val="none"/>
          <w:lang w:val="en-US" w:eastAsia="zh-CN"/>
        </w:rPr>
        <w:t>在研究设计上，</w:t>
      </w:r>
      <w:r>
        <w:rPr>
          <w:rFonts w:hint="eastAsia" w:ascii="Times New Roman" w:hAnsi="Times New Roman" w:cs="Times New Roman"/>
          <w:sz w:val="21"/>
          <w:szCs w:val="21"/>
          <w:highlight w:val="none"/>
          <w:lang w:val="en-US" w:eastAsia="zh-CN"/>
        </w:rPr>
        <w:t>探索贝达喹啉、德拉马尼、利奈唑胺、莫西沙星联合方案治疗耐多药结核病的有效性和安全性</w:t>
      </w:r>
      <w:r>
        <w:rPr>
          <w:rFonts w:hint="default" w:ascii="Times New Roman" w:hAnsi="Times New Roman" w:eastAsia="宋体" w:cs="Times New Roman"/>
          <w:sz w:val="21"/>
          <w:szCs w:val="21"/>
          <w:highlight w:val="none"/>
        </w:rPr>
        <w:t>。</w:t>
      </w:r>
      <w:r>
        <w:rPr>
          <w:rFonts w:hint="eastAsia" w:ascii="Times New Roman" w:hAnsi="Times New Roman" w:cs="Times New Roman"/>
          <w:sz w:val="21"/>
          <w:szCs w:val="21"/>
          <w:highlight w:val="none"/>
          <w:lang w:eastAsia="zh-CN"/>
        </w:rPr>
        <w:t>属于</w:t>
      </w:r>
      <w:r>
        <w:rPr>
          <w:rFonts w:hint="default" w:ascii="Times New Roman" w:hAnsi="Times New Roman" w:eastAsia="宋体" w:cs="Times New Roman"/>
          <w:sz w:val="21"/>
          <w:szCs w:val="21"/>
          <w:highlight w:val="none"/>
          <w:lang w:val="en-US" w:eastAsia="zh-CN"/>
        </w:rPr>
        <w:t>国际首创</w:t>
      </w:r>
      <w:r>
        <w:rPr>
          <w:rFonts w:hint="eastAsia" w:ascii="Times New Roman" w:hAnsi="Times New Roman" w:cs="Times New Roman"/>
          <w:sz w:val="21"/>
          <w:szCs w:val="21"/>
          <w:highlight w:val="none"/>
          <w:lang w:val="en-US" w:eastAsia="zh-CN"/>
        </w:rPr>
        <w:t>。</w:t>
      </w:r>
    </w:p>
    <w:p w14:paraId="4A76DFC2">
      <w:pPr>
        <w:spacing w:line="360" w:lineRule="auto"/>
        <w:jc w:val="left"/>
        <w:rPr>
          <w:rFonts w:hint="default" w:ascii="Times New Roman" w:hAnsi="Times New Roman" w:eastAsia="宋体" w:cs="Times New Roman"/>
          <w:highlight w:val="none"/>
          <w:lang w:val="en-US" w:eastAsia="zh-CN"/>
        </w:rPr>
      </w:pPr>
    </w:p>
    <w:p w14:paraId="62E5E152">
      <w:pPr>
        <w:pStyle w:val="4"/>
        <w:spacing w:before="80" w:line="360" w:lineRule="auto"/>
        <w:ind w:right="317"/>
        <w:outlineLvl w:val="0"/>
        <w:rPr>
          <w:rFonts w:hint="default" w:ascii="Times New Roman" w:hAnsi="Times New Roman" w:eastAsia="宋体" w:cs="Times New Roman"/>
          <w:spacing w:val="-3"/>
          <w:sz w:val="28"/>
          <w:szCs w:val="28"/>
          <w:highlight w:val="none"/>
        </w:rPr>
      </w:pPr>
      <w:r>
        <w:rPr>
          <w:rFonts w:hint="eastAsia" w:ascii="Times New Roman" w:hAnsi="Times New Roman" w:cs="Times New Roman"/>
          <w:b/>
          <w:sz w:val="28"/>
          <w:szCs w:val="28"/>
          <w:highlight w:val="none"/>
          <w:lang w:val="en-US" w:eastAsia="zh-CN"/>
        </w:rPr>
        <w:t>四</w:t>
      </w:r>
      <w:r>
        <w:rPr>
          <w:rFonts w:hint="default" w:ascii="Times New Roman" w:hAnsi="Times New Roman" w:eastAsia="宋体" w:cs="Times New Roman"/>
          <w:b/>
          <w:sz w:val="28"/>
          <w:szCs w:val="28"/>
          <w:highlight w:val="none"/>
          <w:lang w:val="en-US" w:eastAsia="zh-CN"/>
        </w:rPr>
        <w:t>、</w:t>
      </w:r>
      <w:r>
        <w:rPr>
          <w:rFonts w:hint="default" w:ascii="Times New Roman" w:hAnsi="Times New Roman" w:eastAsia="宋体" w:cs="Times New Roman"/>
          <w:b/>
          <w:sz w:val="28"/>
          <w:szCs w:val="28"/>
          <w:highlight w:val="none"/>
        </w:rPr>
        <w:t>现有工作基础和条件</w:t>
      </w:r>
    </w:p>
    <w:p w14:paraId="26EC2EE9">
      <w:pPr>
        <w:pStyle w:val="4"/>
        <w:spacing w:before="80" w:line="360" w:lineRule="auto"/>
        <w:ind w:right="317"/>
        <w:outlineLvl w:val="1"/>
        <w:rPr>
          <w:rFonts w:hint="default" w:ascii="Times New Roman" w:hAnsi="Times New Roman" w:eastAsia="宋体" w:cs="Times New Roman"/>
          <w:b/>
          <w:bCs/>
          <w:spacing w:val="-7"/>
          <w:highlight w:val="none"/>
        </w:rPr>
      </w:pPr>
      <w:r>
        <w:rPr>
          <w:rFonts w:hint="default" w:ascii="Times New Roman" w:hAnsi="Times New Roman" w:eastAsia="宋体" w:cs="Times New Roman"/>
          <w:b/>
          <w:bCs/>
          <w:spacing w:val="-3"/>
          <w:highlight w:val="none"/>
          <w:lang w:val="en-US" w:eastAsia="zh-CN"/>
        </w:rPr>
        <w:t>1.</w:t>
      </w:r>
      <w:r>
        <w:rPr>
          <w:rFonts w:hint="default" w:ascii="Times New Roman" w:hAnsi="Times New Roman" w:cs="Times New Roman"/>
          <w:b/>
          <w:bCs/>
          <w:spacing w:val="-3"/>
          <w:highlight w:val="none"/>
          <w:lang w:val="en-US" w:eastAsia="zh-CN"/>
        </w:rPr>
        <w:t xml:space="preserve"> </w:t>
      </w:r>
      <w:r>
        <w:rPr>
          <w:rFonts w:hint="default" w:ascii="Times New Roman" w:hAnsi="Times New Roman" w:eastAsia="宋体" w:cs="Times New Roman"/>
          <w:b/>
          <w:bCs/>
          <w:spacing w:val="-7"/>
          <w:highlight w:val="none"/>
        </w:rPr>
        <w:t>项目组在所申报项目相关研究方面的工作基础和取得的主要研究成果</w:t>
      </w:r>
    </w:p>
    <w:p w14:paraId="40E3C4AC">
      <w:pPr>
        <w:pStyle w:val="4"/>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（1）临床研究：</w:t>
      </w:r>
    </w:p>
    <w:p w14:paraId="0FAB3E23">
      <w:pPr>
        <w:pStyle w:val="4"/>
        <w:spacing w:before="80" w:line="360" w:lineRule="auto"/>
        <w:ind w:right="317" w:firstLine="392" w:firstLineChars="200"/>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本项目组从2019年5月开始建立了耐多药结核病队列，有专职研究医生、研究护士、研究助理进行管理，有严格的管理制度和明确的随访流程。在短程方案治疗方面，本团队注册了《中国耐多药结核病全口服短程抗结核方案和宿主导向治疗的前瞻性对照临床试验》（中国临床试验注册中心注册号：ChiCTR2000032298）</w:t>
      </w:r>
      <w:r>
        <w:rPr>
          <w:rFonts w:hint="default" w:ascii="Times New Roman" w:hAnsi="Times New Roman" w:cs="Times New Roman"/>
          <w:spacing w:val="-7"/>
          <w:highlight w:val="none"/>
          <w:lang w:val="en-US" w:eastAsia="zh-CN"/>
        </w:rPr>
        <w:t>。</w:t>
      </w:r>
      <w:r>
        <w:rPr>
          <w:rFonts w:hint="default" w:ascii="Times New Roman" w:hAnsi="Times New Roman" w:eastAsia="宋体" w:cs="Times New Roman"/>
          <w:spacing w:val="-7"/>
          <w:highlight w:val="none"/>
          <w:lang w:val="en-US" w:eastAsia="zh-CN"/>
        </w:rPr>
        <w:t>2019年4月至2020年8月，我们进行了一项前瞻性非随机对照试验，在中国深圳连续纳入了诊断为MDR-TB的103例患者。治疗方案疗程为9～12个月、由4～5种药物组成，是根据菌株的耐药谱、患者的负担能力和对药物的耐受性定制的。总体患者中2个月和4个月的培养阴转率分别为83.1%和94.4%，在含贝达喹啉组和不含贝达喹啉组、FQ敏感组和FQ耐药组之间差异无统计学意义。这是一项中期分析，侧重于早期疗效和安全性。在完成治疗的41例患者中，40例（97.6%）患者预后良好且未观察到复发。周围神经病变和关节痛/肌痛是最常见的不良反应（56.3%，58/103）。有18例患者导致永久停药，主要见于吡嗪酰胺和利奈唑胺。优化的全口服短程方案在MDR-TB早期治疗阶段显示出令人满意的疗效和安全性。需要进一步的研究来证实这些结果。</w:t>
      </w:r>
    </w:p>
    <w:p w14:paraId="1DFB228E">
      <w:pPr>
        <w:pStyle w:val="4"/>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（2）发表文章：</w:t>
      </w:r>
    </w:p>
    <w:p w14:paraId="12DE14E7">
      <w:pPr>
        <w:pStyle w:val="4"/>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[1]</w:t>
      </w:r>
      <w:r>
        <w:rPr>
          <w:rFonts w:hint="default" w:ascii="Times New Roman" w:hAnsi="Times New Roman" w:eastAsia="宋体" w:cs="Times New Roman"/>
          <w:spacing w:val="-7"/>
          <w:highlight w:val="none"/>
        </w:rPr>
        <w:tab/>
      </w:r>
      <w:r>
        <w:rPr>
          <w:rFonts w:hint="default" w:ascii="Times New Roman" w:hAnsi="Times New Roman" w:eastAsia="宋体" w:cs="Times New Roman"/>
          <w:spacing w:val="-7"/>
          <w:highlight w:val="none"/>
        </w:rPr>
        <w:t>中华医学会结核病学分会. 抗结核药物性肝损伤诊治指南(2019年版)[J]. 中华结核和呼吸杂志, 2019,42(5):343-356.</w:t>
      </w:r>
    </w:p>
    <w:p w14:paraId="46BFD9F2">
      <w:pPr>
        <w:pStyle w:val="4"/>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2</w:t>
      </w:r>
      <w:r>
        <w:rPr>
          <w:rFonts w:hint="default" w:ascii="Times New Roman" w:hAnsi="Times New Roman" w:eastAsia="宋体" w:cs="Times New Roman"/>
          <w:spacing w:val="-7"/>
          <w:highlight w:val="none"/>
        </w:rPr>
        <w:t>] 中华医学会结核病学分会, 抗结核药物超说明书用法专家共识编写组. 抗结核药物超说明书用法专家共识[J]. 中华结核和呼吸杂志, 2018,41(6):447-460.</w:t>
      </w:r>
    </w:p>
    <w:p w14:paraId="5AA83E6A">
      <w:pPr>
        <w:pStyle w:val="4"/>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3</w:t>
      </w:r>
      <w:r>
        <w:rPr>
          <w:rFonts w:hint="default" w:ascii="Times New Roman" w:hAnsi="Times New Roman" w:eastAsia="宋体" w:cs="Times New Roman"/>
          <w:spacing w:val="-7"/>
          <w:highlight w:val="none"/>
        </w:rPr>
        <w:t>] 中华医学会结核病学分会, 耐多药结核病短程治疗中国专家共识编写组. 耐多药结核病短程治疗中国专家共识[J]. 中华结核和呼吸杂志, 2019,42(1):5-8.</w:t>
      </w:r>
    </w:p>
    <w:p w14:paraId="7A556FCB">
      <w:pPr>
        <w:pStyle w:val="4"/>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4</w:t>
      </w:r>
      <w:r>
        <w:rPr>
          <w:rFonts w:hint="default" w:ascii="Times New Roman" w:hAnsi="Times New Roman" w:eastAsia="宋体" w:cs="Times New Roman"/>
          <w:spacing w:val="-7"/>
          <w:highlight w:val="none"/>
        </w:rPr>
        <w:t>] 付亮, 张培泽, 邓国防, 等. 3309株结核分枝杆菌耐药情况分析[J]. 新发传染病电子杂志, 2017,2(1):31-34.</w:t>
      </w:r>
    </w:p>
    <w:p w14:paraId="1EEF7EC8">
      <w:pPr>
        <w:pStyle w:val="4"/>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5</w:t>
      </w:r>
      <w:r>
        <w:rPr>
          <w:rFonts w:hint="default" w:ascii="Times New Roman" w:hAnsi="Times New Roman" w:eastAsia="宋体" w:cs="Times New Roman"/>
          <w:spacing w:val="-7"/>
          <w:highlight w:val="none"/>
        </w:rPr>
        <w:t>] 付亮, 高静韬, 邓国防, 等. 异烟肼耐药结核病治疗指南——WHO耐药结核病治疗补充指南[J]. 国际呼吸杂志, 2018,38(24):1841-1845.</w:t>
      </w:r>
    </w:p>
    <w:p w14:paraId="06A2C686">
      <w:pPr>
        <w:pStyle w:val="4"/>
        <w:spacing w:before="80" w:line="360" w:lineRule="auto"/>
        <w:ind w:right="317"/>
        <w:rPr>
          <w:rFonts w:hint="default" w:ascii="Times New Roman" w:hAnsi="Times New Roman" w:eastAsia="宋体" w:cs="Times New Roman"/>
          <w:spacing w:val="-7"/>
          <w:highlight w:val="none"/>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6</w:t>
      </w:r>
      <w:r>
        <w:rPr>
          <w:rFonts w:hint="default" w:ascii="Times New Roman" w:hAnsi="Times New Roman" w:eastAsia="宋体" w:cs="Times New Roman"/>
          <w:spacing w:val="-7"/>
          <w:highlight w:val="none"/>
        </w:rPr>
        <w:t>] 高静韬, 王笑春, 付亮, 等. 药物敏感性肺结核治疗和患者关怀指南——2017年更新版[J]. 国际呼吸杂志, 2018(3):161-168.</w:t>
      </w:r>
    </w:p>
    <w:p w14:paraId="6810A6B5">
      <w:pPr>
        <w:pStyle w:val="4"/>
        <w:spacing w:before="80" w:line="360" w:lineRule="auto"/>
        <w:ind w:right="317"/>
        <w:rPr>
          <w:rFonts w:hint="default" w:ascii="Times New Roman" w:hAnsi="Times New Roman" w:eastAsia="宋体" w:cs="Times New Roman"/>
          <w:spacing w:val="-7"/>
          <w:highlight w:val="none"/>
          <w:lang w:eastAsia="zh-CN"/>
        </w:rPr>
      </w:pP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val="en-US" w:eastAsia="zh-CN"/>
        </w:rPr>
        <w:t>7</w:t>
      </w: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eastAsia="zh-CN"/>
        </w:rPr>
        <w:tab/>
      </w:r>
      <w:r>
        <w:rPr>
          <w:rFonts w:hint="default" w:ascii="Times New Roman" w:hAnsi="Times New Roman" w:eastAsia="宋体" w:cs="Times New Roman"/>
          <w:spacing w:val="-7"/>
          <w:highlight w:val="none"/>
          <w:lang w:eastAsia="zh-CN"/>
        </w:rPr>
        <w:t>邓国防, 张培泽, 杨敏, 等. 二线注射剂治疗耐多药结核病的现状与思考[J]. 中国防痨杂志, 2019,41(6):604-608.</w:t>
      </w:r>
    </w:p>
    <w:p w14:paraId="14A98D4E">
      <w:pPr>
        <w:pStyle w:val="4"/>
        <w:spacing w:before="80" w:line="360" w:lineRule="auto"/>
        <w:ind w:right="317"/>
        <w:rPr>
          <w:rFonts w:hint="default" w:ascii="Times New Roman" w:hAnsi="Times New Roman" w:eastAsia="宋体" w:cs="Times New Roman"/>
          <w:spacing w:val="-7"/>
          <w:highlight w:val="none"/>
          <w:lang w:eastAsia="zh-CN"/>
        </w:rPr>
      </w:pP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val="en-US" w:eastAsia="zh-CN"/>
        </w:rPr>
        <w:t>8</w:t>
      </w:r>
      <w:r>
        <w:rPr>
          <w:rFonts w:hint="default" w:ascii="Times New Roman" w:hAnsi="Times New Roman" w:eastAsia="宋体" w:cs="Times New Roman"/>
          <w:spacing w:val="-7"/>
          <w:highlight w:val="none"/>
          <w:lang w:eastAsia="zh-CN"/>
        </w:rPr>
        <w:t>]</w:t>
      </w:r>
      <w:r>
        <w:rPr>
          <w:rFonts w:hint="default" w:ascii="Times New Roman" w:hAnsi="Times New Roman" w:eastAsia="宋体" w:cs="Times New Roman"/>
          <w:spacing w:val="-7"/>
          <w:highlight w:val="none"/>
          <w:lang w:eastAsia="zh-CN"/>
        </w:rPr>
        <w:tab/>
      </w:r>
      <w:r>
        <w:rPr>
          <w:rFonts w:hint="default" w:ascii="Times New Roman" w:hAnsi="Times New Roman" w:eastAsia="宋体" w:cs="Times New Roman"/>
          <w:spacing w:val="-7"/>
          <w:highlight w:val="none"/>
          <w:lang w:eastAsia="zh-CN"/>
        </w:rPr>
        <w:t>邓国防, 付亮, 张国良, 等. γδ T细胞在结核病免疫治疗的研究及其应用前景[J]. 中国防痨杂志, 2019.</w:t>
      </w:r>
    </w:p>
    <w:p w14:paraId="2D61AACB">
      <w:pPr>
        <w:pStyle w:val="4"/>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lang w:val="en-US" w:eastAsia="zh-CN"/>
        </w:rPr>
        <w:t>9</w:t>
      </w:r>
      <w:r>
        <w:rPr>
          <w:rFonts w:hint="default" w:ascii="Times New Roman" w:hAnsi="Times New Roman" w:eastAsia="宋体" w:cs="Times New Roman"/>
          <w:spacing w:val="-7"/>
          <w:highlight w:val="none"/>
        </w:rPr>
        <w:t>]</w:t>
      </w:r>
      <w:r>
        <w:rPr>
          <w:rFonts w:hint="default" w:ascii="Times New Roman" w:hAnsi="Times New Roman" w:eastAsia="宋体" w:cs="Times New Roman"/>
          <w:spacing w:val="-7"/>
          <w:highlight w:val="none"/>
        </w:rPr>
        <w:tab/>
      </w:r>
      <w:r>
        <w:rPr>
          <w:rFonts w:hint="default" w:ascii="Times New Roman" w:hAnsi="Times New Roman" w:eastAsia="宋体" w:cs="Times New Roman"/>
          <w:spacing w:val="-7"/>
          <w:highlight w:val="none"/>
        </w:rPr>
        <w:t>Fu L, Weng T, Sun F, et al. Insignificant difference in culture conversion between bedaquiline-containing and bedaquiline-free all-oral short regimens for multidrug-resistant tuberculosis[J]. Internat J</w:t>
      </w:r>
      <w:r>
        <w:rPr>
          <w:rFonts w:hint="default" w:ascii="Times New Roman" w:hAnsi="Times New Roman" w:eastAsia="宋体" w:cs="Times New Roman"/>
          <w:spacing w:val="-7"/>
          <w:highlight w:val="none"/>
          <w:lang w:val="en-US" w:eastAsia="zh-CN"/>
        </w:rPr>
        <w:t xml:space="preserve"> </w:t>
      </w:r>
      <w:r>
        <w:rPr>
          <w:rFonts w:hint="default" w:ascii="Times New Roman" w:hAnsi="Times New Roman" w:eastAsia="宋体" w:cs="Times New Roman"/>
          <w:spacing w:val="-7"/>
          <w:highlight w:val="none"/>
        </w:rPr>
        <w:t>Infect Dis, 2021.</w:t>
      </w:r>
    </w:p>
    <w:p w14:paraId="0ABD6BD9">
      <w:pPr>
        <w:pStyle w:val="4"/>
        <w:spacing w:before="80" w:line="360" w:lineRule="auto"/>
        <w:ind w:right="317"/>
        <w:outlineLvl w:val="1"/>
        <w:rPr>
          <w:rFonts w:hint="default" w:ascii="Times New Roman" w:hAnsi="Times New Roman" w:eastAsia="宋体" w:cs="Times New Roman"/>
          <w:b/>
          <w:bCs/>
          <w:spacing w:val="-3"/>
          <w:highlight w:val="none"/>
          <w:lang w:val="en-US" w:eastAsia="zh-CN"/>
        </w:rPr>
      </w:pPr>
      <w:r>
        <w:rPr>
          <w:rFonts w:hint="default" w:ascii="Times New Roman" w:hAnsi="Times New Roman" w:eastAsia="宋体" w:cs="Times New Roman"/>
          <w:b/>
          <w:bCs/>
          <w:spacing w:val="-3"/>
          <w:highlight w:val="none"/>
          <w:lang w:val="en-US" w:eastAsia="zh-CN"/>
        </w:rPr>
        <w:t>2.</w:t>
      </w:r>
      <w:r>
        <w:rPr>
          <w:rFonts w:hint="default" w:ascii="Times New Roman" w:hAnsi="Times New Roman" w:cs="Times New Roman"/>
          <w:b/>
          <w:bCs/>
          <w:spacing w:val="-3"/>
          <w:highlight w:val="none"/>
          <w:lang w:val="en-US" w:eastAsia="zh-CN"/>
        </w:rPr>
        <w:t xml:space="preserve"> </w:t>
      </w:r>
      <w:r>
        <w:rPr>
          <w:rFonts w:hint="default" w:ascii="Times New Roman" w:hAnsi="Times New Roman" w:eastAsia="宋体" w:cs="Times New Roman"/>
          <w:b/>
          <w:bCs/>
          <w:spacing w:val="-7"/>
          <w:highlight w:val="none"/>
        </w:rPr>
        <w:t>项目实施所具备的工作条件和对本项目作用(大型仪器设备、重点实验室和工程中心等）</w:t>
      </w:r>
    </w:p>
    <w:p w14:paraId="496CE12A">
      <w:pPr>
        <w:pStyle w:val="4"/>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深圳市第三人民医院拥有深圳市肝病研究所、广东省新发传染病诊治重点实验室、深圳市传染病诊治技术重点实验室、深圳市感染免疫重点实验室以及新发传染性疾病国家重点实验室深圳分室，实验室总面积近5000平方米，现有科研设备资产超过1亿元，配备有单细胞光导系统、质谱流式细胞仪、蛋白纯化仪、能量代谢仪、高端流式分选仪、生物芯片功能分析仪和共聚焦显微镜和显微切割系统等一批高端科研仪器设备，拥有单细胞功能研究平台、高通量病原微生物鉴定检平台、流式分选平台、生物样本库、化学发光免疫平台、微生物培养检测平台、结核耐药性微流控芯片技术平台等科研支撑平台。形成了临床I期研究室、临床药物试验机构（GCP）、生物样本库、队列随访、精准诊断及中心实验室等6个模块。</w:t>
      </w:r>
    </w:p>
    <w:p w14:paraId="0A3C0041">
      <w:pPr>
        <w:pStyle w:val="4"/>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我院建有获得CNAS生物安全认可资格的生物安全三级实验室280平方米，具备开展结核分枝杆菌、高致病性禽流感病毒、艾滋病毒、埃博拉病毒（核酸检测）和新冠病毒等高等级病原微生物相关实验活动资格。此外，还建有获得广东省科技厅颁发的实验动物使用许可证的SPF级动物实验室391平方米，可以开展非感染动物实验活动。</w:t>
      </w:r>
    </w:p>
    <w:p w14:paraId="79C5EA01">
      <w:pPr>
        <w:pStyle w:val="4"/>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医院大力推动重点学科建设，拥有包括感染病国家临床重点专科在内的15个国家及省市重点专科、重点实验室。2005年肝病专业、艾滋病专业、结核病专业同时成为国家临床药物试验基地；2011年肝病、结核病和新发传染病同时获得深圳市临床重点专科；2011、2012年分别获得广东省新发传染病诊治重点实验室与广东省中医传染病诊疗技术实验室。2013年感染科获得国家感染病临床重点专科、广东省感染性疾病临床重点专科。2017年5月，正式获得国家和省肝脏、肾脏器官移植资质。2018年医院联合中国科学院病原微生物与免疫学重点实验室、华大基因、中兴网信和巴西FI0CRUZ基金会建立中-巴传染病预防与研究联合实验室。</w:t>
      </w:r>
    </w:p>
    <w:p w14:paraId="0C6E7CD4">
      <w:pPr>
        <w:pStyle w:val="4"/>
        <w:spacing w:before="80" w:line="360" w:lineRule="auto"/>
        <w:ind w:right="317" w:firstLine="408" w:firstLineChars="200"/>
        <w:rPr>
          <w:rFonts w:hint="default" w:ascii="Times New Roman" w:hAnsi="Times New Roman" w:eastAsia="宋体" w:cs="Times New Roman"/>
          <w:spacing w:val="-3"/>
          <w:highlight w:val="none"/>
          <w:lang w:val="en-US" w:eastAsia="zh-CN"/>
        </w:rPr>
      </w:pPr>
      <w:r>
        <w:rPr>
          <w:rFonts w:hint="default" w:ascii="Times New Roman" w:hAnsi="Times New Roman" w:eastAsia="宋体" w:cs="Times New Roman"/>
          <w:spacing w:val="-3"/>
          <w:highlight w:val="none"/>
          <w:lang w:val="en-US" w:eastAsia="zh-CN"/>
        </w:rPr>
        <w:t>2019年5月获批国家感染性疾病临床医学研究中心（深圳唯一，广东第三家），同时，纳入广东省高水平医院建设单位。2020年度，获得国家药品监督管理局重点实验室，成为广东省第七人体器官获取组织独立账户负责单位。</w:t>
      </w:r>
    </w:p>
    <w:p w14:paraId="5507923A">
      <w:pPr>
        <w:pStyle w:val="4"/>
        <w:spacing w:before="80" w:line="360" w:lineRule="auto"/>
        <w:ind w:right="317"/>
        <w:outlineLvl w:val="1"/>
        <w:rPr>
          <w:rFonts w:hint="default" w:ascii="Times New Roman" w:hAnsi="Times New Roman" w:eastAsia="宋体" w:cs="Times New Roman"/>
          <w:b/>
          <w:bCs/>
          <w:spacing w:val="-7"/>
          <w:highlight w:val="none"/>
        </w:rPr>
      </w:pPr>
      <w:r>
        <w:rPr>
          <w:rFonts w:hint="default" w:ascii="Times New Roman" w:hAnsi="Times New Roman" w:eastAsia="宋体" w:cs="Times New Roman"/>
          <w:b/>
          <w:bCs/>
          <w:spacing w:val="-7"/>
          <w:highlight w:val="none"/>
          <w:lang w:val="en-US"/>
        </w:rPr>
        <w:t>3.</w:t>
      </w:r>
      <w:r>
        <w:rPr>
          <w:rFonts w:hint="default" w:ascii="Times New Roman" w:hAnsi="Times New Roman" w:cs="Times New Roman"/>
          <w:b/>
          <w:bCs/>
          <w:spacing w:val="-7"/>
          <w:highlight w:val="none"/>
          <w:lang w:val="en-US" w:eastAsia="zh-CN"/>
        </w:rPr>
        <w:t xml:space="preserve"> </w:t>
      </w:r>
      <w:r>
        <w:rPr>
          <w:rFonts w:hint="default" w:ascii="Times New Roman" w:hAnsi="Times New Roman" w:eastAsia="宋体" w:cs="Times New Roman"/>
          <w:b/>
          <w:bCs/>
          <w:spacing w:val="-7"/>
          <w:highlight w:val="none"/>
        </w:rPr>
        <w:t>项目组近三年承担的与本项目相关的国家、省、市科技项目和完成情况</w:t>
      </w:r>
    </w:p>
    <w:p w14:paraId="157BD110">
      <w:pPr>
        <w:pStyle w:val="4"/>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[1] 2021年国自然面上项目，宿主SNP对柳氮磺胺吡啶调控巨噬细胞结核免疫效果的影响及其机制研究。项目负责人：邓国防。项目批准号：82070016。</w:t>
      </w:r>
    </w:p>
    <w:p w14:paraId="6FC62658">
      <w:pPr>
        <w:pStyle w:val="4"/>
        <w:kinsoku w:val="0"/>
        <w:overflowPunct w:val="0"/>
        <w:spacing w:line="360" w:lineRule="auto"/>
        <w:ind w:right="12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b w:val="0"/>
          <w:bCs w:val="0"/>
          <w:i w:val="0"/>
          <w:caps w:val="0"/>
          <w:color w:val="auto"/>
          <w:spacing w:val="0"/>
          <w:sz w:val="21"/>
          <w:szCs w:val="21"/>
          <w:highlight w:val="none"/>
          <w:shd w:val="clear" w:color="auto" w:fill="FFFFFF"/>
          <w:lang w:val="en-US" w:eastAsia="zh-CN"/>
        </w:rPr>
        <w:t>[2] 2020</w:t>
      </w:r>
      <w:r>
        <w:rPr>
          <w:rFonts w:hint="default" w:ascii="Times New Roman" w:hAnsi="Times New Roman" w:eastAsia="宋体" w:cs="Times New Roman"/>
          <w:i w:val="0"/>
          <w:caps w:val="0"/>
          <w:color w:val="auto"/>
          <w:spacing w:val="0"/>
          <w:sz w:val="21"/>
          <w:szCs w:val="21"/>
          <w:highlight w:val="none"/>
          <w:shd w:val="clear" w:color="auto" w:fill="FFFFFF"/>
          <w:lang w:val="en-US" w:eastAsia="zh-CN"/>
        </w:rPr>
        <w:t>年</w:t>
      </w:r>
      <w:r>
        <w:rPr>
          <w:rFonts w:hint="default" w:ascii="Times New Roman" w:hAnsi="Times New Roman" w:eastAsia="宋体" w:cs="Times New Roman"/>
          <w:i w:val="0"/>
          <w:caps w:val="0"/>
          <w:color w:val="auto"/>
          <w:spacing w:val="0"/>
          <w:sz w:val="21"/>
          <w:szCs w:val="21"/>
          <w:highlight w:val="none"/>
          <w:shd w:val="clear" w:color="auto" w:fill="FFFFFF"/>
        </w:rPr>
        <w:t>佛山市第四人民医院“登峰计划”高水平医院建设开放课题</w:t>
      </w:r>
      <w:r>
        <w:rPr>
          <w:rFonts w:hint="default" w:ascii="Times New Roman" w:hAnsi="Times New Roman" w:eastAsia="宋体" w:cs="Times New Roman"/>
          <w:i w:val="0"/>
          <w:caps w:val="0"/>
          <w:color w:val="auto"/>
          <w:spacing w:val="0"/>
          <w:sz w:val="21"/>
          <w:szCs w:val="21"/>
          <w:highlight w:val="none"/>
          <w:shd w:val="clear" w:color="auto" w:fill="FFFFFF"/>
          <w:lang w:eastAsia="zh-CN"/>
        </w:rPr>
        <w:t>，</w:t>
      </w:r>
      <w:r>
        <w:rPr>
          <w:rFonts w:hint="default" w:ascii="Times New Roman" w:hAnsi="Times New Roman" w:eastAsia="宋体" w:cs="Times New Roman"/>
          <w:i w:val="0"/>
          <w:caps w:val="0"/>
          <w:color w:val="auto"/>
          <w:spacing w:val="0"/>
          <w:sz w:val="21"/>
          <w:szCs w:val="21"/>
          <w:highlight w:val="none"/>
          <w:shd w:val="clear" w:color="auto" w:fill="FFFFFF"/>
        </w:rPr>
        <w:t>中国耐多药肺结核全口服短程抗结核方案多中心临床研究</w:t>
      </w:r>
      <w:r>
        <w:rPr>
          <w:rFonts w:hint="default" w:ascii="Times New Roman" w:hAnsi="Times New Roman" w:eastAsia="宋体" w:cs="Times New Roman"/>
          <w:i w:val="0"/>
          <w:caps w:val="0"/>
          <w:color w:val="auto"/>
          <w:spacing w:val="0"/>
          <w:sz w:val="21"/>
          <w:szCs w:val="21"/>
          <w:highlight w:val="none"/>
          <w:shd w:val="clear" w:color="auto" w:fill="FFFFFF"/>
          <w:lang w:eastAsia="zh-CN"/>
        </w:rPr>
        <w:t>。</w:t>
      </w:r>
      <w:r>
        <w:rPr>
          <w:rFonts w:hint="default" w:ascii="Times New Roman" w:hAnsi="Times New Roman" w:eastAsia="宋体" w:cs="Times New Roman"/>
          <w:spacing w:val="-7"/>
          <w:highlight w:val="none"/>
          <w:lang w:val="en-US" w:eastAsia="zh-CN"/>
        </w:rPr>
        <w:t>项目负责人：邓国防</w:t>
      </w:r>
      <w:r>
        <w:rPr>
          <w:rFonts w:hint="default" w:ascii="Times New Roman" w:hAnsi="Times New Roman" w:cs="Times New Roman"/>
          <w:spacing w:val="-7"/>
          <w:highlight w:val="none"/>
          <w:lang w:val="en-US" w:eastAsia="zh-CN"/>
        </w:rPr>
        <w:t>，</w:t>
      </w:r>
      <w:r>
        <w:rPr>
          <w:rFonts w:hint="default" w:ascii="Times New Roman" w:hAnsi="Times New Roman" w:eastAsia="宋体" w:cs="Times New Roman"/>
          <w:i w:val="0"/>
          <w:caps w:val="0"/>
          <w:color w:val="auto"/>
          <w:spacing w:val="0"/>
          <w:sz w:val="21"/>
          <w:szCs w:val="21"/>
          <w:highlight w:val="none"/>
          <w:shd w:val="clear" w:color="auto" w:fill="FFFFFF"/>
          <w:lang w:eastAsia="zh-CN"/>
        </w:rPr>
        <w:t>课题编号：</w:t>
      </w:r>
      <w:r>
        <w:rPr>
          <w:rFonts w:hint="default" w:ascii="Times New Roman" w:hAnsi="Times New Roman" w:eastAsia="宋体" w:cs="Times New Roman"/>
          <w:i w:val="0"/>
          <w:caps w:val="0"/>
          <w:color w:val="auto"/>
          <w:spacing w:val="0"/>
          <w:sz w:val="21"/>
          <w:szCs w:val="21"/>
          <w:highlight w:val="none"/>
          <w:shd w:val="clear" w:color="auto" w:fill="FFFFFF"/>
        </w:rPr>
        <w:t>FSSYKF-2020001</w:t>
      </w:r>
    </w:p>
    <w:p w14:paraId="71A5971B">
      <w:pPr>
        <w:pStyle w:val="4"/>
        <w:spacing w:before="80" w:line="360" w:lineRule="auto"/>
        <w:ind w:right="317"/>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[3]2019年耐多药结核优化方案的临床研究子课题，基于吡嗪酰胺药敏结果的耐多药结核病治疗方案的研究。子课题</w:t>
      </w:r>
      <w:r>
        <w:rPr>
          <w:rFonts w:hint="default" w:ascii="Times New Roman" w:hAnsi="Times New Roman" w:eastAsia="宋体" w:cs="Times New Roman"/>
          <w:spacing w:val="-7"/>
          <w:highlight w:val="none"/>
          <w:lang w:val="en-US" w:eastAsia="zh-CN"/>
        </w:rPr>
        <w:t>任务负责人：邓国防。</w:t>
      </w:r>
      <w:r>
        <w:rPr>
          <w:rFonts w:hint="default" w:ascii="Times New Roman" w:hAnsi="Times New Roman" w:eastAsia="宋体" w:cs="Times New Roman"/>
          <w:color w:val="000000"/>
          <w:sz w:val="21"/>
          <w:szCs w:val="21"/>
          <w:highlight w:val="none"/>
          <w:lang w:val="en-US" w:eastAsia="zh-CN"/>
        </w:rPr>
        <w:t xml:space="preserve">子课题编号：2018ZX 10722-301 -003-001。 </w:t>
      </w:r>
    </w:p>
    <w:p w14:paraId="5A76E4CA">
      <w:pPr>
        <w:pStyle w:val="4"/>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[4] 2018年深圳市卫生计生系统科研项目-临床研究项目：同种异体γδT细胞治疗耐多药肺结核的临床研究。项目负责人：邓国防。项目编号：SZLY2018017。</w:t>
      </w:r>
    </w:p>
    <w:p w14:paraId="5180F142">
      <w:pPr>
        <w:pStyle w:val="4"/>
        <w:spacing w:before="80" w:line="360" w:lineRule="auto"/>
        <w:ind w:right="317"/>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[5] 2017年 十三五重大专项，耐多药肺结核新方案的探索，2018/01-2020/12，97万元，子课题任务负责人：邓国防。课题编号：2018ZX10715004-002。</w:t>
      </w:r>
    </w:p>
    <w:p w14:paraId="021B33D4">
      <w:pPr>
        <w:spacing w:line="360" w:lineRule="auto"/>
        <w:jc w:val="left"/>
        <w:rPr>
          <w:rFonts w:hint="default" w:ascii="Times New Roman" w:hAnsi="Times New Roman" w:eastAsia="宋体" w:cs="Times New Roman"/>
          <w:spacing w:val="-7"/>
          <w:highlight w:val="none"/>
          <w:lang w:val="en-US" w:eastAsia="zh-CN"/>
        </w:rPr>
      </w:pPr>
      <w:r>
        <w:rPr>
          <w:rFonts w:hint="default" w:ascii="Times New Roman" w:hAnsi="Times New Roman" w:eastAsia="宋体" w:cs="Times New Roman"/>
          <w:spacing w:val="-7"/>
          <w:highlight w:val="none"/>
          <w:lang w:val="en-US" w:eastAsia="zh-CN"/>
        </w:rPr>
        <w:t>[6] 2018年深圳市科创委自由探索项目：复治耐多药结核病患者MTB耐药谱变迁的分子机制研究。负责人：付亮。项目编号：JCYJ20180228162112889。</w:t>
      </w:r>
    </w:p>
    <w:p w14:paraId="470F24D2">
      <w:pPr>
        <w:spacing w:line="360" w:lineRule="auto"/>
        <w:jc w:val="left"/>
        <w:rPr>
          <w:rFonts w:hint="default" w:ascii="Times New Roman" w:hAnsi="Times New Roman" w:eastAsia="宋体" w:cs="Times New Roman"/>
          <w:spacing w:val="-7"/>
          <w:highlight w:val="none"/>
          <w:lang w:val="en-US" w:eastAsia="zh-CN"/>
        </w:rPr>
      </w:pPr>
    </w:p>
    <w:p w14:paraId="31B65CF4">
      <w:pPr>
        <w:spacing w:line="360" w:lineRule="auto"/>
        <w:jc w:val="left"/>
        <w:outlineLvl w:val="0"/>
        <w:rPr>
          <w:rFonts w:hint="default" w:ascii="Times New Roman" w:hAnsi="Times New Roman" w:cs="Times New Roman"/>
          <w:b/>
          <w:sz w:val="28"/>
          <w:szCs w:val="28"/>
          <w:highlight w:val="none"/>
        </w:rPr>
      </w:pPr>
      <w:r>
        <w:rPr>
          <w:rFonts w:hint="eastAsia" w:ascii="Times New Roman" w:hAnsi="Times New Roman" w:cs="Times New Roman"/>
          <w:b/>
          <w:sz w:val="28"/>
          <w:szCs w:val="28"/>
          <w:highlight w:val="none"/>
          <w:lang w:val="en-US" w:eastAsia="zh-CN"/>
        </w:rPr>
        <w:t>五</w:t>
      </w:r>
      <w:r>
        <w:rPr>
          <w:rFonts w:hint="default" w:ascii="Times New Roman" w:hAnsi="Times New Roman" w:cs="Times New Roman"/>
          <w:b/>
          <w:sz w:val="28"/>
          <w:szCs w:val="28"/>
          <w:highlight w:val="none"/>
          <w:lang w:val="en-US"/>
        </w:rPr>
        <w:t>、</w:t>
      </w:r>
      <w:r>
        <w:rPr>
          <w:rFonts w:hint="default" w:ascii="Times New Roman" w:hAnsi="Times New Roman" w:cs="Times New Roman"/>
          <w:b/>
          <w:sz w:val="28"/>
          <w:szCs w:val="28"/>
          <w:highlight w:val="none"/>
        </w:rPr>
        <w:t>项目计划目标</w:t>
      </w:r>
    </w:p>
    <w:tbl>
      <w:tblPr>
        <w:tblStyle w:val="10"/>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0"/>
        <w:gridCol w:w="2595"/>
        <w:gridCol w:w="1182"/>
        <w:gridCol w:w="1418"/>
        <w:gridCol w:w="358"/>
        <w:gridCol w:w="1418"/>
        <w:gridCol w:w="366"/>
      </w:tblGrid>
      <w:tr w14:paraId="4621A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restart"/>
          </w:tcPr>
          <w:p w14:paraId="7EDE7627">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预期成果</w:t>
            </w:r>
          </w:p>
        </w:tc>
        <w:tc>
          <w:tcPr>
            <w:tcW w:w="2595" w:type="dxa"/>
          </w:tcPr>
          <w:p w14:paraId="5F18CE52">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发表论文数</w:t>
            </w:r>
          </w:p>
        </w:tc>
        <w:tc>
          <w:tcPr>
            <w:tcW w:w="1182" w:type="dxa"/>
          </w:tcPr>
          <w:p w14:paraId="13CDC103">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eastAsia" w:ascii="Times New Roman" w:hAnsi="Times New Roman" w:cs="Times New Roman"/>
                <w:sz w:val="21"/>
                <w:szCs w:val="21"/>
                <w:highlight w:val="none"/>
                <w:lang w:val="en-US" w:eastAsia="zh-CN"/>
              </w:rPr>
              <w:t>2</w:t>
            </w:r>
            <w:r>
              <w:rPr>
                <w:rFonts w:hint="default" w:ascii="Times New Roman" w:hAnsi="Times New Roman" w:eastAsia="宋体" w:cs="Times New Roman"/>
                <w:sz w:val="21"/>
                <w:szCs w:val="21"/>
                <w:highlight w:val="none"/>
                <w:lang w:val="en-US" w:eastAsia="zh-CN"/>
              </w:rPr>
              <w:t>（SCI）</w:t>
            </w:r>
          </w:p>
        </w:tc>
        <w:tc>
          <w:tcPr>
            <w:tcW w:w="1418" w:type="dxa"/>
          </w:tcPr>
          <w:p w14:paraId="273B549D">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出版专著数</w:t>
            </w:r>
          </w:p>
        </w:tc>
        <w:tc>
          <w:tcPr>
            <w:tcW w:w="358" w:type="dxa"/>
          </w:tcPr>
          <w:p w14:paraId="7257469C">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0</w:t>
            </w:r>
          </w:p>
        </w:tc>
        <w:tc>
          <w:tcPr>
            <w:tcW w:w="1418" w:type="dxa"/>
          </w:tcPr>
          <w:p w14:paraId="3ED6E8C2">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专利申请数</w:t>
            </w:r>
          </w:p>
        </w:tc>
        <w:tc>
          <w:tcPr>
            <w:tcW w:w="366" w:type="dxa"/>
          </w:tcPr>
          <w:p w14:paraId="60F474C3">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0</w:t>
            </w:r>
          </w:p>
        </w:tc>
      </w:tr>
      <w:tr w14:paraId="1E0E9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continue"/>
          </w:tcPr>
          <w:p w14:paraId="675A8030">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c>
          <w:tcPr>
            <w:tcW w:w="2595" w:type="dxa"/>
          </w:tcPr>
          <w:p w14:paraId="30CABE2D">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培养博士后</w:t>
            </w:r>
          </w:p>
        </w:tc>
        <w:tc>
          <w:tcPr>
            <w:tcW w:w="1182" w:type="dxa"/>
          </w:tcPr>
          <w:p w14:paraId="59954C7A">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lang w:val="en-US" w:eastAsia="zh-CN"/>
              </w:rPr>
              <w:t>0</w:t>
            </w:r>
          </w:p>
        </w:tc>
        <w:tc>
          <w:tcPr>
            <w:tcW w:w="1418" w:type="dxa"/>
          </w:tcPr>
          <w:p w14:paraId="06B0B315">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培养博士生</w:t>
            </w:r>
          </w:p>
        </w:tc>
        <w:tc>
          <w:tcPr>
            <w:tcW w:w="358" w:type="dxa"/>
          </w:tcPr>
          <w:p w14:paraId="7C17893D">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eastAsia" w:ascii="Times New Roman" w:hAnsi="Times New Roman" w:cs="Times New Roman"/>
                <w:sz w:val="21"/>
                <w:szCs w:val="21"/>
                <w:highlight w:val="none"/>
                <w:lang w:val="en-US" w:eastAsia="zh-CN"/>
              </w:rPr>
              <w:t>0</w:t>
            </w:r>
          </w:p>
        </w:tc>
        <w:tc>
          <w:tcPr>
            <w:tcW w:w="1418" w:type="dxa"/>
          </w:tcPr>
          <w:p w14:paraId="6ADCE47E">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培养硕士生</w:t>
            </w:r>
          </w:p>
        </w:tc>
        <w:tc>
          <w:tcPr>
            <w:tcW w:w="366" w:type="dxa"/>
          </w:tcPr>
          <w:p w14:paraId="0341EC23">
            <w:pPr>
              <w:keepNext w:val="0"/>
              <w:keepLines w:val="0"/>
              <w:suppressLineNumbers w:val="0"/>
              <w:spacing w:before="0" w:beforeAutospacing="0" w:after="0" w:afterAutospacing="0"/>
              <w:ind w:left="0" w:right="0"/>
              <w:rPr>
                <w:rFonts w:hint="default" w:ascii="Times New Roman" w:hAnsi="Times New Roman" w:eastAsia="宋体" w:cs="Times New Roman"/>
                <w:b/>
                <w:sz w:val="21"/>
                <w:szCs w:val="21"/>
                <w:highlight w:val="none"/>
                <w:vertAlign w:val="baseline"/>
                <w:lang w:val="en-US" w:eastAsia="zh-CN"/>
              </w:rPr>
            </w:pPr>
            <w:r>
              <w:rPr>
                <w:rFonts w:hint="eastAsia" w:ascii="Times New Roman" w:hAnsi="Times New Roman" w:cs="Times New Roman"/>
                <w:sz w:val="21"/>
                <w:szCs w:val="21"/>
                <w:highlight w:val="none"/>
                <w:lang w:val="en-US" w:eastAsia="zh-CN"/>
              </w:rPr>
              <w:t>0</w:t>
            </w:r>
          </w:p>
        </w:tc>
      </w:tr>
      <w:tr w14:paraId="44177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continue"/>
          </w:tcPr>
          <w:p w14:paraId="54002FAD">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c>
          <w:tcPr>
            <w:tcW w:w="2595" w:type="dxa"/>
          </w:tcPr>
          <w:p w14:paraId="74E60DF9">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组织学术交流活动次数</w:t>
            </w:r>
          </w:p>
        </w:tc>
        <w:tc>
          <w:tcPr>
            <w:tcW w:w="4742" w:type="dxa"/>
            <w:gridSpan w:val="5"/>
          </w:tcPr>
          <w:p w14:paraId="22F43F06">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val="0"/>
                <w:bCs/>
                <w:sz w:val="21"/>
                <w:szCs w:val="21"/>
                <w:highlight w:val="none"/>
                <w:vertAlign w:val="baseline"/>
                <w:lang w:val="en-US" w:eastAsia="zh-CN"/>
              </w:rPr>
            </w:pPr>
            <w:r>
              <w:rPr>
                <w:rFonts w:hint="eastAsia" w:ascii="Times New Roman" w:hAnsi="Times New Roman" w:cs="Times New Roman"/>
                <w:b w:val="0"/>
                <w:bCs/>
                <w:sz w:val="21"/>
                <w:szCs w:val="21"/>
                <w:highlight w:val="none"/>
                <w:vertAlign w:val="baseline"/>
                <w:lang w:val="en-US" w:eastAsia="zh-CN"/>
              </w:rPr>
              <w:t>1</w:t>
            </w:r>
          </w:p>
        </w:tc>
      </w:tr>
      <w:tr w14:paraId="4F2C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vMerge w:val="continue"/>
          </w:tcPr>
          <w:p w14:paraId="67E937EB">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c>
          <w:tcPr>
            <w:tcW w:w="2595" w:type="dxa"/>
          </w:tcPr>
          <w:p w14:paraId="15921CD5">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eastAsia="宋体" w:cs="Times New Roman"/>
                <w:sz w:val="21"/>
                <w:szCs w:val="21"/>
                <w:highlight w:val="none"/>
              </w:rPr>
              <w:t>其他</w:t>
            </w:r>
          </w:p>
        </w:tc>
        <w:tc>
          <w:tcPr>
            <w:tcW w:w="4742" w:type="dxa"/>
            <w:gridSpan w:val="5"/>
          </w:tcPr>
          <w:p w14:paraId="4EFC9E92">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val="0"/>
                <w:bCs/>
                <w:sz w:val="21"/>
                <w:szCs w:val="21"/>
                <w:highlight w:val="none"/>
                <w:vertAlign w:val="baseline"/>
                <w:lang w:val="en-US" w:eastAsia="zh-CN"/>
              </w:rPr>
            </w:pPr>
            <w:r>
              <w:rPr>
                <w:rFonts w:hint="default" w:ascii="Times New Roman" w:hAnsi="Times New Roman" w:eastAsia="宋体" w:cs="Times New Roman"/>
                <w:b w:val="0"/>
                <w:bCs/>
                <w:sz w:val="21"/>
                <w:szCs w:val="21"/>
                <w:highlight w:val="none"/>
                <w:vertAlign w:val="baseline"/>
                <w:lang w:val="en-US" w:eastAsia="zh-CN"/>
              </w:rPr>
              <w:t>0</w:t>
            </w:r>
          </w:p>
        </w:tc>
      </w:tr>
      <w:tr w14:paraId="75672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65E65947">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r>
              <w:rPr>
                <w:rFonts w:hint="default" w:ascii="Times New Roman" w:hAnsi="Times New Roman" w:cs="Times New Roman"/>
                <w:szCs w:val="21"/>
                <w:highlight w:val="none"/>
              </w:rPr>
              <w:t>预期目标</w:t>
            </w:r>
          </w:p>
        </w:tc>
        <w:tc>
          <w:tcPr>
            <w:tcW w:w="7337" w:type="dxa"/>
            <w:gridSpan w:val="6"/>
          </w:tcPr>
          <w:p w14:paraId="0A35A09E">
            <w:pPr>
              <w:keepNext w:val="0"/>
              <w:keepLines w:val="0"/>
              <w:suppressLineNumbers w:val="0"/>
              <w:spacing w:before="0" w:beforeAutospacing="0" w:after="0" w:afterAutospacing="0" w:line="360" w:lineRule="auto"/>
              <w:ind w:left="0" w:right="0"/>
              <w:jc w:val="left"/>
              <w:rPr>
                <w:rFonts w:hint="default" w:ascii="Times New Roman" w:hAnsi="Times New Roman" w:eastAsia="宋体" w:cs="Times New Roman"/>
                <w:b/>
                <w:sz w:val="21"/>
                <w:szCs w:val="21"/>
                <w:highlight w:val="none"/>
                <w:vertAlign w:val="baseline"/>
                <w:lang w:val="en-US" w:eastAsia="zh-CN"/>
              </w:rPr>
            </w:pPr>
          </w:p>
        </w:tc>
      </w:tr>
    </w:tbl>
    <w:p w14:paraId="50719998">
      <w:pPr>
        <w:spacing w:line="360" w:lineRule="auto"/>
        <w:jc w:val="left"/>
        <w:rPr>
          <w:rFonts w:hint="default" w:ascii="Times New Roman" w:hAnsi="Times New Roman" w:cs="Times New Roman"/>
          <w:b/>
          <w:sz w:val="24"/>
          <w:highlight w:val="none"/>
          <w:lang w:val="en-US" w:eastAsia="zh-CN"/>
        </w:rPr>
      </w:pPr>
    </w:p>
    <w:p w14:paraId="46205A9C">
      <w:pPr>
        <w:spacing w:line="360" w:lineRule="auto"/>
        <w:jc w:val="left"/>
        <w:outlineLvl w:val="0"/>
        <w:rPr>
          <w:rFonts w:hint="default" w:ascii="Times New Roman" w:hAnsi="Times New Roman" w:cs="Times New Roman"/>
          <w:b/>
          <w:sz w:val="28"/>
          <w:szCs w:val="28"/>
          <w:highlight w:val="none"/>
        </w:rPr>
      </w:pPr>
      <w:r>
        <w:rPr>
          <w:rFonts w:hint="eastAsia" w:ascii="Times New Roman" w:hAnsi="Times New Roman" w:cs="Times New Roman"/>
          <w:b/>
          <w:sz w:val="28"/>
          <w:szCs w:val="28"/>
          <w:highlight w:val="none"/>
          <w:lang w:eastAsia="zh-CN"/>
        </w:rPr>
        <w:t>六</w:t>
      </w:r>
      <w:r>
        <w:rPr>
          <w:rFonts w:hint="default" w:ascii="Times New Roman" w:hAnsi="Times New Roman" w:cs="Times New Roman"/>
          <w:b/>
          <w:sz w:val="28"/>
          <w:szCs w:val="28"/>
          <w:highlight w:val="none"/>
        </w:rPr>
        <w:t>、项目计划进度</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3698"/>
        <w:gridCol w:w="3594"/>
      </w:tblGrid>
      <w:tr w14:paraId="1DE1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61E6F31F">
            <w:pPr>
              <w:pStyle w:val="13"/>
              <w:keepNext w:val="0"/>
              <w:keepLines w:val="0"/>
              <w:suppressLineNumbers w:val="0"/>
              <w:tabs>
                <w:tab w:val="left" w:pos="692"/>
              </w:tabs>
              <w:spacing w:before="60" w:beforeAutospacing="0" w:after="0" w:afterAutospacing="0"/>
              <w:ind w:left="0" w:right="0" w:firstLine="210" w:firstLineChars="100"/>
              <w:rPr>
                <w:rFonts w:hint="default" w:ascii="Times New Roman" w:hAnsi="Times New Roman" w:cs="Times New Roman"/>
                <w:b/>
                <w:sz w:val="24"/>
                <w:highlight w:val="none"/>
                <w:vertAlign w:val="baseline"/>
                <w:lang w:val="en-US" w:eastAsia="zh-CN"/>
              </w:rPr>
            </w:pPr>
            <w:r>
              <w:rPr>
                <w:rFonts w:hint="default" w:ascii="Times New Roman" w:hAnsi="Times New Roman" w:cs="Times New Roman"/>
                <w:szCs w:val="21"/>
                <w:highlight w:val="none"/>
                <w:lang w:val="en-US"/>
              </w:rPr>
              <w:t>阶段</w:t>
            </w:r>
          </w:p>
        </w:tc>
        <w:tc>
          <w:tcPr>
            <w:tcW w:w="3698" w:type="dxa"/>
          </w:tcPr>
          <w:p w14:paraId="2A96C5FC">
            <w:pPr>
              <w:pStyle w:val="13"/>
              <w:keepNext w:val="0"/>
              <w:keepLines w:val="0"/>
              <w:suppressLineNumbers w:val="0"/>
              <w:spacing w:before="60" w:beforeAutospacing="0" w:after="0" w:afterAutospacing="0"/>
              <w:ind w:left="0" w:right="0" w:firstLine="630" w:firstLineChars="300"/>
              <w:rPr>
                <w:rFonts w:hint="default" w:ascii="Times New Roman" w:hAnsi="Times New Roman" w:cs="Times New Roman"/>
                <w:b/>
                <w:sz w:val="24"/>
                <w:highlight w:val="none"/>
                <w:vertAlign w:val="baseline"/>
                <w:lang w:val="en-US" w:eastAsia="zh-CN"/>
              </w:rPr>
            </w:pPr>
            <w:r>
              <w:rPr>
                <w:rFonts w:hint="default" w:ascii="Times New Roman" w:hAnsi="Times New Roman" w:cs="Times New Roman"/>
                <w:szCs w:val="21"/>
                <w:highlight w:val="none"/>
                <w:lang w:val="en-US"/>
              </w:rPr>
              <w:t>起止时间</w:t>
            </w:r>
          </w:p>
        </w:tc>
        <w:tc>
          <w:tcPr>
            <w:tcW w:w="3594" w:type="dxa"/>
          </w:tcPr>
          <w:p w14:paraId="037BF01D">
            <w:pPr>
              <w:pStyle w:val="13"/>
              <w:keepNext w:val="0"/>
              <w:keepLines w:val="0"/>
              <w:suppressLineNumbers w:val="0"/>
              <w:tabs>
                <w:tab w:val="left" w:pos="692"/>
              </w:tabs>
              <w:spacing w:before="60" w:beforeAutospacing="0" w:after="0" w:afterAutospacing="0"/>
              <w:ind w:left="0" w:right="0" w:firstLine="1260" w:firstLineChars="600"/>
              <w:rPr>
                <w:rFonts w:hint="default" w:ascii="Times New Roman" w:hAnsi="Times New Roman" w:cs="Times New Roman"/>
                <w:b/>
                <w:sz w:val="24"/>
                <w:highlight w:val="none"/>
                <w:vertAlign w:val="baseline"/>
                <w:lang w:val="en-US" w:eastAsia="zh-CN"/>
              </w:rPr>
            </w:pPr>
            <w:r>
              <w:rPr>
                <w:rFonts w:hint="default" w:ascii="Times New Roman" w:hAnsi="Times New Roman" w:cs="Times New Roman"/>
                <w:szCs w:val="21"/>
                <w:highlight w:val="none"/>
                <w:lang w:val="en-US"/>
              </w:rPr>
              <w:t>研究内容与预期目标</w:t>
            </w:r>
          </w:p>
        </w:tc>
      </w:tr>
      <w:tr w14:paraId="0BD3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2C353D94">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第1阶段</w:t>
            </w:r>
          </w:p>
        </w:tc>
        <w:tc>
          <w:tcPr>
            <w:tcW w:w="3698" w:type="dxa"/>
          </w:tcPr>
          <w:p w14:paraId="5FA21EC8">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202</w:t>
            </w:r>
            <w:r>
              <w:rPr>
                <w:rFonts w:hint="eastAsia" w:ascii="Times New Roman" w:hAnsi="Times New Roman" w:cs="Times New Roman"/>
                <w:sz w:val="21"/>
                <w:szCs w:val="21"/>
                <w:highlight w:val="none"/>
                <w:lang w:val="en-US" w:eastAsia="zh-CN"/>
              </w:rPr>
              <w:t>3</w:t>
            </w:r>
            <w:r>
              <w:rPr>
                <w:rFonts w:hint="default" w:ascii="Times New Roman" w:hAnsi="Times New Roman" w:eastAsia="宋体" w:cs="Times New Roman"/>
                <w:sz w:val="21"/>
                <w:szCs w:val="21"/>
                <w:highlight w:val="none"/>
                <w:lang w:val="en-US" w:eastAsia="zh-CN"/>
              </w:rPr>
              <w:t>年</w:t>
            </w:r>
            <w:r>
              <w:rPr>
                <w:rFonts w:hint="eastAsia" w:ascii="Times New Roman" w:hAnsi="Times New Roman" w:cs="Times New Roman"/>
                <w:sz w:val="21"/>
                <w:szCs w:val="21"/>
                <w:highlight w:val="none"/>
                <w:lang w:val="en-US" w:eastAsia="zh-CN"/>
              </w:rPr>
              <w:t>01</w:t>
            </w:r>
            <w:r>
              <w:rPr>
                <w:rFonts w:hint="default" w:ascii="Times New Roman" w:hAnsi="Times New Roman" w:eastAsia="宋体" w:cs="Times New Roman"/>
                <w:sz w:val="21"/>
                <w:szCs w:val="21"/>
                <w:highlight w:val="none"/>
                <w:lang w:val="en-US" w:eastAsia="zh-CN"/>
              </w:rPr>
              <w:t>月</w:t>
            </w:r>
            <w:r>
              <w:rPr>
                <w:rFonts w:hint="eastAsia" w:ascii="Times New Roman" w:hAnsi="Times New Roman" w:cs="Times New Roman"/>
                <w:sz w:val="21"/>
                <w:szCs w:val="21"/>
                <w:highlight w:val="none"/>
                <w:lang w:val="en-US" w:eastAsia="zh-CN"/>
              </w:rPr>
              <w:t>10</w:t>
            </w:r>
            <w:r>
              <w:rPr>
                <w:rFonts w:hint="default" w:ascii="Times New Roman" w:hAnsi="Times New Roman" w:eastAsia="宋体" w:cs="Times New Roman"/>
                <w:sz w:val="21"/>
                <w:szCs w:val="21"/>
                <w:highlight w:val="none"/>
                <w:lang w:val="en-US" w:eastAsia="zh-CN"/>
              </w:rPr>
              <w:t>日-202</w:t>
            </w:r>
            <w:r>
              <w:rPr>
                <w:rFonts w:hint="eastAsia" w:ascii="Times New Roman" w:hAnsi="Times New Roman" w:cs="Times New Roman"/>
                <w:sz w:val="21"/>
                <w:szCs w:val="21"/>
                <w:highlight w:val="none"/>
                <w:lang w:val="en-US" w:eastAsia="zh-CN"/>
              </w:rPr>
              <w:t>5</w:t>
            </w:r>
            <w:r>
              <w:rPr>
                <w:rFonts w:hint="default" w:ascii="Times New Roman" w:hAnsi="Times New Roman" w:eastAsia="宋体" w:cs="Times New Roman"/>
                <w:sz w:val="21"/>
                <w:szCs w:val="21"/>
                <w:highlight w:val="none"/>
                <w:lang w:val="en-US" w:eastAsia="zh-CN"/>
              </w:rPr>
              <w:t>年</w:t>
            </w:r>
            <w:r>
              <w:rPr>
                <w:rFonts w:hint="eastAsia" w:ascii="Times New Roman" w:hAnsi="Times New Roman" w:cs="Times New Roman"/>
                <w:sz w:val="21"/>
                <w:szCs w:val="21"/>
                <w:highlight w:val="none"/>
                <w:lang w:val="en-US" w:eastAsia="zh-CN"/>
              </w:rPr>
              <w:t>06</w:t>
            </w:r>
            <w:r>
              <w:rPr>
                <w:rFonts w:hint="default" w:ascii="Times New Roman" w:hAnsi="Times New Roman" w:eastAsia="宋体" w:cs="Times New Roman"/>
                <w:sz w:val="21"/>
                <w:szCs w:val="21"/>
                <w:highlight w:val="none"/>
                <w:lang w:val="en-US" w:eastAsia="zh-CN"/>
              </w:rPr>
              <w:t>月3</w:t>
            </w:r>
            <w:r>
              <w:rPr>
                <w:rFonts w:hint="eastAsia" w:ascii="Times New Roman" w:hAnsi="Times New Roman" w:cs="Times New Roman"/>
                <w:sz w:val="21"/>
                <w:szCs w:val="21"/>
                <w:highlight w:val="none"/>
                <w:lang w:val="en-US" w:eastAsia="zh-CN"/>
              </w:rPr>
              <w:t>0</w:t>
            </w:r>
            <w:r>
              <w:rPr>
                <w:rFonts w:hint="default" w:ascii="Times New Roman" w:hAnsi="Times New Roman" w:eastAsia="宋体" w:cs="Times New Roman"/>
                <w:sz w:val="21"/>
                <w:szCs w:val="21"/>
                <w:highlight w:val="none"/>
                <w:lang w:val="en-US" w:eastAsia="zh-CN"/>
              </w:rPr>
              <w:t>日</w:t>
            </w:r>
          </w:p>
        </w:tc>
        <w:tc>
          <w:tcPr>
            <w:tcW w:w="3594" w:type="dxa"/>
          </w:tcPr>
          <w:p w14:paraId="68BCD54B">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eastAsia" w:ascii="Times New Roman" w:hAnsi="Times New Roman" w:cs="Times New Roman"/>
                <w:sz w:val="21"/>
                <w:szCs w:val="21"/>
                <w:highlight w:val="none"/>
                <w:lang w:val="en-US" w:eastAsia="zh-CN"/>
              </w:rPr>
              <w:t>多</w:t>
            </w:r>
            <w:r>
              <w:rPr>
                <w:rFonts w:hint="default" w:ascii="Times New Roman" w:hAnsi="Times New Roman" w:eastAsia="宋体" w:cs="Times New Roman"/>
                <w:sz w:val="21"/>
                <w:szCs w:val="21"/>
                <w:highlight w:val="none"/>
                <w:lang w:val="en-US" w:eastAsia="zh-CN"/>
              </w:rPr>
              <w:t>中心纳入，实施</w:t>
            </w:r>
            <w:r>
              <w:rPr>
                <w:rFonts w:hint="eastAsia" w:ascii="Times New Roman" w:hAnsi="Times New Roman" w:cs="Times New Roman"/>
                <w:sz w:val="21"/>
                <w:szCs w:val="21"/>
                <w:highlight w:val="none"/>
                <w:lang w:val="en-US" w:eastAsia="zh-CN"/>
              </w:rPr>
              <w:t>治疗</w:t>
            </w:r>
            <w:r>
              <w:rPr>
                <w:rFonts w:hint="default" w:ascii="Times New Roman" w:hAnsi="Times New Roman" w:eastAsia="宋体" w:cs="Times New Roman"/>
                <w:sz w:val="21"/>
                <w:szCs w:val="21"/>
                <w:highlight w:val="none"/>
                <w:lang w:val="en-US" w:eastAsia="zh-CN"/>
              </w:rPr>
              <w:t>。</w:t>
            </w:r>
          </w:p>
        </w:tc>
      </w:tr>
      <w:tr w14:paraId="12BF3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205605C5">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第2阶段</w:t>
            </w:r>
          </w:p>
        </w:tc>
        <w:tc>
          <w:tcPr>
            <w:tcW w:w="3698" w:type="dxa"/>
          </w:tcPr>
          <w:p w14:paraId="5F289BEE">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202</w:t>
            </w:r>
            <w:r>
              <w:rPr>
                <w:rFonts w:hint="eastAsia" w:ascii="Times New Roman" w:hAnsi="Times New Roman" w:cs="Times New Roman"/>
                <w:sz w:val="21"/>
                <w:szCs w:val="21"/>
                <w:highlight w:val="none"/>
                <w:lang w:val="en-US" w:eastAsia="zh-CN"/>
              </w:rPr>
              <w:t>5</w:t>
            </w:r>
            <w:r>
              <w:rPr>
                <w:rFonts w:hint="default" w:ascii="Times New Roman" w:hAnsi="Times New Roman" w:eastAsia="宋体" w:cs="Times New Roman"/>
                <w:sz w:val="21"/>
                <w:szCs w:val="21"/>
                <w:highlight w:val="none"/>
                <w:lang w:val="en-US" w:eastAsia="zh-CN"/>
              </w:rPr>
              <w:t>年</w:t>
            </w:r>
            <w:r>
              <w:rPr>
                <w:rFonts w:hint="eastAsia" w:ascii="Times New Roman" w:hAnsi="Times New Roman" w:cs="Times New Roman"/>
                <w:sz w:val="21"/>
                <w:szCs w:val="21"/>
                <w:highlight w:val="none"/>
                <w:lang w:val="en-US" w:eastAsia="zh-CN"/>
              </w:rPr>
              <w:t>07</w:t>
            </w:r>
            <w:r>
              <w:rPr>
                <w:rFonts w:hint="default" w:ascii="Times New Roman" w:hAnsi="Times New Roman" w:eastAsia="宋体" w:cs="Times New Roman"/>
                <w:sz w:val="21"/>
                <w:szCs w:val="21"/>
                <w:highlight w:val="none"/>
                <w:lang w:val="en-US" w:eastAsia="zh-CN"/>
              </w:rPr>
              <w:t>月01日-202</w:t>
            </w:r>
            <w:r>
              <w:rPr>
                <w:rFonts w:hint="eastAsia" w:ascii="Times New Roman" w:hAnsi="Times New Roman" w:cs="Times New Roman"/>
                <w:sz w:val="21"/>
                <w:szCs w:val="21"/>
                <w:highlight w:val="none"/>
                <w:lang w:val="en-US" w:eastAsia="zh-CN"/>
              </w:rPr>
              <w:t>6</w:t>
            </w:r>
            <w:r>
              <w:rPr>
                <w:rFonts w:hint="default" w:ascii="Times New Roman" w:hAnsi="Times New Roman" w:eastAsia="宋体" w:cs="Times New Roman"/>
                <w:sz w:val="21"/>
                <w:szCs w:val="21"/>
                <w:highlight w:val="none"/>
                <w:lang w:val="en-US" w:eastAsia="zh-CN"/>
              </w:rPr>
              <w:t>年</w:t>
            </w:r>
            <w:r>
              <w:rPr>
                <w:rFonts w:hint="eastAsia" w:ascii="Times New Roman" w:hAnsi="Times New Roman" w:cs="Times New Roman"/>
                <w:sz w:val="21"/>
                <w:szCs w:val="21"/>
                <w:highlight w:val="none"/>
                <w:lang w:val="en-US" w:eastAsia="zh-CN"/>
              </w:rPr>
              <w:t>06</w:t>
            </w:r>
            <w:r>
              <w:rPr>
                <w:rFonts w:hint="default" w:ascii="Times New Roman" w:hAnsi="Times New Roman" w:eastAsia="宋体" w:cs="Times New Roman"/>
                <w:sz w:val="21"/>
                <w:szCs w:val="21"/>
                <w:highlight w:val="none"/>
                <w:lang w:val="en-US" w:eastAsia="zh-CN"/>
              </w:rPr>
              <w:t>月3</w:t>
            </w:r>
            <w:r>
              <w:rPr>
                <w:rFonts w:hint="eastAsia" w:ascii="Times New Roman" w:hAnsi="Times New Roman" w:cs="Times New Roman"/>
                <w:sz w:val="21"/>
                <w:szCs w:val="21"/>
                <w:highlight w:val="none"/>
                <w:lang w:val="en-US" w:eastAsia="zh-CN"/>
              </w:rPr>
              <w:t>0</w:t>
            </w:r>
            <w:r>
              <w:rPr>
                <w:rFonts w:hint="default" w:ascii="Times New Roman" w:hAnsi="Times New Roman" w:eastAsia="宋体" w:cs="Times New Roman"/>
                <w:sz w:val="21"/>
                <w:szCs w:val="21"/>
                <w:highlight w:val="none"/>
                <w:lang w:val="en-US" w:eastAsia="zh-CN"/>
              </w:rPr>
              <w:t>日</w:t>
            </w:r>
          </w:p>
        </w:tc>
        <w:tc>
          <w:tcPr>
            <w:tcW w:w="3594" w:type="dxa"/>
          </w:tcPr>
          <w:p w14:paraId="3AC2179E">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完成6个月治疗，停药后继续随访</w:t>
            </w:r>
            <w:r>
              <w:rPr>
                <w:rFonts w:hint="eastAsia" w:ascii="Times New Roman" w:hAnsi="Times New Roman" w:cs="Times New Roman"/>
                <w:sz w:val="21"/>
                <w:szCs w:val="21"/>
                <w:highlight w:val="none"/>
                <w:lang w:val="en-US" w:eastAsia="zh-CN"/>
              </w:rPr>
              <w:t>6-</w:t>
            </w:r>
            <w:r>
              <w:rPr>
                <w:rFonts w:hint="default" w:ascii="Times New Roman" w:hAnsi="Times New Roman" w:eastAsia="宋体" w:cs="Times New Roman"/>
                <w:sz w:val="21"/>
                <w:szCs w:val="21"/>
                <w:highlight w:val="none"/>
                <w:lang w:val="en-US" w:eastAsia="zh-CN"/>
              </w:rPr>
              <w:t>12个月。</w:t>
            </w:r>
          </w:p>
        </w:tc>
      </w:tr>
      <w:tr w14:paraId="24931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3459A82C">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第3阶段</w:t>
            </w:r>
          </w:p>
        </w:tc>
        <w:tc>
          <w:tcPr>
            <w:tcW w:w="3698" w:type="dxa"/>
          </w:tcPr>
          <w:p w14:paraId="33BBB56D">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202</w:t>
            </w:r>
            <w:r>
              <w:rPr>
                <w:rFonts w:hint="eastAsia" w:ascii="Times New Roman" w:hAnsi="Times New Roman" w:cs="Times New Roman"/>
                <w:sz w:val="21"/>
                <w:szCs w:val="21"/>
                <w:highlight w:val="none"/>
                <w:lang w:val="en-US" w:eastAsia="zh-CN"/>
              </w:rPr>
              <w:t>6</w:t>
            </w:r>
            <w:r>
              <w:rPr>
                <w:rFonts w:hint="default" w:ascii="Times New Roman" w:hAnsi="Times New Roman" w:eastAsia="宋体" w:cs="Times New Roman"/>
                <w:sz w:val="21"/>
                <w:szCs w:val="21"/>
                <w:highlight w:val="none"/>
                <w:lang w:val="en-US" w:eastAsia="zh-CN"/>
              </w:rPr>
              <w:t>年</w:t>
            </w:r>
            <w:r>
              <w:rPr>
                <w:rFonts w:hint="eastAsia" w:ascii="Times New Roman" w:hAnsi="Times New Roman" w:cs="Times New Roman"/>
                <w:sz w:val="21"/>
                <w:szCs w:val="21"/>
                <w:highlight w:val="none"/>
                <w:lang w:val="en-US" w:eastAsia="zh-CN"/>
              </w:rPr>
              <w:t>07</w:t>
            </w:r>
            <w:r>
              <w:rPr>
                <w:rFonts w:hint="default" w:ascii="Times New Roman" w:hAnsi="Times New Roman" w:eastAsia="宋体" w:cs="Times New Roman"/>
                <w:sz w:val="21"/>
                <w:szCs w:val="21"/>
                <w:highlight w:val="none"/>
                <w:lang w:val="en-US" w:eastAsia="zh-CN"/>
              </w:rPr>
              <w:t>月01日-202</w:t>
            </w:r>
            <w:r>
              <w:rPr>
                <w:rFonts w:hint="eastAsia" w:ascii="Times New Roman" w:hAnsi="Times New Roman" w:cs="Times New Roman"/>
                <w:sz w:val="21"/>
                <w:szCs w:val="21"/>
                <w:highlight w:val="none"/>
                <w:lang w:val="en-US" w:eastAsia="zh-CN"/>
              </w:rPr>
              <w:t>6</w:t>
            </w:r>
            <w:r>
              <w:rPr>
                <w:rFonts w:hint="default" w:ascii="Times New Roman" w:hAnsi="Times New Roman" w:eastAsia="宋体" w:cs="Times New Roman"/>
                <w:sz w:val="21"/>
                <w:szCs w:val="21"/>
                <w:highlight w:val="none"/>
                <w:lang w:val="en-US" w:eastAsia="zh-CN"/>
              </w:rPr>
              <w:t>年12月31日</w:t>
            </w:r>
          </w:p>
        </w:tc>
        <w:tc>
          <w:tcPr>
            <w:tcW w:w="3594" w:type="dxa"/>
          </w:tcPr>
          <w:p w14:paraId="208C5E53">
            <w:pPr>
              <w:keepNext w:val="0"/>
              <w:keepLines w:val="0"/>
              <w:suppressLineNumbers w:val="0"/>
              <w:spacing w:before="0" w:beforeAutospacing="0" w:after="0" w:afterAutospacing="0" w:line="360" w:lineRule="auto"/>
              <w:ind w:left="0" w:right="0"/>
              <w:jc w:val="left"/>
              <w:rPr>
                <w:rFonts w:hint="default" w:ascii="Times New Roman" w:hAnsi="Times New Roman" w:cs="Times New Roman"/>
                <w:b/>
                <w:sz w:val="24"/>
                <w:highlight w:val="none"/>
                <w:vertAlign w:val="baseline"/>
                <w:lang w:val="en-US" w:eastAsia="zh-CN"/>
              </w:rPr>
            </w:pPr>
            <w:r>
              <w:rPr>
                <w:rFonts w:hint="default" w:ascii="Times New Roman" w:hAnsi="Times New Roman" w:eastAsia="宋体" w:cs="Times New Roman"/>
                <w:sz w:val="21"/>
                <w:szCs w:val="21"/>
                <w:highlight w:val="none"/>
                <w:lang w:val="en-US" w:eastAsia="zh-CN"/>
              </w:rPr>
              <w:t>分析数据，撰写文章并完成发表。</w:t>
            </w:r>
          </w:p>
        </w:tc>
      </w:tr>
    </w:tbl>
    <w:p w14:paraId="2BA40605">
      <w:pPr>
        <w:spacing w:line="360" w:lineRule="auto"/>
        <w:jc w:val="left"/>
        <w:rPr>
          <w:rFonts w:hint="default" w:ascii="Times New Roman" w:hAnsi="Times New Roman" w:cs="Times New Roman"/>
          <w:b/>
          <w:sz w:val="24"/>
          <w:highlight w:val="none"/>
          <w:lang w:val="en-US" w:eastAsia="zh-CN"/>
        </w:rPr>
      </w:pPr>
    </w:p>
    <w:p w14:paraId="585B93AC">
      <w:pPr>
        <w:spacing w:line="360" w:lineRule="auto"/>
        <w:jc w:val="left"/>
        <w:outlineLvl w:val="0"/>
        <w:rPr>
          <w:rFonts w:hint="default" w:ascii="Times New Roman" w:hAnsi="Times New Roman" w:cs="Times New Roman"/>
          <w:b/>
          <w:sz w:val="28"/>
          <w:szCs w:val="28"/>
          <w:highlight w:val="none"/>
          <w:lang w:eastAsia="zh-CN"/>
        </w:rPr>
      </w:pPr>
      <w:r>
        <w:rPr>
          <w:rFonts w:hint="eastAsia" w:ascii="Times New Roman" w:hAnsi="Times New Roman" w:cs="Times New Roman"/>
          <w:b/>
          <w:sz w:val="28"/>
          <w:szCs w:val="28"/>
          <w:highlight w:val="none"/>
          <w:lang w:eastAsia="zh-CN"/>
        </w:rPr>
        <w:t>七</w:t>
      </w:r>
      <w:r>
        <w:rPr>
          <w:rFonts w:hint="default" w:ascii="Times New Roman" w:hAnsi="Times New Roman" w:cs="Times New Roman"/>
          <w:b/>
          <w:sz w:val="28"/>
          <w:szCs w:val="28"/>
          <w:highlight w:val="none"/>
        </w:rPr>
        <w:t>、研究经费概算</w:t>
      </w:r>
      <w:r>
        <w:rPr>
          <w:rFonts w:hint="default" w:ascii="Times New Roman" w:hAnsi="Times New Roman" w:cs="Times New Roman"/>
          <w:b/>
          <w:sz w:val="28"/>
          <w:szCs w:val="28"/>
          <w:highlight w:val="none"/>
          <w:lang w:eastAsia="zh-CN"/>
        </w:rPr>
        <w:t>（</w:t>
      </w:r>
      <w:r>
        <w:rPr>
          <w:rFonts w:hint="default" w:ascii="Times New Roman" w:hAnsi="Times New Roman" w:cs="Times New Roman"/>
          <w:b/>
          <w:sz w:val="28"/>
          <w:szCs w:val="28"/>
          <w:highlight w:val="none"/>
        </w:rPr>
        <w:t>单位：万元</w:t>
      </w:r>
      <w:r>
        <w:rPr>
          <w:rFonts w:hint="default" w:ascii="Times New Roman" w:hAnsi="Times New Roman" w:cs="Times New Roman"/>
          <w:b/>
          <w:sz w:val="28"/>
          <w:szCs w:val="28"/>
          <w:highlight w:val="none"/>
          <w:lang w:eastAsia="zh-CN"/>
        </w:rPr>
        <w:t>）</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2666"/>
        <w:gridCol w:w="1212"/>
        <w:gridCol w:w="3807"/>
      </w:tblGrid>
      <w:tr w14:paraId="2D9BE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491" w:type="pct"/>
            <w:tcBorders>
              <w:top w:val="single" w:color="auto" w:sz="4" w:space="0"/>
              <w:left w:val="single" w:color="auto" w:sz="4" w:space="0"/>
              <w:bottom w:val="single" w:color="auto" w:sz="4" w:space="0"/>
              <w:right w:val="single" w:color="auto" w:sz="4" w:space="0"/>
            </w:tcBorders>
            <w:vAlign w:val="center"/>
          </w:tcPr>
          <w:p w14:paraId="701D22F6">
            <w:pPr>
              <w:keepNext w:val="0"/>
              <w:keepLines w:val="0"/>
              <w:suppressLineNumbers w:val="0"/>
              <w:spacing w:before="174" w:beforeAutospacing="0" w:after="0" w:afterAutospacing="0"/>
              <w:ind w:left="0" w:right="0"/>
              <w:jc w:val="center"/>
              <w:rPr>
                <w:rFonts w:hint="default" w:ascii="仿宋" w:hAnsi="仿宋" w:eastAsia="仿宋" w:cs="楷体"/>
                <w:b/>
                <w:bCs/>
                <w:sz w:val="24"/>
                <w:szCs w:val="24"/>
                <w:lang w:val="zh-CN" w:bidi="zh-CN"/>
              </w:rPr>
            </w:pPr>
            <w:r>
              <w:rPr>
                <w:rFonts w:hint="eastAsia" w:ascii="仿宋" w:hAnsi="仿宋" w:eastAsia="仿宋" w:cs="楷体"/>
                <w:b/>
                <w:bCs/>
                <w:sz w:val="24"/>
                <w:szCs w:val="24"/>
                <w:lang w:val="zh-CN" w:bidi="zh-CN"/>
              </w:rPr>
              <w:t>序号</w:t>
            </w:r>
          </w:p>
        </w:tc>
        <w:tc>
          <w:tcPr>
            <w:tcW w:w="1564" w:type="pct"/>
            <w:tcBorders>
              <w:top w:val="single" w:color="auto" w:sz="4" w:space="0"/>
              <w:left w:val="nil"/>
              <w:bottom w:val="single" w:color="auto" w:sz="4" w:space="0"/>
              <w:right w:val="single" w:color="auto" w:sz="4" w:space="0"/>
            </w:tcBorders>
            <w:vAlign w:val="center"/>
          </w:tcPr>
          <w:p w14:paraId="4B32BE7E">
            <w:pPr>
              <w:keepNext w:val="0"/>
              <w:keepLines w:val="0"/>
              <w:suppressLineNumbers w:val="0"/>
              <w:spacing w:before="174" w:beforeAutospacing="0" w:after="0" w:afterAutospacing="0"/>
              <w:ind w:left="0" w:right="0"/>
              <w:jc w:val="center"/>
              <w:rPr>
                <w:rFonts w:hint="default" w:ascii="仿宋" w:hAnsi="仿宋" w:eastAsia="仿宋" w:cs="楷体"/>
                <w:b/>
                <w:bCs/>
                <w:sz w:val="24"/>
                <w:szCs w:val="24"/>
                <w:lang w:val="zh-CN" w:bidi="zh-CN"/>
              </w:rPr>
            </w:pPr>
            <w:r>
              <w:rPr>
                <w:rFonts w:hint="eastAsia" w:ascii="仿宋" w:hAnsi="仿宋" w:eastAsia="仿宋" w:cs="楷体"/>
                <w:b/>
                <w:bCs/>
                <w:sz w:val="24"/>
                <w:szCs w:val="24"/>
                <w:lang w:val="zh-CN" w:bidi="zh-CN"/>
              </w:rPr>
              <w:t>科目名称</w:t>
            </w:r>
          </w:p>
        </w:tc>
        <w:tc>
          <w:tcPr>
            <w:tcW w:w="711" w:type="pct"/>
            <w:tcBorders>
              <w:top w:val="single" w:color="auto" w:sz="4" w:space="0"/>
              <w:left w:val="nil"/>
              <w:bottom w:val="single" w:color="auto" w:sz="4" w:space="0"/>
              <w:right w:val="single" w:color="auto" w:sz="4" w:space="0"/>
            </w:tcBorders>
            <w:vAlign w:val="center"/>
          </w:tcPr>
          <w:p w14:paraId="0C661FAC">
            <w:pPr>
              <w:keepNext w:val="0"/>
              <w:keepLines w:val="0"/>
              <w:suppressLineNumbers w:val="0"/>
              <w:spacing w:before="174" w:beforeAutospacing="0" w:after="0" w:afterAutospacing="0"/>
              <w:ind w:left="0" w:right="0"/>
              <w:jc w:val="center"/>
              <w:rPr>
                <w:rFonts w:hint="default" w:ascii="仿宋" w:hAnsi="仿宋" w:eastAsia="仿宋" w:cs="楷体"/>
                <w:b/>
                <w:bCs/>
                <w:sz w:val="24"/>
                <w:szCs w:val="24"/>
                <w:lang w:val="zh-CN" w:bidi="zh-CN"/>
              </w:rPr>
            </w:pPr>
            <w:r>
              <w:rPr>
                <w:rFonts w:hint="eastAsia" w:ascii="仿宋" w:hAnsi="仿宋" w:eastAsia="仿宋" w:cs="楷体"/>
                <w:b/>
                <w:bCs/>
                <w:sz w:val="24"/>
                <w:szCs w:val="24"/>
                <w:lang w:val="zh-CN" w:bidi="zh-CN"/>
              </w:rPr>
              <w:t>金额</w:t>
            </w:r>
          </w:p>
        </w:tc>
        <w:tc>
          <w:tcPr>
            <w:tcW w:w="2233" w:type="pct"/>
            <w:tcBorders>
              <w:top w:val="single" w:color="auto" w:sz="4" w:space="0"/>
              <w:left w:val="nil"/>
              <w:bottom w:val="single" w:color="auto" w:sz="4" w:space="0"/>
              <w:right w:val="single" w:color="auto" w:sz="4" w:space="0"/>
            </w:tcBorders>
            <w:vAlign w:val="center"/>
          </w:tcPr>
          <w:p w14:paraId="4302DBEF">
            <w:pPr>
              <w:keepNext w:val="0"/>
              <w:keepLines w:val="0"/>
              <w:suppressLineNumbers w:val="0"/>
              <w:spacing w:before="174" w:beforeAutospacing="0" w:after="0" w:afterAutospacing="0"/>
              <w:ind w:left="0" w:right="0"/>
              <w:jc w:val="center"/>
              <w:rPr>
                <w:rFonts w:hint="default" w:ascii="仿宋" w:hAnsi="仿宋" w:eastAsia="仿宋" w:cs="楷体"/>
                <w:b/>
                <w:bCs/>
                <w:sz w:val="24"/>
                <w:szCs w:val="24"/>
                <w:lang w:val="zh-CN" w:bidi="zh-CN"/>
              </w:rPr>
            </w:pPr>
            <w:r>
              <w:rPr>
                <w:rFonts w:hint="eastAsia" w:ascii="仿宋" w:hAnsi="仿宋" w:eastAsia="仿宋" w:cs="楷体"/>
                <w:b/>
                <w:bCs/>
                <w:sz w:val="24"/>
                <w:szCs w:val="24"/>
                <w:lang w:val="zh-CN" w:bidi="zh-CN"/>
              </w:rPr>
              <w:t>备注（简要计算依据与说明）</w:t>
            </w:r>
          </w:p>
        </w:tc>
      </w:tr>
      <w:tr w14:paraId="73316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15694A66">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Arial"/>
                <w:kern w:val="0"/>
              </w:rPr>
            </w:pPr>
          </w:p>
        </w:tc>
        <w:tc>
          <w:tcPr>
            <w:tcW w:w="1564" w:type="pct"/>
            <w:tcBorders>
              <w:top w:val="single" w:color="auto" w:sz="4" w:space="0"/>
              <w:left w:val="nil"/>
              <w:bottom w:val="single" w:color="auto" w:sz="4" w:space="0"/>
              <w:right w:val="single" w:color="auto" w:sz="4" w:space="0"/>
            </w:tcBorders>
            <w:vAlign w:val="center"/>
          </w:tcPr>
          <w:p w14:paraId="65E616F9">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r>
              <w:rPr>
                <w:rFonts w:hint="eastAsia" w:ascii="仿宋" w:hAnsi="仿宋" w:eastAsia="仿宋" w:cs="Arial"/>
                <w:kern w:val="0"/>
                <w:szCs w:val="24"/>
              </w:rPr>
              <w:t>经费合计</w:t>
            </w:r>
          </w:p>
        </w:tc>
        <w:tc>
          <w:tcPr>
            <w:tcW w:w="711" w:type="pct"/>
            <w:tcBorders>
              <w:top w:val="single" w:color="auto" w:sz="4" w:space="0"/>
              <w:left w:val="nil"/>
              <w:bottom w:val="single" w:color="auto" w:sz="4" w:space="0"/>
              <w:right w:val="single" w:color="auto" w:sz="4" w:space="0"/>
            </w:tcBorders>
            <w:vAlign w:val="center"/>
          </w:tcPr>
          <w:p w14:paraId="34B1CBEF">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lang w:val="en-US" w:eastAsia="zh-CN"/>
              </w:rPr>
            </w:pPr>
            <w:r>
              <w:rPr>
                <w:rFonts w:hint="eastAsia" w:ascii="仿宋" w:hAnsi="仿宋" w:eastAsia="仿宋" w:cs="Times New Roman"/>
                <w:kern w:val="0"/>
                <w:lang w:val="en-US" w:eastAsia="zh-CN"/>
              </w:rPr>
              <w:t>60</w:t>
            </w:r>
          </w:p>
        </w:tc>
        <w:tc>
          <w:tcPr>
            <w:tcW w:w="2233" w:type="pct"/>
            <w:tcBorders>
              <w:top w:val="single" w:color="auto" w:sz="4" w:space="0"/>
              <w:left w:val="nil"/>
              <w:bottom w:val="single" w:color="auto" w:sz="4" w:space="0"/>
              <w:right w:val="single" w:color="auto" w:sz="4" w:space="0"/>
            </w:tcBorders>
            <w:vAlign w:val="center"/>
          </w:tcPr>
          <w:p w14:paraId="280E2FE8">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091B4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7DE4C376">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2C47609E">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小型设备费（5万元以下）</w:t>
            </w:r>
          </w:p>
        </w:tc>
        <w:tc>
          <w:tcPr>
            <w:tcW w:w="711" w:type="pct"/>
            <w:tcBorders>
              <w:top w:val="single" w:color="auto" w:sz="4" w:space="0"/>
              <w:left w:val="nil"/>
              <w:bottom w:val="single" w:color="auto" w:sz="4" w:space="0"/>
              <w:right w:val="single" w:color="auto" w:sz="4" w:space="0"/>
            </w:tcBorders>
            <w:vAlign w:val="center"/>
          </w:tcPr>
          <w:p w14:paraId="187B6E4B">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780ABA28">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169A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491" w:type="pct"/>
            <w:tcBorders>
              <w:top w:val="single" w:color="auto" w:sz="4" w:space="0"/>
              <w:left w:val="single" w:color="auto" w:sz="4" w:space="0"/>
              <w:bottom w:val="single" w:color="auto" w:sz="4" w:space="0"/>
              <w:right w:val="single" w:color="auto" w:sz="4" w:space="0"/>
            </w:tcBorders>
            <w:vAlign w:val="center"/>
          </w:tcPr>
          <w:p w14:paraId="04C9E23D">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56144083">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材料费</w:t>
            </w:r>
          </w:p>
        </w:tc>
        <w:tc>
          <w:tcPr>
            <w:tcW w:w="711" w:type="pct"/>
            <w:tcBorders>
              <w:top w:val="single" w:color="auto" w:sz="4" w:space="0"/>
              <w:left w:val="nil"/>
              <w:bottom w:val="single" w:color="auto" w:sz="4" w:space="0"/>
              <w:right w:val="single" w:color="auto" w:sz="4" w:space="0"/>
            </w:tcBorders>
            <w:vAlign w:val="center"/>
          </w:tcPr>
          <w:p w14:paraId="631DC47D">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7D3B3D0F">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236F3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491" w:type="pct"/>
            <w:tcBorders>
              <w:top w:val="single" w:color="auto" w:sz="4" w:space="0"/>
              <w:left w:val="single" w:color="auto" w:sz="4" w:space="0"/>
              <w:bottom w:val="single" w:color="auto" w:sz="4" w:space="0"/>
              <w:right w:val="single" w:color="auto" w:sz="4" w:space="0"/>
            </w:tcBorders>
            <w:vAlign w:val="center"/>
          </w:tcPr>
          <w:p w14:paraId="251FE28E">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Arial"/>
                <w:kern w:val="0"/>
              </w:rPr>
            </w:pPr>
          </w:p>
        </w:tc>
        <w:tc>
          <w:tcPr>
            <w:tcW w:w="1564" w:type="pct"/>
            <w:tcBorders>
              <w:top w:val="single" w:color="auto" w:sz="4" w:space="0"/>
              <w:left w:val="nil"/>
              <w:bottom w:val="single" w:color="auto" w:sz="4" w:space="0"/>
              <w:right w:val="single" w:color="auto" w:sz="4" w:space="0"/>
            </w:tcBorders>
            <w:vAlign w:val="center"/>
          </w:tcPr>
          <w:p w14:paraId="2BFD9342">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测试化验加工费</w:t>
            </w:r>
          </w:p>
        </w:tc>
        <w:tc>
          <w:tcPr>
            <w:tcW w:w="711" w:type="pct"/>
            <w:tcBorders>
              <w:top w:val="single" w:color="auto" w:sz="4" w:space="0"/>
              <w:left w:val="nil"/>
              <w:bottom w:val="single" w:color="auto" w:sz="4" w:space="0"/>
              <w:right w:val="single" w:color="auto" w:sz="4" w:space="0"/>
            </w:tcBorders>
            <w:vAlign w:val="center"/>
          </w:tcPr>
          <w:p w14:paraId="2AFE45DC">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2C9080D2">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677AF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3370D1E1">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2CC9EB41">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差旅费</w:t>
            </w:r>
          </w:p>
        </w:tc>
        <w:tc>
          <w:tcPr>
            <w:tcW w:w="711" w:type="pct"/>
            <w:tcBorders>
              <w:top w:val="single" w:color="auto" w:sz="4" w:space="0"/>
              <w:left w:val="nil"/>
              <w:bottom w:val="single" w:color="auto" w:sz="4" w:space="0"/>
              <w:right w:val="single" w:color="auto" w:sz="4" w:space="0"/>
            </w:tcBorders>
            <w:vAlign w:val="center"/>
          </w:tcPr>
          <w:p w14:paraId="38A14272">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465373B4">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697E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491" w:type="pct"/>
            <w:tcBorders>
              <w:top w:val="single" w:color="auto" w:sz="4" w:space="0"/>
              <w:left w:val="single" w:color="auto" w:sz="4" w:space="0"/>
              <w:bottom w:val="single" w:color="auto" w:sz="4" w:space="0"/>
              <w:right w:val="single" w:color="auto" w:sz="4" w:space="0"/>
            </w:tcBorders>
            <w:vAlign w:val="center"/>
          </w:tcPr>
          <w:p w14:paraId="0FFA90AE">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10ACBDDA">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会议费</w:t>
            </w:r>
          </w:p>
        </w:tc>
        <w:tc>
          <w:tcPr>
            <w:tcW w:w="711" w:type="pct"/>
            <w:tcBorders>
              <w:top w:val="single" w:color="auto" w:sz="4" w:space="0"/>
              <w:left w:val="nil"/>
              <w:bottom w:val="single" w:color="auto" w:sz="4" w:space="0"/>
              <w:right w:val="single" w:color="auto" w:sz="4" w:space="0"/>
            </w:tcBorders>
            <w:vAlign w:val="center"/>
          </w:tcPr>
          <w:p w14:paraId="38686AD8">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29511D00">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51B58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73CC2FA6">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4CA25C65">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国际合作与交流费</w:t>
            </w:r>
          </w:p>
        </w:tc>
        <w:tc>
          <w:tcPr>
            <w:tcW w:w="711" w:type="pct"/>
            <w:tcBorders>
              <w:top w:val="single" w:color="auto" w:sz="4" w:space="0"/>
              <w:left w:val="nil"/>
              <w:bottom w:val="single" w:color="auto" w:sz="4" w:space="0"/>
              <w:right w:val="single" w:color="auto" w:sz="4" w:space="0"/>
            </w:tcBorders>
            <w:vAlign w:val="center"/>
          </w:tcPr>
          <w:p w14:paraId="35383E4A">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0FFFFDA6">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74B4B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71AA393F">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0E840141">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出版/文献/信息传播/知识产权事务费</w:t>
            </w:r>
          </w:p>
        </w:tc>
        <w:tc>
          <w:tcPr>
            <w:tcW w:w="711" w:type="pct"/>
            <w:tcBorders>
              <w:top w:val="single" w:color="auto" w:sz="4" w:space="0"/>
              <w:left w:val="nil"/>
              <w:bottom w:val="single" w:color="auto" w:sz="4" w:space="0"/>
              <w:right w:val="single" w:color="auto" w:sz="4" w:space="0"/>
            </w:tcBorders>
            <w:vAlign w:val="center"/>
          </w:tcPr>
          <w:p w14:paraId="00176F8A">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2D524257">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1DF5C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7B6AF13E">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Arial"/>
                <w:kern w:val="0"/>
              </w:rPr>
            </w:pPr>
          </w:p>
        </w:tc>
        <w:tc>
          <w:tcPr>
            <w:tcW w:w="1564" w:type="pct"/>
            <w:tcBorders>
              <w:top w:val="single" w:color="auto" w:sz="4" w:space="0"/>
              <w:left w:val="nil"/>
              <w:bottom w:val="single" w:color="auto" w:sz="4" w:space="0"/>
              <w:right w:val="single" w:color="auto" w:sz="4" w:space="0"/>
            </w:tcBorders>
            <w:vAlign w:val="center"/>
          </w:tcPr>
          <w:p w14:paraId="5D77EACD">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劳务费</w:t>
            </w:r>
          </w:p>
        </w:tc>
        <w:tc>
          <w:tcPr>
            <w:tcW w:w="711" w:type="pct"/>
            <w:tcBorders>
              <w:top w:val="single" w:color="auto" w:sz="4" w:space="0"/>
              <w:left w:val="nil"/>
              <w:bottom w:val="single" w:color="auto" w:sz="4" w:space="0"/>
              <w:right w:val="single" w:color="auto" w:sz="4" w:space="0"/>
            </w:tcBorders>
            <w:vAlign w:val="center"/>
          </w:tcPr>
          <w:p w14:paraId="209E6F78">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33281107">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0FC7F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27C769A0">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67C88E4E">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专家咨询费</w:t>
            </w:r>
          </w:p>
        </w:tc>
        <w:tc>
          <w:tcPr>
            <w:tcW w:w="711" w:type="pct"/>
            <w:tcBorders>
              <w:top w:val="single" w:color="auto" w:sz="4" w:space="0"/>
              <w:left w:val="nil"/>
              <w:bottom w:val="single" w:color="auto" w:sz="4" w:space="0"/>
              <w:right w:val="single" w:color="auto" w:sz="4" w:space="0"/>
            </w:tcBorders>
            <w:vAlign w:val="center"/>
          </w:tcPr>
          <w:p w14:paraId="1D662305">
            <w:pPr>
              <w:keepNext w:val="0"/>
              <w:keepLines w:val="0"/>
              <w:suppressLineNumbers w:val="0"/>
              <w:spacing w:before="0" w:beforeAutospacing="0" w:after="0" w:afterAutospacing="0" w:line="360" w:lineRule="auto"/>
              <w:ind w:left="0" w:right="0"/>
              <w:jc w:val="left"/>
              <w:rPr>
                <w:rFonts w:hint="eastAsia" w:ascii="仿宋" w:hAnsi="仿宋" w:eastAsia="仿宋" w:cs="Times New Roman"/>
                <w:kern w:val="0"/>
                <w:lang w:val="en-US" w:eastAsia="zh-CN"/>
              </w:rPr>
            </w:pPr>
            <w:r>
              <w:rPr>
                <w:rFonts w:hint="eastAsia" w:ascii="仿宋" w:hAnsi="仿宋" w:eastAsia="仿宋" w:cs="Times New Roman"/>
                <w:kern w:val="0"/>
                <w:lang w:val="en-US" w:eastAsia="zh-CN"/>
              </w:rPr>
              <w:t>0</w:t>
            </w:r>
          </w:p>
        </w:tc>
        <w:tc>
          <w:tcPr>
            <w:tcW w:w="2233" w:type="pct"/>
            <w:tcBorders>
              <w:top w:val="single" w:color="auto" w:sz="4" w:space="0"/>
              <w:left w:val="nil"/>
              <w:bottom w:val="single" w:color="auto" w:sz="4" w:space="0"/>
              <w:right w:val="single" w:color="auto" w:sz="4" w:space="0"/>
            </w:tcBorders>
            <w:vAlign w:val="center"/>
          </w:tcPr>
          <w:p w14:paraId="578DC390">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rPr>
            </w:pPr>
          </w:p>
        </w:tc>
      </w:tr>
      <w:tr w14:paraId="025CE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491" w:type="pct"/>
            <w:tcBorders>
              <w:top w:val="single" w:color="auto" w:sz="4" w:space="0"/>
              <w:left w:val="single" w:color="auto" w:sz="4" w:space="0"/>
              <w:bottom w:val="single" w:color="auto" w:sz="4" w:space="0"/>
              <w:right w:val="single" w:color="auto" w:sz="4" w:space="0"/>
            </w:tcBorders>
            <w:vAlign w:val="center"/>
          </w:tcPr>
          <w:p w14:paraId="1D7C1CD1">
            <w:pPr>
              <w:keepNext w:val="0"/>
              <w:keepLines w:val="0"/>
              <w:numPr>
                <w:ilvl w:val="0"/>
                <w:numId w:val="1"/>
              </w:numPr>
              <w:suppressLineNumbers w:val="0"/>
              <w:spacing w:before="0" w:beforeAutospacing="0" w:after="0" w:afterAutospacing="0" w:line="360" w:lineRule="auto"/>
              <w:ind w:right="0"/>
              <w:jc w:val="center"/>
              <w:rPr>
                <w:rFonts w:hint="default" w:ascii="仿宋" w:hAnsi="仿宋" w:eastAsia="仿宋" w:cs="Times New Roman"/>
                <w:kern w:val="0"/>
              </w:rPr>
            </w:pPr>
          </w:p>
        </w:tc>
        <w:tc>
          <w:tcPr>
            <w:tcW w:w="1564" w:type="pct"/>
            <w:tcBorders>
              <w:top w:val="single" w:color="auto" w:sz="4" w:space="0"/>
              <w:left w:val="nil"/>
              <w:bottom w:val="single" w:color="auto" w:sz="4" w:space="0"/>
              <w:right w:val="single" w:color="auto" w:sz="4" w:space="0"/>
            </w:tcBorders>
            <w:vAlign w:val="center"/>
          </w:tcPr>
          <w:p w14:paraId="19A72AF7">
            <w:pPr>
              <w:keepNext w:val="0"/>
              <w:keepLines w:val="0"/>
              <w:suppressLineNumbers w:val="0"/>
              <w:spacing w:before="0" w:beforeAutospacing="0" w:after="0" w:afterAutospacing="0" w:line="360" w:lineRule="auto"/>
              <w:ind w:left="0" w:right="0"/>
              <w:jc w:val="left"/>
              <w:rPr>
                <w:rFonts w:hint="default" w:ascii="仿宋" w:hAnsi="仿宋" w:eastAsia="仿宋" w:cs="Arial"/>
                <w:kern w:val="0"/>
                <w:szCs w:val="24"/>
              </w:rPr>
            </w:pPr>
            <w:r>
              <w:rPr>
                <w:rFonts w:hint="eastAsia" w:ascii="仿宋" w:hAnsi="仿宋" w:eastAsia="仿宋" w:cs="Arial"/>
                <w:kern w:val="0"/>
                <w:szCs w:val="24"/>
              </w:rPr>
              <w:t>其他支出（无法归入上述科目，如临床病例随访费等）</w:t>
            </w:r>
          </w:p>
        </w:tc>
        <w:tc>
          <w:tcPr>
            <w:tcW w:w="711" w:type="pct"/>
            <w:tcBorders>
              <w:top w:val="single" w:color="auto" w:sz="4" w:space="0"/>
              <w:left w:val="nil"/>
              <w:bottom w:val="single" w:color="auto" w:sz="4" w:space="0"/>
              <w:right w:val="single" w:color="auto" w:sz="4" w:space="0"/>
            </w:tcBorders>
            <w:vAlign w:val="center"/>
          </w:tcPr>
          <w:p w14:paraId="48560F20">
            <w:pPr>
              <w:keepNext w:val="0"/>
              <w:keepLines w:val="0"/>
              <w:suppressLineNumbers w:val="0"/>
              <w:spacing w:before="0" w:beforeAutospacing="0" w:after="0" w:afterAutospacing="0" w:line="360" w:lineRule="auto"/>
              <w:ind w:left="0" w:right="0"/>
              <w:jc w:val="left"/>
              <w:rPr>
                <w:rFonts w:hint="default" w:ascii="仿宋" w:hAnsi="仿宋" w:eastAsia="仿宋" w:cs="Times New Roman"/>
                <w:kern w:val="0"/>
                <w:lang w:val="en-US" w:eastAsia="zh-CN"/>
              </w:rPr>
            </w:pPr>
            <w:r>
              <w:rPr>
                <w:rFonts w:hint="eastAsia" w:ascii="仿宋" w:hAnsi="仿宋" w:eastAsia="仿宋" w:cs="Times New Roman"/>
                <w:kern w:val="0"/>
                <w:lang w:val="en-US" w:eastAsia="zh-CN"/>
              </w:rPr>
              <w:t>60</w:t>
            </w:r>
          </w:p>
        </w:tc>
        <w:tc>
          <w:tcPr>
            <w:tcW w:w="2233" w:type="pct"/>
            <w:tcBorders>
              <w:top w:val="single" w:color="auto" w:sz="4" w:space="0"/>
              <w:left w:val="nil"/>
              <w:bottom w:val="single" w:color="auto" w:sz="4" w:space="0"/>
              <w:right w:val="single" w:color="auto" w:sz="4" w:space="0"/>
            </w:tcBorders>
            <w:vAlign w:val="center"/>
          </w:tcPr>
          <w:p w14:paraId="2B76F0E4">
            <w:pPr>
              <w:keepNext w:val="0"/>
              <w:keepLines w:val="0"/>
              <w:suppressLineNumbers w:val="0"/>
              <w:spacing w:before="0" w:beforeAutospacing="0" w:after="0" w:afterAutospacing="0" w:line="360" w:lineRule="auto"/>
              <w:ind w:left="0" w:right="0"/>
              <w:jc w:val="left"/>
              <w:rPr>
                <w:rFonts w:hint="eastAsia"/>
                <w:lang w:eastAsia="zh-CN"/>
              </w:rPr>
            </w:pPr>
            <w:r>
              <w:rPr>
                <w:rFonts w:hint="eastAsia" w:ascii="仿宋" w:hAnsi="仿宋" w:eastAsia="仿宋" w:cs="Arial"/>
                <w:kern w:val="0"/>
                <w:szCs w:val="24"/>
              </w:rPr>
              <w:t>临床病例随访费</w:t>
            </w:r>
            <w:r>
              <w:rPr>
                <w:rFonts w:hint="eastAsia" w:ascii="仿宋" w:hAnsi="仿宋" w:eastAsia="仿宋" w:cs="Arial"/>
                <w:kern w:val="0"/>
                <w:szCs w:val="24"/>
                <w:lang w:eastAsia="zh-CN"/>
              </w:rPr>
              <w:t>：</w:t>
            </w:r>
            <w:r>
              <w:rPr>
                <w:rFonts w:hint="default" w:ascii="仿宋" w:hAnsi="仿宋" w:eastAsia="仿宋" w:cs="Arial"/>
                <w:kern w:val="0"/>
                <w:szCs w:val="24"/>
              </w:rPr>
              <w:t>完成研究可获得补偿。每位受试者补偿1万元人民币。抗结核治疗2个月时给予25%补偿，完成疗程时（4-6个月）给予50%补偿，完成停药后随访时（停药后12个月）给予剩余的25%补偿。如由于患者主观原因（如失访、自行停药等）而不能完成疗程，则不会给予任何补偿</w:t>
            </w:r>
            <w:r>
              <w:rPr>
                <w:rFonts w:hint="eastAsia" w:ascii="仿宋" w:hAnsi="仿宋" w:eastAsia="仿宋" w:cs="Arial"/>
                <w:b/>
                <w:bCs/>
                <w:kern w:val="0"/>
                <w:szCs w:val="24"/>
                <w:lang w:eastAsia="zh-CN"/>
              </w:rPr>
              <w:t>。</w:t>
            </w:r>
          </w:p>
        </w:tc>
      </w:tr>
    </w:tbl>
    <w:p w14:paraId="57ED7D57">
      <w:pPr>
        <w:spacing w:line="360" w:lineRule="auto"/>
        <w:jc w:val="left"/>
        <w:rPr>
          <w:rFonts w:hint="default" w:ascii="Times New Roman" w:hAnsi="Times New Roman" w:cs="Times New Roman"/>
          <w:b/>
          <w:sz w:val="24"/>
          <w:highlight w:val="none"/>
          <w:lang w:val="en-US" w:eastAsia="zh-CN"/>
        </w:rPr>
      </w:pPr>
    </w:p>
    <w:p w14:paraId="3DF32A60">
      <w:pPr>
        <w:spacing w:beforeLines="0" w:afterLines="0"/>
        <w:jc w:val="left"/>
        <w:rPr>
          <w:rFonts w:hint="default"/>
          <w:sz w:val="24"/>
          <w:szCs w:val="24"/>
        </w:rPr>
      </w:pPr>
      <w:r>
        <w:rPr>
          <w:rFonts w:hint="default" w:ascii="Times New Roman" w:hAnsi="Times New Roman" w:cs="Times New Roman"/>
          <w:b/>
          <w:sz w:val="24"/>
          <w:highlight w:val="none"/>
          <w:lang w:val="en-US" w:eastAsia="zh-CN"/>
        </w:rPr>
        <w:fldChar w:fldCharType="begin"/>
      </w:r>
      <w:r>
        <w:rPr>
          <w:rFonts w:hint="eastAsia" w:ascii="Times New Roman" w:hAnsi="Times New Roman" w:cs="Times New Roman"/>
          <w:b/>
          <w:sz w:val="24"/>
          <w:highlight w:val="none"/>
          <w:lang w:val="en-US" w:eastAsia="zh-CN"/>
        </w:rPr>
        <w:instrText xml:space="preserve"> ADDIN NE.Rep</w:instrText>
      </w:r>
      <w:r>
        <w:rPr>
          <w:rFonts w:hint="default" w:ascii="Times New Roman" w:hAnsi="Times New Roman" w:cs="Times New Roman"/>
          <w:b/>
          <w:sz w:val="24"/>
          <w:highlight w:val="none"/>
          <w:lang w:val="en-US" w:eastAsia="zh-CN"/>
        </w:rPr>
        <w:fldChar w:fldCharType="separate"/>
      </w:r>
    </w:p>
    <w:p w14:paraId="66CEDC9F">
      <w:pPr>
        <w:spacing w:beforeLines="0" w:afterLines="0"/>
        <w:jc w:val="left"/>
        <w:rPr>
          <w:rFonts w:hint="default"/>
          <w:sz w:val="24"/>
          <w:szCs w:val="24"/>
        </w:rPr>
      </w:pPr>
      <w:r>
        <w:rPr>
          <w:rFonts w:hint="default" w:ascii="Times New Roman" w:hAnsi="Times New Roman" w:cs="Times New Roman"/>
          <w:b/>
          <w:sz w:val="24"/>
          <w:highlight w:val="none"/>
          <w:lang w:val="en-US" w:eastAsia="zh-CN"/>
        </w:rPr>
        <w:fldChar w:fldCharType="end"/>
      </w:r>
      <w:r>
        <w:rPr>
          <w:rFonts w:hint="default" w:ascii="Times New Roman" w:hAnsi="Times New Roman" w:cs="Times New Roman"/>
          <w:b/>
          <w:sz w:val="24"/>
          <w:highlight w:val="none"/>
          <w:lang w:val="en-US" w:eastAsia="zh-CN"/>
        </w:rPr>
        <w:fldChar w:fldCharType="begin"/>
      </w:r>
      <w:r>
        <w:rPr>
          <w:rFonts w:hint="eastAsia" w:ascii="Times New Roman" w:hAnsi="Times New Roman" w:cs="Times New Roman"/>
          <w:b/>
          <w:sz w:val="24"/>
          <w:highlight w:val="none"/>
          <w:lang w:val="en-US" w:eastAsia="zh-CN"/>
        </w:rPr>
        <w:instrText xml:space="preserve"> ADDIN NE.Bib</w:instrText>
      </w:r>
      <w:r>
        <w:rPr>
          <w:rFonts w:hint="default" w:ascii="Times New Roman" w:hAnsi="Times New Roman" w:cs="Times New Roman"/>
          <w:b/>
          <w:sz w:val="24"/>
          <w:highlight w:val="none"/>
          <w:lang w:val="en-US" w:eastAsia="zh-CN"/>
        </w:rPr>
        <w:fldChar w:fldCharType="separate"/>
      </w:r>
    </w:p>
    <w:p w14:paraId="48EEFB76">
      <w:pPr>
        <w:spacing w:beforeLines="0" w:afterLines="0"/>
        <w:jc w:val="center"/>
        <w:rPr>
          <w:rFonts w:hint="default"/>
          <w:sz w:val="24"/>
          <w:szCs w:val="24"/>
        </w:rPr>
      </w:pPr>
      <w:r>
        <w:rPr>
          <w:rFonts w:hint="eastAsia" w:ascii="宋体" w:hAnsi="宋体"/>
          <w:b/>
          <w:color w:val="000000"/>
          <w:sz w:val="40"/>
          <w:szCs w:val="24"/>
        </w:rPr>
        <w:t>参考文献</w:t>
      </w:r>
    </w:p>
    <w:p w14:paraId="33AC2853">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[1]</w:t>
      </w:r>
      <w:r>
        <w:rPr>
          <w:rFonts w:hint="default" w:ascii="Times New Roman" w:hAnsi="Times New Roman" w:eastAsia="Times New Roman"/>
          <w:color w:val="000000"/>
          <w:sz w:val="20"/>
          <w:szCs w:val="24"/>
        </w:rPr>
        <w:tab/>
      </w:r>
      <w:bookmarkStart w:id="0" w:name="_neb0C9DA1EA_101D_4EFB_8685_CCB88332A61A"/>
      <w:r>
        <w:rPr>
          <w:rFonts w:hint="default" w:ascii="Times New Roman" w:hAnsi="Times New Roman" w:eastAsia="Times New Roman"/>
          <w:color w:val="000000"/>
          <w:sz w:val="20"/>
          <w:szCs w:val="24"/>
        </w:rPr>
        <w:t>WHO. Global tuberculosis report 2022[R]. Geneva: World Health Organization: 2022.</w:t>
      </w:r>
      <w:bookmarkEnd w:id="0"/>
    </w:p>
    <w:p w14:paraId="656ECA17">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[2]</w:t>
      </w:r>
      <w:r>
        <w:rPr>
          <w:rFonts w:hint="default" w:ascii="Times New Roman" w:hAnsi="Times New Roman" w:eastAsia="Times New Roman"/>
          <w:color w:val="000000"/>
          <w:sz w:val="20"/>
          <w:szCs w:val="24"/>
        </w:rPr>
        <w:tab/>
      </w:r>
      <w:bookmarkStart w:id="1" w:name="_nebF29AA9AC_5BD5_4A98_A662_9F7961D1E9A7"/>
      <w:r>
        <w:rPr>
          <w:rFonts w:hint="default" w:ascii="Times New Roman" w:hAnsi="Times New Roman" w:eastAsia="Times New Roman"/>
          <w:color w:val="000000"/>
          <w:sz w:val="20"/>
          <w:szCs w:val="24"/>
        </w:rPr>
        <w:t>WHO. WHO consolidated guidelines on tuberculosis. Module 4: treatment - drug-resistant tuberculosis treatment[R]. Geneva: World Health Organization: 2020.</w:t>
      </w:r>
      <w:bookmarkEnd w:id="1"/>
    </w:p>
    <w:p w14:paraId="292A4944">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[3]</w:t>
      </w:r>
      <w:r>
        <w:rPr>
          <w:rFonts w:hint="default" w:ascii="Times New Roman" w:hAnsi="Times New Roman" w:eastAsia="Times New Roman"/>
          <w:color w:val="000000"/>
          <w:sz w:val="20"/>
          <w:szCs w:val="24"/>
        </w:rPr>
        <w:tab/>
      </w:r>
      <w:bookmarkStart w:id="2" w:name="_neb35741D27_DE76_4362_ADFC_9E8E838860F6"/>
      <w:r>
        <w:rPr>
          <w:rFonts w:hint="default" w:ascii="Times New Roman" w:hAnsi="Times New Roman" w:eastAsia="Times New Roman"/>
          <w:color w:val="000000"/>
          <w:sz w:val="20"/>
          <w:szCs w:val="24"/>
        </w:rPr>
        <w:t>WHO. Rapid communication: Key changes to the treatment of drug-resistant tuberculosis[R]. Geneva: World Health Organization;  2022 (WHO/UCN/TB/2022.2). Licence: CC BY-NC-SA 3.0 IGO.: 2022.</w:t>
      </w:r>
      <w:bookmarkEnd w:id="2"/>
    </w:p>
    <w:p w14:paraId="1DE806BF">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[4]</w:t>
      </w:r>
      <w:r>
        <w:rPr>
          <w:rFonts w:hint="default" w:ascii="Times New Roman" w:hAnsi="Times New Roman" w:eastAsia="Times New Roman"/>
          <w:color w:val="000000"/>
          <w:sz w:val="20"/>
          <w:szCs w:val="24"/>
        </w:rPr>
        <w:tab/>
      </w:r>
      <w:bookmarkStart w:id="3" w:name="_neb1FDA307F_E3B5_4B5C_9628_F636F5335608"/>
      <w:r>
        <w:rPr>
          <w:rFonts w:hint="default" w:ascii="Times New Roman" w:hAnsi="Times New Roman" w:eastAsia="Times New Roman"/>
          <w:color w:val="000000"/>
          <w:sz w:val="20"/>
          <w:szCs w:val="24"/>
        </w:rPr>
        <w:t>WHO. WHO consolidated guidelines on tuberculosis. Module 4: treatment - drug-resistant tuberculosis treatment, 2022 update[R]. Geneva: World Health Organization: 2022.</w:t>
      </w:r>
      <w:bookmarkEnd w:id="3"/>
    </w:p>
    <w:p w14:paraId="382C6F12">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[5]</w:t>
      </w:r>
      <w:r>
        <w:rPr>
          <w:rFonts w:hint="default" w:ascii="Times New Roman" w:hAnsi="Times New Roman" w:eastAsia="Times New Roman"/>
          <w:color w:val="000000"/>
          <w:sz w:val="20"/>
          <w:szCs w:val="24"/>
        </w:rPr>
        <w:tab/>
      </w:r>
      <w:bookmarkStart w:id="4" w:name="_nebA87B0413_B9D7_4188_9BB6_BFCBC02641F4"/>
      <w:r>
        <w:rPr>
          <w:rFonts w:hint="default" w:ascii="Times New Roman" w:hAnsi="Times New Roman" w:eastAsia="Times New Roman"/>
          <w:color w:val="000000"/>
          <w:sz w:val="20"/>
          <w:szCs w:val="24"/>
        </w:rPr>
        <w:t>WHO. WHO treatment guidelines for drug-resistant tuberculosis. 2016 update[R]. Geneva: World Health Organization: 2016.</w:t>
      </w:r>
      <w:bookmarkEnd w:id="4"/>
    </w:p>
    <w:p w14:paraId="5E2DD28E">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[6]</w:t>
      </w:r>
      <w:r>
        <w:rPr>
          <w:rFonts w:hint="default" w:ascii="Times New Roman" w:hAnsi="Times New Roman" w:eastAsia="Times New Roman"/>
          <w:color w:val="000000"/>
          <w:sz w:val="20"/>
          <w:szCs w:val="24"/>
        </w:rPr>
        <w:tab/>
      </w:r>
      <w:bookmarkStart w:id="5" w:name="_neb132AD70C_F38B_405E_A8D4_9098D98B6B2B"/>
      <w:r>
        <w:rPr>
          <w:rFonts w:hint="eastAsia" w:ascii="宋体" w:hAnsi="宋体"/>
          <w:color w:val="000000"/>
          <w:sz w:val="20"/>
          <w:szCs w:val="24"/>
        </w:rPr>
        <w:t>李琦</w:t>
      </w:r>
      <w:r>
        <w:rPr>
          <w:rFonts w:hint="default" w:ascii="Times New Roman" w:hAnsi="Times New Roman" w:eastAsia="Times New Roman"/>
          <w:color w:val="000000"/>
          <w:sz w:val="20"/>
          <w:szCs w:val="24"/>
        </w:rPr>
        <w:t xml:space="preserve">, </w:t>
      </w:r>
      <w:r>
        <w:rPr>
          <w:rFonts w:hint="eastAsia" w:ascii="宋体" w:hAnsi="宋体"/>
          <w:color w:val="000000"/>
          <w:sz w:val="20"/>
          <w:szCs w:val="24"/>
        </w:rPr>
        <w:t>李亮</w:t>
      </w:r>
      <w:r>
        <w:rPr>
          <w:rFonts w:hint="default" w:ascii="Times New Roman" w:hAnsi="Times New Roman" w:eastAsia="Times New Roman"/>
          <w:color w:val="000000"/>
          <w:sz w:val="20"/>
          <w:szCs w:val="24"/>
        </w:rPr>
        <w:t xml:space="preserve">. </w:t>
      </w:r>
      <w:r>
        <w:rPr>
          <w:rFonts w:hint="eastAsia" w:ascii="宋体" w:hAnsi="宋体"/>
          <w:color w:val="000000"/>
          <w:sz w:val="20"/>
          <w:szCs w:val="24"/>
        </w:rPr>
        <w:t>耐多药或利福平耐药结核病长程化疗方案与短程化疗方案的利与弊</w:t>
      </w:r>
      <w:r>
        <w:rPr>
          <w:rFonts w:hint="default" w:ascii="Times New Roman" w:hAnsi="Times New Roman" w:eastAsia="Times New Roman"/>
          <w:color w:val="000000"/>
          <w:sz w:val="20"/>
          <w:szCs w:val="24"/>
        </w:rPr>
        <w:t xml:space="preserve">[J]. </w:t>
      </w:r>
      <w:r>
        <w:rPr>
          <w:rFonts w:hint="eastAsia" w:ascii="宋体" w:hAnsi="宋体"/>
          <w:color w:val="000000"/>
          <w:sz w:val="20"/>
          <w:szCs w:val="24"/>
        </w:rPr>
        <w:t>中华结核和呼吸杂志</w:t>
      </w:r>
      <w:r>
        <w:rPr>
          <w:rFonts w:hint="default" w:ascii="Times New Roman" w:hAnsi="Times New Roman" w:eastAsia="Times New Roman"/>
          <w:color w:val="000000"/>
          <w:sz w:val="20"/>
          <w:szCs w:val="24"/>
        </w:rPr>
        <w:t>, 2019,42(5): 333-338.</w:t>
      </w:r>
      <w:bookmarkEnd w:id="5"/>
    </w:p>
    <w:p w14:paraId="52C053F1">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[7]</w:t>
      </w:r>
      <w:r>
        <w:rPr>
          <w:rFonts w:hint="default" w:ascii="Times New Roman" w:hAnsi="Times New Roman" w:eastAsia="Times New Roman"/>
          <w:color w:val="000000"/>
          <w:sz w:val="20"/>
          <w:szCs w:val="24"/>
        </w:rPr>
        <w:tab/>
      </w:r>
      <w:bookmarkStart w:id="6" w:name="_nebB308ED16_1C85_4332_BC96_F7391A23E8B2"/>
      <w:r>
        <w:rPr>
          <w:rFonts w:hint="eastAsia" w:ascii="宋体" w:hAnsi="宋体"/>
          <w:color w:val="000000"/>
          <w:sz w:val="20"/>
          <w:szCs w:val="24"/>
        </w:rPr>
        <w:t>张文宏</w:t>
      </w:r>
      <w:r>
        <w:rPr>
          <w:rFonts w:hint="default" w:ascii="Times New Roman" w:hAnsi="Times New Roman" w:eastAsia="Times New Roman"/>
          <w:color w:val="000000"/>
          <w:sz w:val="20"/>
          <w:szCs w:val="24"/>
        </w:rPr>
        <w:t xml:space="preserve">, </w:t>
      </w:r>
      <w:r>
        <w:rPr>
          <w:rFonts w:hint="eastAsia" w:ascii="宋体" w:hAnsi="宋体"/>
          <w:color w:val="000000"/>
          <w:sz w:val="20"/>
          <w:szCs w:val="24"/>
        </w:rPr>
        <w:t>孙峰</w:t>
      </w:r>
      <w:r>
        <w:rPr>
          <w:rFonts w:hint="default" w:ascii="Times New Roman" w:hAnsi="Times New Roman" w:eastAsia="Times New Roman"/>
          <w:color w:val="000000"/>
          <w:sz w:val="20"/>
          <w:szCs w:val="24"/>
        </w:rPr>
        <w:t xml:space="preserve">, </w:t>
      </w:r>
      <w:r>
        <w:rPr>
          <w:rFonts w:hint="eastAsia" w:ascii="宋体" w:hAnsi="宋体"/>
          <w:color w:val="000000"/>
          <w:sz w:val="20"/>
          <w:szCs w:val="24"/>
        </w:rPr>
        <w:t>李杨</w:t>
      </w:r>
      <w:r>
        <w:rPr>
          <w:rFonts w:hint="default" w:ascii="Times New Roman" w:hAnsi="Times New Roman" w:eastAsia="Times New Roman"/>
          <w:color w:val="000000"/>
          <w:sz w:val="20"/>
          <w:szCs w:val="24"/>
        </w:rPr>
        <w:t xml:space="preserve">. </w:t>
      </w:r>
      <w:r>
        <w:rPr>
          <w:rFonts w:hint="eastAsia" w:ascii="宋体" w:hAnsi="宋体"/>
          <w:color w:val="000000"/>
          <w:sz w:val="20"/>
          <w:szCs w:val="24"/>
        </w:rPr>
        <w:t>世界卫生组织新短程耐多药结核病化学治疗方案</w:t>
      </w:r>
      <w:r>
        <w:rPr>
          <w:rFonts w:hint="default" w:ascii="Times New Roman" w:hAnsi="Times New Roman" w:eastAsia="Times New Roman"/>
          <w:color w:val="000000"/>
          <w:sz w:val="20"/>
          <w:szCs w:val="24"/>
        </w:rPr>
        <w:t>:</w:t>
      </w:r>
      <w:r>
        <w:rPr>
          <w:rFonts w:hint="eastAsia" w:ascii="宋体" w:hAnsi="宋体"/>
          <w:color w:val="000000"/>
          <w:sz w:val="20"/>
          <w:szCs w:val="24"/>
        </w:rPr>
        <w:t>适逢其时还是太过仓促</w:t>
      </w:r>
      <w:r>
        <w:rPr>
          <w:rFonts w:hint="default" w:ascii="Times New Roman" w:hAnsi="Times New Roman" w:eastAsia="Times New Roman"/>
          <w:color w:val="000000"/>
          <w:sz w:val="20"/>
          <w:szCs w:val="24"/>
        </w:rPr>
        <w:t xml:space="preserve">?[J]. </w:t>
      </w:r>
      <w:r>
        <w:rPr>
          <w:rFonts w:hint="eastAsia" w:ascii="宋体" w:hAnsi="宋体"/>
          <w:color w:val="000000"/>
          <w:sz w:val="20"/>
          <w:szCs w:val="24"/>
        </w:rPr>
        <w:t>中华传染病杂志</w:t>
      </w:r>
      <w:r>
        <w:rPr>
          <w:rFonts w:hint="default" w:ascii="Times New Roman" w:hAnsi="Times New Roman" w:eastAsia="Times New Roman"/>
          <w:color w:val="000000"/>
          <w:sz w:val="20"/>
          <w:szCs w:val="24"/>
        </w:rPr>
        <w:t>, 2017,35(12): 711-714.</w:t>
      </w:r>
      <w:bookmarkEnd w:id="6"/>
    </w:p>
    <w:p w14:paraId="4AFAF608">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[8]</w:t>
      </w:r>
      <w:r>
        <w:rPr>
          <w:rFonts w:hint="default" w:ascii="Times New Roman" w:hAnsi="Times New Roman" w:eastAsia="Times New Roman"/>
          <w:color w:val="000000"/>
          <w:sz w:val="20"/>
          <w:szCs w:val="24"/>
        </w:rPr>
        <w:tab/>
      </w:r>
      <w:bookmarkStart w:id="7" w:name="_neb1D725F91_D1C4_4791_9825_DBC124EADE7C"/>
      <w:r>
        <w:rPr>
          <w:rFonts w:hint="default" w:ascii="Times New Roman" w:hAnsi="Times New Roman" w:eastAsia="Times New Roman"/>
          <w:color w:val="000000"/>
          <w:sz w:val="20"/>
          <w:szCs w:val="24"/>
        </w:rPr>
        <w:t>CONRADIE F, DIACON A H, NGUBANE N, et al. Treatment of Highly Drug-Resistant Pulmonary Tuberculosis[J]. N Engl J Med, 2020,382(10): 893-902.</w:t>
      </w:r>
      <w:bookmarkEnd w:id="7"/>
    </w:p>
    <w:p w14:paraId="2FE15A04">
      <w:pPr>
        <w:spacing w:beforeLines="0" w:afterLines="0"/>
        <w:ind w:left="420" w:hanging="420"/>
        <w:rPr>
          <w:rFonts w:hint="default"/>
          <w:sz w:val="24"/>
          <w:szCs w:val="24"/>
        </w:rPr>
      </w:pPr>
      <w:r>
        <w:rPr>
          <w:rFonts w:hint="default" w:ascii="Times New Roman" w:hAnsi="Times New Roman" w:eastAsia="Times New Roman"/>
          <w:color w:val="000000"/>
          <w:sz w:val="20"/>
          <w:szCs w:val="24"/>
        </w:rPr>
        <w:t xml:space="preserve"> [9]</w:t>
      </w:r>
      <w:r>
        <w:rPr>
          <w:rFonts w:hint="default" w:ascii="Times New Roman" w:hAnsi="Times New Roman" w:eastAsia="Times New Roman"/>
          <w:color w:val="000000"/>
          <w:sz w:val="20"/>
          <w:szCs w:val="24"/>
        </w:rPr>
        <w:tab/>
      </w:r>
      <w:bookmarkStart w:id="8" w:name="_nebFDEEC9A9_DA3C_423A_92B7_C3C46C85FDD5"/>
      <w:r>
        <w:rPr>
          <w:rFonts w:hint="default" w:ascii="Times New Roman" w:hAnsi="Times New Roman" w:eastAsia="Times New Roman"/>
          <w:color w:val="000000"/>
          <w:sz w:val="20"/>
          <w:szCs w:val="24"/>
        </w:rPr>
        <w:t>TWEED C D, DAWSON R, BURGER D A, et al. Bedaquiline, moxifloxacin, pretomanid, and pyrazinamide during the first 8 weeks of  treatment of patients with drug-susceptible or drug-resistant pulmonary  tuberculosis: a multicentre, open-label, partially randomised, phase 2b trial[J]. Lancet Respir Med, 2019,7(12): 1048-1058.</w:t>
      </w:r>
      <w:bookmarkEnd w:id="8"/>
    </w:p>
    <w:p w14:paraId="4419E654">
      <w:pPr>
        <w:spacing w:beforeLines="0" w:afterLines="0"/>
        <w:ind w:left="420" w:hanging="420"/>
        <w:rPr>
          <w:rFonts w:hint="default"/>
          <w:sz w:val="24"/>
          <w:szCs w:val="24"/>
        </w:rPr>
      </w:pPr>
      <w:r>
        <w:rPr>
          <w:rFonts w:hint="default" w:ascii="Times New Roman" w:hAnsi="Times New Roman" w:eastAsia="Times New Roman"/>
          <w:color w:val="000000"/>
          <w:sz w:val="20"/>
          <w:szCs w:val="24"/>
        </w:rPr>
        <w:t>[10]</w:t>
      </w:r>
      <w:r>
        <w:rPr>
          <w:rFonts w:hint="default" w:ascii="Times New Roman" w:hAnsi="Times New Roman" w:eastAsia="Times New Roman"/>
          <w:color w:val="000000"/>
          <w:sz w:val="20"/>
          <w:szCs w:val="24"/>
        </w:rPr>
        <w:tab/>
      </w:r>
      <w:bookmarkStart w:id="9" w:name="_nebE4820491_B41C_4AD1_B067_8831773B1472"/>
      <w:r>
        <w:rPr>
          <w:rFonts w:hint="default" w:ascii="Times New Roman" w:hAnsi="Times New Roman" w:eastAsia="Times New Roman"/>
          <w:color w:val="000000"/>
          <w:sz w:val="20"/>
          <w:szCs w:val="24"/>
        </w:rPr>
        <w:t>BERRY C, du CROS P, FIELDING K, et al. TB-PRACTECAL: study protocol for a randomised, controlled, open-label, phase  II-III trial to evaluate the safety and efficacy of regimens containing  bedaquiline and pretomanid for the treatment of adult patients with pulmonary  multidrug-resistant tuberculosis[J]. Trials, 2022,23(1): 484.</w:t>
      </w:r>
      <w:bookmarkEnd w:id="9"/>
    </w:p>
    <w:p w14:paraId="5571787D">
      <w:pPr>
        <w:spacing w:beforeLines="0" w:afterLines="0"/>
        <w:ind w:left="420" w:hanging="420"/>
        <w:rPr>
          <w:rFonts w:hint="default"/>
          <w:sz w:val="24"/>
          <w:szCs w:val="24"/>
        </w:rPr>
      </w:pPr>
      <w:r>
        <w:rPr>
          <w:rFonts w:hint="default" w:ascii="Times New Roman" w:hAnsi="Times New Roman" w:eastAsia="Times New Roman"/>
          <w:color w:val="000000"/>
          <w:sz w:val="20"/>
          <w:szCs w:val="24"/>
        </w:rPr>
        <w:t>[11]</w:t>
      </w:r>
      <w:r>
        <w:rPr>
          <w:rFonts w:hint="default" w:ascii="Times New Roman" w:hAnsi="Times New Roman" w:eastAsia="Times New Roman"/>
          <w:color w:val="000000"/>
          <w:sz w:val="20"/>
          <w:szCs w:val="24"/>
        </w:rPr>
        <w:tab/>
      </w:r>
      <w:bookmarkStart w:id="10" w:name="_neb6336A118_9386_417A_962C_D40A6EE90A57"/>
      <w:r>
        <w:rPr>
          <w:rFonts w:hint="default" w:ascii="Times New Roman" w:hAnsi="Times New Roman" w:eastAsia="Times New Roman"/>
          <w:color w:val="000000"/>
          <w:sz w:val="20"/>
          <w:szCs w:val="24"/>
        </w:rPr>
        <w:t>SUN F, LI Y, CHEN Y, et al. Introducing molecular testing of pyrazinamide susceptibility improves multidrug-resistant tuberculosis treatment outcomes: a prospective cohort?study[J]. Eur Respir J, 2019,53(3): 1801770.</w:t>
      </w:r>
      <w:bookmarkEnd w:id="10"/>
    </w:p>
    <w:p w14:paraId="64BEE363">
      <w:pPr>
        <w:spacing w:beforeLines="0" w:afterLines="0"/>
        <w:ind w:left="420" w:hanging="420"/>
        <w:rPr>
          <w:rFonts w:hint="default"/>
          <w:sz w:val="24"/>
          <w:szCs w:val="24"/>
        </w:rPr>
      </w:pPr>
      <w:r>
        <w:rPr>
          <w:rFonts w:hint="default" w:ascii="Times New Roman" w:hAnsi="Times New Roman" w:eastAsia="Times New Roman"/>
          <w:color w:val="000000"/>
          <w:sz w:val="20"/>
          <w:szCs w:val="24"/>
        </w:rPr>
        <w:t>[12]</w:t>
      </w:r>
      <w:r>
        <w:rPr>
          <w:rFonts w:hint="default" w:ascii="Times New Roman" w:hAnsi="Times New Roman" w:eastAsia="Times New Roman"/>
          <w:color w:val="000000"/>
          <w:sz w:val="20"/>
          <w:szCs w:val="24"/>
        </w:rPr>
        <w:tab/>
      </w:r>
      <w:bookmarkStart w:id="11" w:name="_neb0075DEA7_E428_42B7_A2A4_86297EEDAAFD"/>
      <w:r>
        <w:rPr>
          <w:rFonts w:hint="default" w:ascii="Times New Roman" w:hAnsi="Times New Roman" w:eastAsia="Times New Roman"/>
          <w:color w:val="000000"/>
          <w:sz w:val="20"/>
          <w:szCs w:val="24"/>
        </w:rPr>
        <w:t>MUDDE S E, UPTON A M, LENAERTS A, et al. Delamanid or pretomanid? A Solomonic judgement![J]. Journal of Antimicrobial Chemotherapy, 2022,77(4): 880-902.</w:t>
      </w:r>
      <w:bookmarkEnd w:id="11"/>
    </w:p>
    <w:p w14:paraId="3A540D69">
      <w:pPr>
        <w:spacing w:beforeLines="0" w:afterLines="0"/>
        <w:ind w:left="420" w:hanging="420"/>
        <w:rPr>
          <w:rFonts w:hint="default"/>
          <w:sz w:val="24"/>
          <w:szCs w:val="24"/>
        </w:rPr>
      </w:pPr>
      <w:r>
        <w:rPr>
          <w:rFonts w:hint="default" w:ascii="Times New Roman" w:hAnsi="Times New Roman" w:eastAsia="Times New Roman"/>
          <w:color w:val="000000"/>
          <w:sz w:val="20"/>
          <w:szCs w:val="24"/>
        </w:rPr>
        <w:t>[13]</w:t>
      </w:r>
      <w:r>
        <w:rPr>
          <w:rFonts w:hint="default" w:ascii="Times New Roman" w:hAnsi="Times New Roman" w:eastAsia="Times New Roman"/>
          <w:color w:val="000000"/>
          <w:sz w:val="20"/>
          <w:szCs w:val="24"/>
        </w:rPr>
        <w:tab/>
      </w:r>
      <w:bookmarkStart w:id="12" w:name="_neb56257B94_96BE_433F_8229_79B18819A317"/>
      <w:r>
        <w:rPr>
          <w:rFonts w:hint="default" w:ascii="Times New Roman" w:hAnsi="Times New Roman" w:eastAsia="Times New Roman"/>
          <w:color w:val="000000"/>
          <w:sz w:val="20"/>
          <w:szCs w:val="24"/>
        </w:rPr>
        <w:t>PIETERMAN E D, KEUTZER L, van der MEIJDEN A, et al. Superior Efficacy of a Bedaquiline, Delamanid, and Linezolid Combination Regimen in a Mouse Tuberculosis Model[J]. The Journal of Infectious Diseases, 2021,224(6): 1039-1047.</w:t>
      </w:r>
      <w:bookmarkEnd w:id="12"/>
    </w:p>
    <w:p w14:paraId="0F5A2D98">
      <w:pPr>
        <w:spacing w:beforeLines="0" w:afterLines="0"/>
        <w:ind w:left="420" w:hanging="420"/>
        <w:rPr>
          <w:rFonts w:hint="default"/>
          <w:sz w:val="24"/>
          <w:szCs w:val="24"/>
        </w:rPr>
      </w:pPr>
      <w:r>
        <w:rPr>
          <w:rFonts w:hint="default" w:ascii="Times New Roman" w:hAnsi="Times New Roman" w:eastAsia="Times New Roman"/>
          <w:color w:val="000000"/>
          <w:sz w:val="20"/>
          <w:szCs w:val="24"/>
        </w:rPr>
        <w:t>[14]</w:t>
      </w:r>
      <w:r>
        <w:rPr>
          <w:rFonts w:hint="default" w:ascii="Times New Roman" w:hAnsi="Times New Roman" w:eastAsia="Times New Roman"/>
          <w:color w:val="000000"/>
          <w:sz w:val="20"/>
          <w:szCs w:val="24"/>
        </w:rPr>
        <w:tab/>
      </w:r>
      <w:bookmarkStart w:id="13" w:name="_neb7FAC0241_2DBB_476B_8058_CCFA8EF30D9E"/>
      <w:r>
        <w:rPr>
          <w:rFonts w:hint="default" w:ascii="Times New Roman" w:hAnsi="Times New Roman" w:eastAsia="Times New Roman"/>
          <w:color w:val="000000"/>
          <w:sz w:val="20"/>
          <w:szCs w:val="24"/>
        </w:rPr>
        <w:t>PADMAPRIYADARSINI C, VOHRA V, BHATNAGAR A, et al. Bedaquiline, Delamanid, Linezolid and Clofazimine for Treatment of  Pre-extensively Drug-Resistant Tuberculosis[J]. Clin Infect Dis, 2022.</w:t>
      </w:r>
      <w:bookmarkEnd w:id="13"/>
    </w:p>
    <w:p w14:paraId="034C9846">
      <w:pPr>
        <w:spacing w:beforeLines="0" w:afterLines="0"/>
        <w:ind w:left="420" w:hanging="420"/>
        <w:rPr>
          <w:rFonts w:hint="default"/>
          <w:sz w:val="24"/>
          <w:szCs w:val="24"/>
        </w:rPr>
      </w:pPr>
      <w:r>
        <w:rPr>
          <w:rFonts w:hint="default" w:ascii="Times New Roman" w:hAnsi="Times New Roman" w:eastAsia="Times New Roman"/>
          <w:color w:val="000000"/>
          <w:sz w:val="20"/>
          <w:szCs w:val="24"/>
        </w:rPr>
        <w:t>[15]</w:t>
      </w:r>
      <w:r>
        <w:rPr>
          <w:rFonts w:hint="default" w:ascii="Times New Roman" w:hAnsi="Times New Roman" w:eastAsia="Times New Roman"/>
          <w:color w:val="000000"/>
          <w:sz w:val="20"/>
          <w:szCs w:val="24"/>
        </w:rPr>
        <w:tab/>
      </w:r>
      <w:bookmarkStart w:id="14" w:name="_nebB1704C31_0247_4A3C_B004_08BDC4983401"/>
      <w:r>
        <w:rPr>
          <w:rFonts w:hint="default" w:ascii="Times New Roman" w:hAnsi="Times New Roman" w:eastAsia="Times New Roman"/>
          <w:color w:val="000000"/>
          <w:sz w:val="20"/>
          <w:szCs w:val="24"/>
        </w:rPr>
        <w:t>FERLAZZO G, MOHR E, LAXMESHWAR C, et al. Early safety and efficacy of the combination of bedaquiline and delamanid for the treatment of patients with drug-resistant tuberculosis in Armenia, India, and South Africa: a retrospective cohort study[J]. Lancet Infect Dis, 2018,18(5): 536-544.</w:t>
      </w:r>
      <w:bookmarkEnd w:id="14"/>
    </w:p>
    <w:p w14:paraId="6E88B8BA">
      <w:pPr>
        <w:spacing w:beforeLines="0" w:afterLines="0"/>
        <w:ind w:left="420" w:hanging="420"/>
        <w:rPr>
          <w:rFonts w:hint="default"/>
          <w:sz w:val="24"/>
          <w:szCs w:val="24"/>
        </w:rPr>
      </w:pPr>
      <w:r>
        <w:rPr>
          <w:rFonts w:hint="default" w:ascii="Times New Roman" w:hAnsi="Times New Roman" w:eastAsia="Times New Roman"/>
          <w:color w:val="000000"/>
          <w:sz w:val="20"/>
          <w:szCs w:val="24"/>
        </w:rPr>
        <w:t>[16]</w:t>
      </w:r>
      <w:r>
        <w:rPr>
          <w:rFonts w:hint="default" w:ascii="Times New Roman" w:hAnsi="Times New Roman" w:eastAsia="Times New Roman"/>
          <w:color w:val="000000"/>
          <w:sz w:val="20"/>
          <w:szCs w:val="24"/>
        </w:rPr>
        <w:tab/>
      </w:r>
      <w:bookmarkStart w:id="15" w:name="_neb34EB528F_687C_4437_A501_C59331B7F240"/>
      <w:r>
        <w:rPr>
          <w:rFonts w:hint="default" w:ascii="Times New Roman" w:hAnsi="Times New Roman" w:eastAsia="Times New Roman"/>
          <w:color w:val="000000"/>
          <w:sz w:val="20"/>
          <w:szCs w:val="24"/>
        </w:rPr>
        <w:t>KWON Y, JEON D, KANG H, et al. Concurrent use of bedaquiline and delamanid for the treatment of fluoroquinolone-resistant multidrug-resistant tuberculosis: a nationwide cohort study in South Korea[J]. The European respiratory journal, 2021,57(3): 2003026.</w:t>
      </w:r>
      <w:bookmarkEnd w:id="15"/>
    </w:p>
    <w:p w14:paraId="7B745A56">
      <w:pPr>
        <w:spacing w:beforeLines="0" w:afterLines="0"/>
        <w:ind w:left="420" w:hanging="420"/>
        <w:rPr>
          <w:rFonts w:hint="default"/>
          <w:sz w:val="24"/>
          <w:szCs w:val="24"/>
        </w:rPr>
      </w:pPr>
      <w:r>
        <w:rPr>
          <w:rFonts w:hint="default" w:ascii="Times New Roman" w:hAnsi="Times New Roman" w:eastAsia="Times New Roman"/>
          <w:color w:val="000000"/>
          <w:sz w:val="20"/>
          <w:szCs w:val="24"/>
        </w:rPr>
        <w:t>[17]</w:t>
      </w:r>
      <w:r>
        <w:rPr>
          <w:rFonts w:hint="default" w:ascii="Times New Roman" w:hAnsi="Times New Roman" w:eastAsia="Times New Roman"/>
          <w:color w:val="000000"/>
          <w:sz w:val="20"/>
          <w:szCs w:val="24"/>
        </w:rPr>
        <w:tab/>
      </w:r>
      <w:bookmarkStart w:id="16" w:name="_neb33AC45F4_0EDA_43F6_AD24_8357FF8E435C"/>
      <w:r>
        <w:rPr>
          <w:rFonts w:hint="default" w:ascii="Times New Roman" w:hAnsi="Times New Roman" w:eastAsia="Times New Roman"/>
          <w:color w:val="000000"/>
          <w:sz w:val="20"/>
          <w:szCs w:val="24"/>
        </w:rPr>
        <w:t>HUERGA H, KHAN U, BASTARD M, et al. Safety and effectiveness outcomes from a 14-country cohort of patients with  multi-drug resistant tuberculosis treated concomitantly with bedaquiline,  delamanid and other second-line drugs[J]. Clin Infect Dis, 2022.</w:t>
      </w:r>
      <w:bookmarkEnd w:id="16"/>
    </w:p>
    <w:p w14:paraId="0A86FB91">
      <w:pPr>
        <w:spacing w:beforeLines="0" w:afterLines="0"/>
        <w:ind w:left="420" w:hanging="420"/>
        <w:rPr>
          <w:rFonts w:hint="default"/>
          <w:sz w:val="24"/>
          <w:szCs w:val="24"/>
        </w:rPr>
      </w:pPr>
      <w:r>
        <w:rPr>
          <w:rFonts w:hint="default" w:ascii="Times New Roman" w:hAnsi="Times New Roman" w:eastAsia="Times New Roman"/>
          <w:color w:val="000000"/>
          <w:sz w:val="20"/>
          <w:szCs w:val="24"/>
        </w:rPr>
        <w:t>[18]</w:t>
      </w:r>
      <w:r>
        <w:rPr>
          <w:rFonts w:hint="default" w:ascii="Times New Roman" w:hAnsi="Times New Roman" w:eastAsia="Times New Roman"/>
          <w:color w:val="000000"/>
          <w:sz w:val="20"/>
          <w:szCs w:val="24"/>
        </w:rPr>
        <w:tab/>
      </w:r>
      <w:bookmarkStart w:id="17" w:name="_nebF4C8ABB2_73A5_490A_A782_711199049471"/>
      <w:r>
        <w:rPr>
          <w:rFonts w:hint="default" w:ascii="Times New Roman" w:hAnsi="Times New Roman" w:eastAsia="Times New Roman"/>
          <w:color w:val="000000"/>
          <w:sz w:val="20"/>
          <w:szCs w:val="24"/>
        </w:rPr>
        <w:t>FU L, WENG T, SUN F, et al. Insignificant difference in culture conversion between bedaquiline-containing and  bedaquiline-free all-oral short regimens for multidrug-resistant tuberculosis[J]. Int J Infect Dis, 2021,111: 138-147.</w:t>
      </w:r>
      <w:bookmarkEnd w:id="17"/>
    </w:p>
    <w:p w14:paraId="4AF0A5BE">
      <w:pPr>
        <w:spacing w:line="360" w:lineRule="auto"/>
        <w:jc w:val="left"/>
        <w:rPr>
          <w:rFonts w:hint="default" w:ascii="Times New Roman" w:hAnsi="Times New Roman" w:cs="Times New Roman"/>
          <w:b/>
          <w:sz w:val="24"/>
          <w:highlight w:val="none"/>
          <w:lang w:val="en-US" w:eastAsia="zh-CN"/>
        </w:rPr>
      </w:pPr>
      <w:r>
        <w:rPr>
          <w:rFonts w:hint="default" w:ascii="Times New Roman" w:hAnsi="Times New Roman" w:cs="Times New Roman"/>
          <w:b/>
          <w:sz w:val="24"/>
          <w:highlight w:val="none"/>
          <w:lang w:val="en-US" w:eastAsia="zh-CN"/>
        </w:rPr>
        <w:fldChar w:fldCharType="end"/>
      </w: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7F" w:usb3="00000000" w:csb0="203F01FF" w:csb1="DFFF0000"/>
  </w:font>
  <w:font w:name="Cambria">
    <w:panose1 w:val="02040503050406030204"/>
    <w:charset w:val="00"/>
    <w:family w:val="auto"/>
    <w:pitch w:val="default"/>
    <w:sig w:usb0="E00006FF" w:usb1="420024FF" w:usb2="02000000" w:usb3="00000000" w:csb0="2000019F" w:csb1="00000000"/>
  </w:font>
  <w:font w:name="Wingdings 2">
    <w:altName w:val="Wingdings"/>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auto"/>
    <w:pitch w:val="default"/>
    <w:sig w:usb0="00000000" w:usb1="00000000" w:usb2="00000000" w:usb3="00000000" w:csb0="00040000" w:csb1="00000000"/>
  </w:font>
  <w:font w:name="Kingsoft U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255EE">
    <w:pPr>
      <w:pStyle w:val="6"/>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5"/>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3CE8B94A">
                          <w:pPr>
                            <w:pStyle w:val="6"/>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wps:txbx>
                    <wps:bodyPr vert="horz" wrap="none" lIns="0" tIns="0" rIns="0" bIns="0" anchor="t" upright="0">
                      <a:spAutoFit/>
                    </wps:bodyPr>
                  </wps:wsp>
                </a:graphicData>
              </a:graphic>
            </wp:anchor>
          </w:drawing>
        </mc:Choice>
        <mc:Fallback>
          <w:pict>
            <v:rect id="文本框 5"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XW5UtAAAAAFAQAADwAAAAAAAAABACAAAAAiAAAAZHJz&#10;L2Rvd25yZXYueG1sUEsBAhQAFAAAAAgAh07iQHju4YDTAQAAngMAAA4AAAAAAAAAAQAgAAAAHwEA&#10;AGRycy9lMm9Eb2MueG1sUEsFBgAAAAAGAAYAWQEAAGQFAAAAAA==&#10;">
              <v:fill on="f" focussize="0,0"/>
              <v:stroke on="f"/>
              <v:imagedata o:title=""/>
              <o:lock v:ext="edit" aspectratio="f"/>
              <v:textbox inset="0mm,0mm,0mm,0mm" style="mso-fit-shape-to-text:t;">
                <w:txbxContent>
                  <w:p w14:paraId="3CE8B94A">
                    <w:pPr>
                      <w:pStyle w:val="6"/>
                    </w:pPr>
                    <w:r>
                      <w:rPr>
                        <w:rFonts w:hint="eastAsia"/>
                      </w:rPr>
                      <w:fldChar w:fldCharType="begin"/>
                    </w:r>
                    <w:r>
                      <w:rPr>
                        <w:rFonts w:hint="eastAsia"/>
                      </w:rPr>
                      <w:instrText xml:space="preserve"> PAGE  \* MERGEFORMAT </w:instrText>
                    </w:r>
                    <w:r>
                      <w:rPr>
                        <w:rFonts w:hint="eastAsia"/>
                      </w:rPr>
                      <w:fldChar w:fldCharType="separate"/>
                    </w:r>
                    <w:r>
                      <w:t>5</w:t>
                    </w:r>
                    <w:r>
                      <w:rPr>
                        <w:rFonts w:hint="eastAsia"/>
                      </w:rP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EC125">
    <w:pPr>
      <w:tabs>
        <w:tab w:val="center" w:pos="4153"/>
      </w:tabs>
      <w:rPr>
        <w:rFonts w:ascii="楷体_GB2312" w:hAnsi="楷体_GB2312" w:eastAsia="楷体_GB2312" w:cs="楷体_GB2312"/>
        <w:sz w:val="24"/>
        <w:szCs w:val="32"/>
      </w:rPr>
    </w:pPr>
    <w:r>
      <w:rPr>
        <w:rFonts w:hint="eastAsia" w:ascii="楷体_GB2312" w:hAnsi="楷体_GB2312" w:eastAsia="楷体_GB2312" w:cs="楷体_GB2312"/>
        <w:sz w:val="24"/>
        <w:szCs w:val="32"/>
      </w:rPr>
      <w:tab/>
    </w:r>
  </w:p>
  <w:p w14:paraId="68FB3012">
    <w:pPr>
      <w:pStyle w:val="7"/>
      <w:tabs>
        <w:tab w:val="left" w:pos="3660"/>
        <w:tab w:val="center" w:pos="5079"/>
      </w:tabs>
      <w:jc w:val="right"/>
      <w:rPr>
        <w:rFonts w:ascii="楷体_GB2312" w:hAnsi="楷体_GB2312" w:eastAsia="楷体_GB2312" w:cs="楷体_GB2312"/>
        <w:b/>
        <w:bCs/>
        <w:sz w:val="24"/>
      </w:rPr>
    </w:pPr>
    <w:r>
      <w:rPr>
        <w:rFonts w:hint="eastAsia" w:ascii="宋体" w:hAnsi="宋体" w:eastAsia="宋体" w:cs="宋体"/>
        <w:b/>
        <w:bCs/>
        <w:sz w:val="18"/>
        <w:szCs w:val="18"/>
        <w:lang w:val="en-US" w:eastAsia="zh-CN"/>
      </w:rPr>
      <w:t>研究方案</w:t>
    </w:r>
    <w:r>
      <w:rPr>
        <w:rFonts w:hint="eastAsia" w:ascii="宋体" w:hAnsi="宋体" w:eastAsia="宋体" w:cs="宋体"/>
        <w:b/>
        <w:bCs/>
        <w:sz w:val="18"/>
        <w:szCs w:val="18"/>
        <w:lang w:eastAsia="zh-CN"/>
      </w:rPr>
      <w:t>版本号：</w:t>
    </w:r>
    <w:r>
      <w:rPr>
        <w:rFonts w:hint="eastAsia" w:ascii="宋体" w:hAnsi="宋体" w:cs="宋体"/>
        <w:b/>
        <w:bCs/>
        <w:sz w:val="18"/>
        <w:szCs w:val="18"/>
        <w:lang w:val="en-US" w:eastAsia="zh-CN"/>
      </w:rPr>
      <w:t>2.0</w:t>
    </w:r>
    <w:r>
      <w:rPr>
        <w:rFonts w:hint="eastAsia" w:ascii="宋体" w:hAnsi="宋体" w:eastAsia="宋体" w:cs="宋体"/>
        <w:b/>
        <w:bCs/>
        <w:sz w:val="18"/>
        <w:szCs w:val="18"/>
        <w:lang w:val="en-US" w:eastAsia="zh-CN"/>
      </w:rPr>
      <w:t xml:space="preserve">                                              </w:t>
    </w:r>
    <w:r>
      <w:rPr>
        <w:rFonts w:hint="eastAsia" w:ascii="宋体" w:hAnsi="宋体" w:eastAsia="宋体" w:cs="宋体"/>
        <w:b/>
        <w:bCs/>
        <w:sz w:val="18"/>
        <w:szCs w:val="18"/>
      </w:rPr>
      <w:t>版本</w:t>
    </w:r>
    <w:r>
      <w:rPr>
        <w:rFonts w:hint="eastAsia" w:ascii="宋体" w:hAnsi="宋体" w:eastAsia="宋体" w:cs="宋体"/>
        <w:b/>
        <w:bCs/>
        <w:sz w:val="18"/>
        <w:szCs w:val="18"/>
        <w:lang w:eastAsia="zh-CN"/>
      </w:rPr>
      <w:t>日期</w:t>
    </w:r>
    <w:r>
      <w:rPr>
        <w:rFonts w:hint="eastAsia" w:ascii="宋体" w:hAnsi="宋体" w:eastAsia="宋体" w:cs="宋体"/>
        <w:b/>
        <w:bCs/>
        <w:sz w:val="18"/>
        <w:szCs w:val="18"/>
      </w:rPr>
      <w:t>：202</w:t>
    </w:r>
    <w:r>
      <w:rPr>
        <w:rFonts w:hint="eastAsia" w:ascii="宋体" w:hAnsi="宋体" w:cs="宋体"/>
        <w:b/>
        <w:bCs/>
        <w:sz w:val="18"/>
        <w:szCs w:val="18"/>
        <w:lang w:val="en-US" w:eastAsia="zh-CN"/>
      </w:rPr>
      <w:t>4</w:t>
    </w:r>
    <w:r>
      <w:rPr>
        <w:rFonts w:hint="eastAsia" w:ascii="宋体" w:hAnsi="宋体" w:eastAsia="宋体" w:cs="宋体"/>
        <w:b/>
        <w:bCs/>
        <w:sz w:val="18"/>
        <w:szCs w:val="18"/>
      </w:rPr>
      <w:t>年</w:t>
    </w:r>
    <w:r>
      <w:rPr>
        <w:rFonts w:hint="eastAsia" w:ascii="宋体" w:hAnsi="宋体" w:cs="宋体"/>
        <w:b/>
        <w:bCs/>
        <w:sz w:val="18"/>
        <w:szCs w:val="18"/>
        <w:lang w:val="en-US" w:eastAsia="zh-CN"/>
      </w:rPr>
      <w:t>11</w:t>
    </w:r>
    <w:r>
      <w:rPr>
        <w:rFonts w:hint="eastAsia" w:ascii="宋体" w:hAnsi="宋体" w:eastAsia="宋体" w:cs="宋体"/>
        <w:b/>
        <w:bCs/>
        <w:sz w:val="18"/>
        <w:szCs w:val="18"/>
      </w:rPr>
      <w:t>月</w:t>
    </w:r>
    <w:r>
      <w:rPr>
        <w:rFonts w:hint="eastAsia" w:ascii="宋体" w:hAnsi="宋体" w:cs="宋体"/>
        <w:b/>
        <w:bCs/>
        <w:sz w:val="18"/>
        <w:szCs w:val="18"/>
        <w:lang w:val="en-US" w:eastAsia="zh-CN"/>
      </w:rPr>
      <w:t>29</w:t>
    </w:r>
    <w:r>
      <w:rPr>
        <w:rFonts w:hint="eastAsia" w:ascii="宋体" w:hAnsi="宋体" w:eastAsia="宋体" w:cs="宋体"/>
        <w:b/>
        <w:bCs/>
        <w:sz w:val="18"/>
        <w:szCs w:val="18"/>
      </w:rPr>
      <w:t>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3B5046"/>
    <w:multiLevelType w:val="multilevel"/>
    <w:tmpl w:val="5A3B5046"/>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1YTEzNzUzNjc3OTdhYTczZDYyMDcwZjdjMDcyY2UifQ=="/>
    <w:docVar w:name="NE.Ref{1D4E33BF-F2E5-4278-989B-2777F3C15DD6}" w:val=" ADDIN NE.Ref.{1D4E33BF-F2E5-4278-989B-2777F3C15DD6}&lt;Citation&gt;&lt;Group&gt;&lt;References&gt;&lt;Item&gt;&lt;ID&gt;64715&lt;/ID&gt;&lt;UID&gt;{7FAC0241-2DBB-476B-8058-CCFA8EF30D9E}&lt;/UID&gt;&lt;Title&gt;Bedaquiline, Delamanid, Linezolid and Clofazimine for Treatment of  Pre-extensively Drug-Resistant Tuberculosis&lt;/Title&gt;&lt;Template&gt;Journal Article&lt;/Template&gt;&lt;Star&gt;0&lt;/Star&gt;&lt;Tag&gt;0&lt;/Tag&gt;&lt;Author&gt;Padmapriyadarsini, C; Vohra, V; Bhatnagar, A; Solanki, R; Sridhar, R; Anande, L; Muthuvijaylakshmi, M; Bhatia, M; Jeyadeepa, B; Taneja, G; Balaji, S; Shah, P; Saravanan, N; Chauhan, V; Kumar, H; Ponnuraja, C; Livchits, V; Bahl, M; Alavadi, U; Sachdeva, K S; Swaminathan, S&lt;/Author&gt;&lt;Year&gt;2022&lt;/Year&gt;&lt;Details&gt;&lt;_doi&gt;10.1093/cid/ciac528&lt;/_doi&gt;&lt;_created&gt;64636376&lt;/_created&gt;&lt;_modified&gt;64636376&lt;/_modified&gt;&lt;_url&gt;http://www.ncbi.nlm.nih.gov/entrez/query.fcgi?cmd=Retrieve&amp;amp;db=pubmed&amp;amp;dopt=Abstract&amp;amp;list_uids=35767251&amp;amp;query_hl=1&lt;/_url&gt;&lt;_journal&gt;Clin Infect Dis&lt;/_journal&gt;&lt;_tertiary_title&gt;Clinical infectious diseases : an official publication of the Infectious Diseases _x000d__x000a_      Society of America&lt;/_tertiary_title&gt;&lt;_date_display&gt;2022 Jun 29&lt;/_date_display&gt;&lt;_date&gt;64424160&lt;/_date&gt;&lt;_type_work&gt;Journal Article&lt;/_type_work&gt;&lt;_isbn&gt;1537-6591 (Electronic); 1058-4838 (Linking)&lt;/_isbn&gt;&lt;_ori_publication&gt;(c) The Author(s) 2022. Published by Oxford University Press on behalf of _x000d__x000a_      Infectious Diseases Society of America.&lt;/_ori_publication&gt;&lt;_accession_num&gt;35767251&lt;/_accession_num&gt;&lt;_keywords&gt;Delamanid; Drug-resistant Tuberculosis; Effectiveness; Linezolid; Short-course&lt;/_keywords&gt;&lt;_author_adr&gt;ICMR-National Institute for Research in Tuberculosis, Chennai, India.; National Institute for Tuberculosis and Respiratory Diseases, New Delhi, India.; Rajan Babu Institute of Pulmonary Medicine and Tuberculosis, Delhi, India.; B.J.Medical College and Hospital, Ahmedabad, India.; Government Hospital of Thoracic Medicine, Chennai, India.; Grand TB Hospital, Mumbai, India.; ICMR-National Institute for Research in Tuberculosis, Chennai, India.; National Institute for Tuberculosis and Respiratory Diseases, New Delhi, India.; ICMR-National Institute for Research in Tuberculosis, Chennai, India.; Rajan Babu Institute of Pulmonary Medicine and Tuberculosis, Delhi, India.; ICMR-National Institute for Research in Tuberculosis, Chennai, India.; B.J.Medical College and Hospital, Ahmedabad, India.; ICMR-National Institute for Research in Tuberculosis, Chennai, India.; Grand TB Hospital, Mumbai, India.; ICMR-National Institute for Research in Tuberculosis, Chennai, India.; ICMR-National Institute for Research in Tuberculosis, Chennai, India.; United States Agency for International Development, Washington, U.S.A.; Clinical Development Service Agency, New Delhi, India.; United States Agency for International Development, Washington, U.S.A.; Central TB Division, Ministry of Health &amp;amp; Family Welfare, New Delhi, India.; Indian Council of Medical Research, New Delhi.; World Health Organization, Geneva, Switzerland.&lt;/_author_adr&gt;&lt;_language&gt;eng&lt;/_language&gt;&lt;_accessed&gt;64636378&lt;/_accessed&gt;&lt;_db_updated&gt;PubMed&lt;/_db_updated&gt;&lt;_impact_factor&gt;  20.999&lt;/_impact_factor&gt;&lt;_social_category&gt;医学(1)&lt;/_social_category&gt;&lt;_collection_scope&gt;SCIE&lt;/_collection_scope&gt;&lt;/Details&gt;&lt;Extra&gt;&lt;DBUID&gt;{A85A7749-08C4-47B5-BCFE-852A2978ED56}&lt;/DBUID&gt;&lt;/Extra&gt;&lt;/Item&gt;&lt;/References&gt;&lt;/Group&gt;&lt;/Citation&gt;_x000a_"/>
    <w:docVar w:name="NE.Ref{1F75CECF-F70C-4164-9112-1F4E5E0B6DF1}" w:val=" ADDIN NE.Ref.{1F75CECF-F70C-4164-9112-1F4E5E0B6DF1}&lt;Citation&gt;&lt;Group&gt;&lt;References&gt;&lt;Item&gt;&lt;ID&gt;17029&lt;/ID&gt;&lt;UID&gt;{6336A118-9386-417A-962C-D40A6EE90A57}&lt;/UID&gt;&lt;Title&gt;Introducing molecular testing of pyrazinamide susceptibility improves multidrug-resistant tuberculosis treatment outcomes: a prospective cohort?study&lt;/Title&gt;&lt;Template&gt;Journal Article&lt;/Template&gt;&lt;Star&gt;0&lt;/Star&gt;&lt;Tag&gt;0&lt;/Tag&gt;&lt;Author&gt;Sun, Feng; Li, Yang; Chen, Yu; Guan, Wenlong; Jiang, Xiangao; Wang, Xiaomeng; Ren, Pengfei; Li, Junlian; Shi, Jichan; He, Guiqing; Wu, Meiying; Tang, Peijun; Wang, Fei; Sheng, Yunfeng; Huang, Fuli; Zhou, Zumo; Huang, Heqing; Hong, Liang; Liu, Qihui; Zhang, Ying; Zhang, Wenhong&lt;/Author&gt;&lt;Year&gt;2019&lt;/Year&gt;&lt;Details&gt;&lt;_created&gt;63042928&lt;/_created&gt;&lt;_modified&gt;64636432&lt;/_modified&gt;&lt;_accessed&gt;63042928&lt;/_accessed&gt;&lt;_collection_scope&gt;SCI;SCIE&lt;/_collection_scope&gt;&lt;_db_updated&gt;CrossRef&lt;/_db_updated&gt;&lt;_doi&gt;10.1183/13993003.01770-2018&lt;/_doi&gt;&lt;_impact_factor&gt;  33.795&lt;/_impact_factor&gt;&lt;_isbn&gt;0903-1936&lt;/_isbn&gt;&lt;_issue&gt;3&lt;/_issue&gt;&lt;_journal&gt;Eur Respir J&lt;/_journal&gt;&lt;_pages&gt;1801770&lt;/_pages&gt;&lt;_tertiary_title&gt;Eur Respir J&lt;/_tertiary_title&gt;&lt;_url&gt;http://erj.ersjournals.com/lookup/doi/10.1183/13993003.01770-2018_x000d__x000a_https://syndication.highwire.org/content/doi/10.1183/13993003.01770-2018&lt;/_url&gt;&lt;_volume&gt;53&lt;/_volume&gt;&lt;_social_category&gt;医学(1)&lt;/_social_category&gt;&lt;/Details&gt;&lt;Extra&gt;&lt;DBUID&gt;{A85A7749-08C4-47B5-BCFE-852A2978ED56}&lt;/DBUID&gt;&lt;/Extra&gt;&lt;/Item&gt;&lt;/References&gt;&lt;/Group&gt;&lt;/Citation&gt;_x000a_"/>
    <w:docVar w:name="NE.Ref{209460C6-0574-4A21-A6B9-1BB494488BC8}" w:val=" ADDIN NE.Ref.{209460C6-0574-4A21-A6B9-1BB494488BC8}&lt;Citation&gt;&lt;Group&gt;&lt;References&gt;&lt;Item&gt;&lt;ID&gt;64714&lt;/ID&gt;&lt;UID&gt;{56257B94-96BE-433F-8229-79B18819A317}&lt;/UID&gt;&lt;Title&gt;Superior Efficacy of a Bedaquiline, Delamanid, and Linezolid Combination Regimen in a Mouse Tuberculosis Model&lt;/Title&gt;&lt;Template&gt;Journal Article&lt;/Template&gt;&lt;Star&gt;0&lt;/Star&gt;&lt;Tag&gt;0&lt;/Tag&gt;&lt;Author&gt;Pieterman, Elise D; Keutzer, Lina; van der Meijden, Aart; van den Berg, Sanne; Wang, Han; Zimmerman, Matthew D; Simonsson, Ulrika S H; Bax, Hannelore I; de Steenwinkel, Jurriaan E M&lt;/Author&gt;&lt;Year&gt;2021&lt;/Year&gt;&lt;Details&gt;&lt;_doi&gt;10.1093/infdis/jiab043&lt;/_doi&gt;&lt;_created&gt;64636348&lt;/_created&gt;&lt;_modified&gt;64636348&lt;/_modified&gt;&lt;_url&gt;https://academic.oup.com/jid/article/224/6/1039/6121322_x000d__x000a_https://academic.oup.com/jid/article-pdf/224/6/1039/43431461/jiab043.pdf&lt;/_url&gt;&lt;_journal&gt;The Journal of Infectious Diseases&lt;/_journal&gt;&lt;_volume&gt;224&lt;/_volume&gt;&lt;_issue&gt;6&lt;/_issue&gt;&lt;_pages&gt;1039-1047&lt;/_pages&gt;&lt;_date&gt;64013760&lt;/_date&gt;&lt;_isbn&gt;0022-1899&lt;/_isbn&gt;&lt;_accessed&gt;64636351&lt;/_accessed&gt;&lt;_db_updated&gt;CrossRef&lt;/_db_updated&gt;&lt;_impact_factor&gt;   7.759&lt;/_impact_factor&gt;&lt;_social_category&gt;医学(2)&lt;/_social_category&gt;&lt;/Details&gt;&lt;Extra&gt;&lt;DBUID&gt;{A85A7749-08C4-47B5-BCFE-852A2978ED56}&lt;/DBUID&gt;&lt;/Extra&gt;&lt;/Item&gt;&lt;/References&gt;&lt;/Group&gt;&lt;/Citation&gt;_x000a_"/>
    <w:docVar w:name="NE.Ref{24061E44-E402-442C-ACF5-26A4D94F2A89}" w:val=" ADDIN NE.Ref.{24061E44-E402-442C-ACF5-26A4D94F2A89}&lt;Citation&gt;&lt;Group&gt;&lt;References&gt;&lt;Item&gt;&lt;ID&gt;64713&lt;/ID&gt;&lt;UID&gt;{0075DEA7-E428-42B7-A2A4-86297EEDAAFD}&lt;/UID&gt;&lt;Title&gt;Delamanid or pretomanid? A Solomonic judgement!&lt;/Title&gt;&lt;Template&gt;Journal Article&lt;/Template&gt;&lt;Star&gt;0&lt;/Star&gt;&lt;Tag&gt;0&lt;/Tag&gt;&lt;Author&gt;Mudde, Saskia E; Upton, Anna M; Lenaerts, Anne; Bax, Hannelore I; De Steenwinkel, Jurriaan E M&lt;/Author&gt;&lt;Year&gt;2022&lt;/Year&gt;&lt;Details&gt;&lt;_created&gt;64635402&lt;/_created&gt;&lt;_modified&gt;64635402&lt;/_modified&gt;&lt;_doi&gt;10.1093/jac/dkab505&lt;/_doi&gt;&lt;_url&gt;https://academic.oup.com/jac/article/77/4/880/6516247_x000d__x000a_https://academic.oup.com/jac/article-pdf/77/4/880/43192703/dkab505.pdf&lt;/_url&gt;&lt;_journal&gt;Journal of Antimicrobial Chemotherapy&lt;/_journal&gt;&lt;_volume&gt;77&lt;/_volume&gt;&lt;_issue&gt;4&lt;/_issue&gt;&lt;_pages&gt;880-902&lt;/_pages&gt;&lt;_date&gt;64294560&lt;/_date&gt;&lt;_isbn&gt;0305-7453&lt;/_isbn&gt;&lt;_accessed&gt;64636339&lt;/_accessed&gt;&lt;_db_updated&gt;CrossRef&lt;/_db_updated&gt;&lt;_impact_factor&gt;   5.758&lt;/_impact_factor&gt;&lt;_social_category&gt;医学(2)&lt;/_social_category&gt;&lt;_collection_scope&gt;SCIE&lt;/_collection_scope&gt;&lt;/Details&gt;&lt;Extra&gt;&lt;DBUID&gt;{A85A7749-08C4-47B5-BCFE-852A2978ED56}&lt;/DBUID&gt;&lt;/Extra&gt;&lt;/Item&gt;&lt;/References&gt;&lt;/Group&gt;&lt;/Citation&gt;_x000a_"/>
    <w:docVar w:name="NE.Ref{2519D0E3-76BE-436A-BC7C-29CA1D42A405}" w:val=" ADDIN NE.Ref.{2519D0E3-76BE-436A-BC7C-29CA1D42A405}&lt;Citation&gt;&lt;Group&gt;&lt;References&gt;&lt;Item&gt;&lt;ID&gt;16983&lt;/ID&gt;&lt;UID&gt;{B1704C31-0247-4A3C-B004-08BDC4983401}&lt;/UID&gt;&lt;Title&gt;Early safety and efficacy of the combination of bedaquiline and delamanid for the treatment of patients with drug-resistant tuberculosis in Armenia, India, and South Africa: a retrospective cohort study&lt;/Title&gt;&lt;Template&gt;Journal Article&lt;/Template&gt;&lt;Star&gt;0&lt;/Star&gt;&lt;Tag&gt;0&lt;/Tag&gt;&lt;Author&gt;Ferlazzo, G; Mohr, E; Laxmeshwar, C; Hewison, C; Hughes, J; Jonckheere, S; Khachatryan, N; De Avezedo, V; Egazaryan, L; Shroufi, A; Kalon, S; Cox, H; Furin, J; Isaakidis, P&lt;/Author&gt;&lt;Year&gt;2018&lt;/Year&gt;&lt;Details&gt;&lt;_accession_num&gt;29452942&lt;/_accession_num&gt;&lt;_author_adr&gt;Medecins Sans Frontieres (MSF), Southern Africa Medical Unit (SAMU), Cape Town, South Africa.; MSF, Khayelitsha, Cape Town, South Africa.; MSF, Mumbai, India.; MSF, Paris, France.; MSF, Khayelitsha, Cape Town, South Africa.; MSF, Mumbai, India.; MSF, Yerevan, Armenia.; City of Cape Town Health Department, Cape Town, South Africa.; National Tuberculosis Programme, Yerevan, Armenia.; MSF, Khayelitsha, Cape Town, South Africa.; MSF, Mumbai, India.; University of Cape Town (UCT), Division of Medical Microbiology and Center for Infectious Disease Epidemiology and Research, Cape Town, South Africa.; Harvard Medical School, Department of Global Health &amp;amp;amp; Social Medicine, Boston, MA, USA.; Medecins Sans Frontieres (MSF), Southern Africa Medical Unit (SAMU), Cape Town, South Africa. Electronic address: petros.isaakidis@joburg.msf.org.&lt;/_author_adr&gt;&lt;_collection_scope&gt;SCIE;&lt;/_collection_scope&gt;&lt;_created&gt;62419237&lt;/_created&gt;&lt;_date&gt;2018-05-01&lt;/_date&gt;&lt;_date_display&gt;2018 May&lt;/_date_display&gt;&lt;_db_updated&gt;PubMed&lt;/_db_updated&gt;&lt;_doi&gt;10.1016/S1473-3099(18)30100-2&lt;/_doi&gt;&lt;_impact_factor&gt;  71.421&lt;/_impact_factor&gt;&lt;_isbn&gt;1474-4457 (Electronic); 1473-3099 (Linking)&lt;/_isbn&gt;&lt;_issue&gt;5&lt;/_issue&gt;&lt;_journal&gt;Lancet Infect Dis&lt;/_journal&gt;&lt;_language&gt;eng&lt;/_language&gt;&lt;_modified&gt;64636407&lt;/_modified&gt;&lt;_ori_publication&gt;Copyright (c) 2018 Elsevier Ltd. All rights reserved.&lt;/_ori_publication&gt;&lt;_pages&gt;536-544&lt;/_pages&gt;&lt;_tertiary_title&gt;The Lancet. Infectious diseases&lt;/_tertiary_title&gt;&lt;_type_work&gt;Journal Article&lt;/_type_work&gt;&lt;_url&gt;http://www.ncbi.nlm.nih.gov/entrez/query.fcgi?cmd=Retrieve&amp;amp;db=pubmed&amp;amp;dopt=Abstract&amp;amp;list_uids=29452942&amp;amp;query_hl=1&lt;/_url&gt;&lt;_volume&gt;18&lt;/_volume&gt;&lt;_social_category&gt;医学(1)&lt;/_social_category&gt;&lt;_accessed&gt;64636407&lt;/_accessed&gt;&lt;/Details&gt;&lt;Extra&gt;&lt;DBUID&gt;{A85A7749-08C4-47B5-BCFE-852A2978ED56}&lt;/DBUID&gt;&lt;/Extra&gt;&lt;/Item&gt;&lt;/References&gt;&lt;/Group&gt;&lt;Group&gt;&lt;References&gt;&lt;Item&gt;&lt;ID&gt;64716&lt;/ID&gt;&lt;UID&gt;{34EB528F-687C-4437-A501-C59331B7F240}&lt;/UID&gt;&lt;Title&gt;Concurrent use of bedaquiline and delamanid for the treatment of fluoroquinolone-resistant multidrug-resistant tuberculosis: a nationwide cohort study in South Korea&lt;/Title&gt;&lt;Template&gt;Journal Article&lt;/Template&gt;&lt;Star&gt;0&lt;/Star&gt;&lt;Tag&gt;0&lt;/Tag&gt;&lt;Author&gt;Kwon, Yong-Soo; Jeon, Doosoo; Kang, Hyungseok; Yim, Jae-Joon; Shim, Tae Sun&lt;/Author&gt;&lt;Year&gt;2021&lt;/Year&gt;&lt;Details&gt;&lt;_created&gt;64636409&lt;/_created&gt;&lt;_modified&gt;64636409&lt;/_modified&gt;&lt;_url&gt;https://go.exlibris.link/npHd9v2F&lt;/_url&gt;&lt;_place_published&gt;England&lt;/_place_published&gt;&lt;_journal&gt;The European respiratory journal&lt;/_journal&gt;&lt;_volume&gt;57&lt;/_volume&gt;&lt;_issue&gt;3&lt;/_issue&gt;&lt;_number&gt;1&lt;/_number&gt;&lt;_pages&gt;2003026&lt;/_pages&gt;&lt;_doi&gt;10.1183/13993003.03026-2020&lt;/_doi&gt;&lt;_date_display&gt;2021&lt;/_date_display&gt;&lt;_date&gt;63640800&lt;/_date&gt;&lt;_isbn&gt;0903-1936&lt;/_isbn&gt;&lt;_accessed&gt;64636409&lt;/_accessed&gt;&lt;_db_updated&gt;PKU Search&lt;/_db_updated&gt;&lt;_impact_factor&gt;  33.795&lt;/_impact_factor&gt;&lt;_social_category&gt;医学(1)&lt;/_social_category&gt;&lt;/Details&gt;&lt;Extra&gt;&lt;DBUID&gt;{A85A7749-08C4-47B5-BCFE-852A2978ED56}&lt;/DBUID&gt;&lt;/Extra&gt;&lt;/Item&gt;&lt;/References&gt;&lt;/Group&gt;&lt;Group&gt;&lt;References&gt;&lt;Item&gt;&lt;ID&gt;55915&lt;/ID&gt;&lt;UID&gt;{33AC45F4-0EDA-43F6-AD24-8357FF8E435C}&lt;/UID&gt;&lt;Title&gt;Safety and effectiveness outcomes from a 14-country cohort of patients with  multi-drug resistant tuberculosis treated concomitantly with bedaquiline,  delamanid and other second-line drugs&lt;/Title&gt;&lt;Template&gt;Journal Article&lt;/Template&gt;&lt;Star&gt;0&lt;/Star&gt;&lt;Tag&gt;0&lt;/Tag&gt;&lt;Author&gt;Huerga, H; Khan, U; Bastard, M; Mitnick, C D; Lachenal, N; Khan, P Y; Seung, K J; Melikyan, N; Ahmed, S; Rich, M L; Varaine, F; Osso, E; Rashitov, M; Salahuddin, N; Salia, G; Sánchez, E; Serobyan, A; Siddiqui, M R; Tefera, D G; Vetushko, D; Yeghiazaryan, L; Holtzman, D; Islam, S; Kumsa, A; Leblanc, G J; Leonovich, O; Mamsa, S; Manzur-Ul-Alam, M; Myint, Z; Padayachee, S; Franke, M F; Hewison, C&lt;/Author&gt;&lt;Year&gt;2022&lt;/Year&gt;&lt;Details&gt;&lt;_accession_num&gt;35243494&lt;/_accession_num&gt;&lt;_author_adr&gt;Helena Huerga, Mathieu Bastard, Nara Melikyan: Field Epidemiology  Department, Epicentre, Paris, France.; Uzma Khan, Palwasha Y Khan: Interactive Research and Development (IRD) Global,  Singapore, Singapore.; Helena Huerga, Mathieu Bastard, Nara Melikyan: Field Epidemiology  Department, Epicentre, Paris, France.; Carole D. Mitnick, Kwonjune J. Seung, Michael L. Rich, Molly F. Franke, Elna  Osso: Department of Global Health and Social Medicine, Harvard Medical School,  Boston, USA.; Carole D. Mitnick, Kwonjune J. Seung, Michael L. Rich: Partners In Health,  Boston, USA.; Kwonjune J. Seung, Michael L. Rich, Carole D. Mitnick: Division of Global Health  Equity, Brigham &amp;amp; Women&amp;apos;s Hospital, Boston, USA.; Nathalie Lachenal, Elna Osso: Pharmacovigilance Unit, Médecins Sans Frontières,  Geneva, Switzerland.; Uzma Khan, Palwasha Y Khan: Interactive Research and Development (IRD) Global,  Singapore, Singapore.; Palwasha Y Khan: Clinical Research Department, Faculty of Infectious and Tropical  Diseases, London School of Hygiene &amp;amp; Tropical Medicine, London, UK.; Carole D. Mitnick, Kwonjune J. Seung, Michael L. Rich, Molly F. Franke, Elna  Osso: Department of Global Health and Social Medicine, Harvard Medical School,  Boston, USA.; Carole D. Mitnick, Kwonjune J. Seung, Michael L. Rich: Partners In Health,  Boston, USA.; Kwonjune J. Seung, Michael L. Rich, Carole D. Mitnick: Division of Global Health  Equity, Brigham &amp;amp; Women&amp;apos;s Hospital, Boston, USA.; Helena Huerga, Mathieu Bastard, Nara Melikyan: Field Epidemiology  Department, Epicentre, Paris, France.; Saman Ahmed: Interactive Research and Development (IRD), Karachi, Pakistan.; Carole D. Mitnick, Kwonjune J. Seung, Michael L. Rich, Molly F. Franke, Elna  Osso: Department of Global Health and Social Medicine, Harvard Medical School,  Boston, USA.; Carole D. Mitnick, Kwonjune J. Seung, Michael L. Rich: Partners In Health,  Boston, USA.; Kwonjune J. Seung, Michael L. Rich, Carole D. Mitnick: Division of Global Health  Equity, Brigham &amp;amp; Women&amp;apos;s Hospital, Boston, USA.; Francis Varaine, Catherine Hewison: Medical Department, Médecins Sans Frontières,  Paris, France.; Carole D. Mitnick, Kwonjune J. Seung, Michael L. Rich, Molly F. Franke, Elna  Osso: Department of Global Health and Social Medicine, Harvard Medical School,  Boston, USA.; Nathalie Lachenal, Elna Osso: Pharmacovigilance Unit, Médecins Sans Frontières,  Geneva, Switzerland.; Makhmujan Rashitov: Partners In Health, Almaty, Kazakhstan.; Naseem Salahuddin: Indus Hospital and Health Network (IHHN), Karachi, Pakistan.; Gocha Salia: Medical Department, Médecins Sans Frontières, Tbilisi, Georgia.; Epifanio Sánchez: Hospital Nacional Sergio Bernales Hospital, Lima, Peru.; Armine Serobyan: Medical Department, Médecins Sans Frontières, Yerevan, Armenia.; Muhammad Rafi Siddiqui: Institute of Chest Diseases (ICD) Kotri, Pakistan.; Dri Grium Tefera: Partners In Health, Sierra Leone.; Dmitry Vetushko: The Republican Scientific and Practical Centre for Pulmonology  and TB, Minsk, Belarus.; Lusine Yeghiazaryan: National Center for Pulmonology, Yerevan, Armenia.; David Holtzman: Partners In Health, Lesotho, Maseru, Lesotho.; Shirajul Islam, Shahid Mamsa: Indus Hospital and Health Network (IHHN), Karachi,  Pakistan.; Andargachew Kumsa: Ministry of Health, Ethiopia.; Gamarly Jacques Leblanc: Zanmi Lasante, Cange, Haiti.; Olga Leonovich: Medical Department, Médecins Sans Frontières, Minsk, Belarus.; Shirajul Islam, Shahid Mamsa: Indus Hospital and Health Network (IHHN), Karachi,  Pakistan.; Mohammad Manzur-ul-Alam, Shirajul Islam: Interactive Research and Development  (IRD), Dhaka, Bangladesh.; Zaw Myint: National Tuberculosis Program central, Yangon branch, Myanmar.; Shrivani Padayachee: Interactive Research and Development (IRD), Durban, South  Africa.; Carole D. Mitnick, Kwonjune J. Seung, Michael L. Rich, Molly F. Franke, Elna  Osso: Department of Global Health and Social Medicine, Harvard Medical School,  Boston, USA.; Francis Varaine, Catherine Hewison: Medical Department, Médecins Sans Frontières,  Paris, France.&lt;/_author_adr&gt;&lt;_date_display&gt;2022 Mar 4&lt;/_date_display&gt;&lt;_date&gt;2022-03-04&lt;/_date&gt;&lt;_doi&gt;10.1093/cid/ciac176&lt;/_doi&gt;&lt;_isbn&gt;1537-6591 (Electronic); 1058-4838 (Linking)&lt;/_isbn&gt;&lt;_journal&gt;Clin Infect Dis&lt;/_journal&gt;&lt;_keywords&gt;adverse events; combination therapy; endTB; linezolid&lt;/_keywords&gt;&lt;_language&gt;eng&lt;/_language&gt;&lt;_ori_publication&gt;© The Author(s) 2022. Published by Oxford University Press for the Infectious _x000d__x000a_      Diseases Society of America.&lt;/_ori_publication&gt;&lt;_tertiary_title&gt;Clinical infectious diseases : an official publication of the Infectious Diseases _x000d__x000a_      Society of America&lt;/_tertiary_title&gt;&lt;_type_work&gt;Journal Article&lt;/_type_work&gt;&lt;_url&gt;http://www.ncbi.nlm.nih.gov/entrez/query.fcgi?cmd=Retrieve&amp;amp;db=pubmed&amp;amp;dopt=Abstract&amp;amp;list_uids=35243494&amp;amp;query_hl=1&lt;/_url&gt;&lt;_created&gt;64571958&lt;/_created&gt;&lt;_modified&gt;64571958&lt;/_modified&gt;&lt;_impact_factor&gt;  20.999&lt;/_impact_factor&gt;&lt;_social_category&gt;医学(1)&lt;/_social_category&gt;&lt;_collection_scope&gt;SCIE&lt;/_collection_scope&gt;&lt;/Details&gt;&lt;Extra&gt;&lt;DBUID&gt;{A85A7749-08C4-47B5-BCFE-852A2978ED56}&lt;/DBUID&gt;&lt;/Extra&gt;&lt;/Item&gt;&lt;/References&gt;&lt;/Group&gt;&lt;/Citation&gt;_x000a_"/>
    <w:docVar w:name="NE.Ref{3ED94C86-3CC1-4F3E-9770-78F8E9D1EDFD}" w:val=" ADDIN NE.Ref.{3ED94C86-3CC1-4F3E-9770-78F8E9D1EDFD}&lt;Citation&gt;&lt;Group&gt;&lt;References&gt;&lt;Item&gt;&lt;ID&gt;47673&lt;/ID&gt;&lt;UID&gt;{35741D27-DE76-4362-ADFC-9E8E838860F6}&lt;/UID&gt;&lt;Title&gt;Rapid communication: Key changes to the treatment of drug-resistant tuberculosis&lt;/Title&gt;&lt;Template&gt;Report&lt;/Template&gt;&lt;Star&gt;0&lt;/Star&gt;&lt;Tag&gt;0&lt;/Tag&gt;&lt;Author&gt;WHO&lt;/Author&gt;&lt;Year&gt;2022&lt;/Year&gt;&lt;Details&gt;&lt;_created&gt;64358431&lt;/_created&gt;&lt;_modified&gt;64609020&lt;/_modified&gt;&lt;_accessed&gt;64609020&lt;/_accessed&gt;&lt;_place_published&gt;Geneva: World Health Organization;  2022 (WHO/UCN/TB/2022.2). Licence: CC BY-NC-SA 3.0 IGO.&lt;/_place_published&gt;&lt;/Details&gt;&lt;Extra&gt;&lt;DBUID&gt;{A85A7749-08C4-47B5-BCFE-852A2978ED56}&lt;/DBUID&gt;&lt;/Extra&gt;&lt;/Item&gt;&lt;/References&gt;&lt;/Group&gt;&lt;Group&gt;&lt;References&gt;&lt;Item&gt;&lt;ID&gt;73976&lt;/ID&gt;&lt;UID&gt;{1FDA307F-E3B5-4B5C-9628-F636F5335608}&lt;/UID&gt;&lt;Title&gt;WHO consolidated guidelines on tuberculosis. Module 4: treatment - drug-resistant tuberculosis treatment, 2022 update&lt;/Title&gt;&lt;Template&gt;Report&lt;/Template&gt;&lt;Star&gt;0&lt;/Star&gt;&lt;Tag&gt;0&lt;/Tag&gt;&lt;Author&gt;WHO&lt;/Author&gt;&lt;Year&gt;2022&lt;/Year&gt;&lt;Details&gt;&lt;_created&gt;64673796&lt;/_created&gt;&lt;_modified&gt;64673798&lt;/_modified&gt;&lt;_place_published&gt;Geneva: World Health Organization&lt;/_place_published&gt;&lt;_accessed&gt;64673799&lt;/_accessed&gt;&lt;/Details&gt;&lt;Extra&gt;&lt;DBUID&gt;{A85A7749-08C4-47B5-BCFE-852A2978ED56}&lt;/DBUID&gt;&lt;/Extra&gt;&lt;/Item&gt;&lt;/References&gt;&lt;/Group&gt;&lt;/Citation&gt;_x000a_"/>
    <w:docVar w:name="NE.Ref{43039655-5627-4889-AAE6-914FDEEC9E83}" w:val=" ADDIN NE.Ref.{43039655-5627-4889-AAE6-914FDEEC9E83}&lt;Citation&gt;&lt;Group&gt;&lt;References&gt;&lt;Item&gt;&lt;ID&gt;14024&lt;/ID&gt;&lt;UID&gt;{132AD70C-F38B-405E-A8D4-9098D98B6B2B}&lt;/UID&gt;&lt;Title&gt;耐多药或利福平耐药结核病长程化疗方案与短程化疗方案的利与弊&lt;/Title&gt;&lt;Template&gt;Journal Article&lt;/Template&gt;&lt;Star&gt;0&lt;/Star&gt;&lt;Tag&gt;0&lt;/Tag&gt;&lt;Author&gt;李琦; 李亮&lt;/Author&gt;&lt;Year&gt;2019&lt;/Year&gt;&lt;Details&gt;&lt;_accessed&gt;62882916&lt;/_accessed&gt;&lt;_author_adr&gt;首都医科大学附属北京胸科医院中国疾病预防控制中心结核病防治临床中心 101149; 首都医科大学附属北京胸科医院中国疾病预防控制中心结核病防治临床中心 101149&lt;/_author_adr&gt;&lt;_author_aff&gt;首都医科大学附属北京胸科医院中国疾病预防控制中心结核病防治临床中心 101149; 首都医科大学附属北京胸科医院中国疾病预防控制中心结核病防治临床中心 101149&lt;/_author_aff&gt;&lt;_collection_scope&gt;CSCD;PKU&lt;/_collection_scope&gt;&lt;_created&gt;62882916&lt;/_created&gt;&lt;_db_provider&gt;北京万方数据股份有限公司&lt;/_db_provider&gt;&lt;_db_updated&gt;Wanfangdata&lt;/_db_updated&gt;&lt;_doi&gt;10.3760/cma.j.issn.1001-0939.2019.05.005&lt;/_doi&gt;&lt;_isbn&gt;1001-0939&lt;/_isbn&gt;&lt;_issue&gt;5&lt;/_issue&gt;&lt;_journal&gt;中华结核和呼吸杂志&lt;/_journal&gt;&lt;_keywords&gt;@@&lt;/_keywords&gt;&lt;_language&gt;chi&lt;/_language&gt;&lt;_modified&gt;63507596&lt;/_modified&gt;&lt;_pages&gt;333-338&lt;/_pages&gt;&lt;_tertiary_title&gt;Chinese Journal of Tuberculosis and Respiratory Diseases&lt;/_tertiary_title&gt;&lt;_translated_title&gt;@@&lt;/_translated_title&gt;&lt;_url&gt;http://www.wanfangdata.com.cn/details/detail.do?_type=perio&amp;amp;id=zhjhhhx201905005&lt;/_url&gt;&lt;_volume&gt;42&lt;/_volume&gt;&lt;_translated_author&gt;Li, Qi;Li, Liang&lt;/_translated_author&gt;&lt;/Details&gt;&lt;Extra&gt;&lt;DBUID&gt;{A85A7749-08C4-47B5-BCFE-852A2978ED56}&lt;/DBUID&gt;&lt;/Extra&gt;&lt;/Item&gt;&lt;/References&gt;&lt;/Group&gt;&lt;Group&gt;&lt;References&gt;&lt;Item&gt;&lt;ID&gt;14021&lt;/ID&gt;&lt;UID&gt;{B308ED16-1C85-4332-BC96-F7391A23E8B2}&lt;/UID&gt;&lt;Title&gt;世界卫生组织新短程耐多药结核病化学治疗方案:适逢其时还是太过仓促?&lt;/Title&gt;&lt;Template&gt;Journal Article&lt;/Template&gt;&lt;Star&gt;0&lt;/Star&gt;&lt;Tag&gt;0&lt;/Tag&gt;&lt;Author&gt;张文宏; 孙峰; 李杨&lt;/Author&gt;&lt;Year&gt;2017&lt;/Year&gt;&lt;Details&gt;&lt;_created&gt;62696978&lt;/_created&gt;&lt;_modified&gt;64337062&lt;/_modified&gt;&lt;_author_adr&gt;复旦大学附属华山医院; 复旦大学附属华山医院; 复旦大学附属华山医院&lt;/_author_adr&gt;&lt;_collection_scope&gt;CSCD;PKU&lt;/_collection_scope&gt;&lt;_db_provider&gt;北京万方数据股份有限公司&lt;/_db_provider&gt;&lt;_doi&gt;10.3760/cma.j.issn.1000-6680.2017.12.002&lt;/_doi&gt;&lt;_isbn&gt;1000-6680&lt;/_isbn&gt;&lt;_issue&gt;12&lt;/_issue&gt;&lt;_journal&gt;中华传染病杂志&lt;/_journal&gt;&lt;_language&gt;chi&lt;/_language&gt;&lt;_pages&gt;711-714&lt;/_pages&gt;&lt;_url&gt;http://www.wanfangdata.com.cn/details/detail.do?_type=perio&amp;amp;id=zhcrbzz201712002&lt;/_url&gt;&lt;_volume&gt;35&lt;/_volume&gt;&lt;_accessed&gt;64337060&lt;/_accessed&gt;&lt;_translated_author&gt;Zhang, Wen hong;Sun, Feng;Li, Yang&lt;/_translated_author&gt;&lt;/Details&gt;&lt;Extra&gt;&lt;DBUID&gt;{A85A7749-08C4-47B5-BCFE-852A2978ED56}&lt;/DBUID&gt;&lt;/Extra&gt;&lt;/Item&gt;&lt;/References&gt;&lt;/Group&gt;&lt;/Citation&gt;_x000a_"/>
    <w:docVar w:name="NE.Ref{5BD88AC2-49C4-47A4-85A0-1B9DDE33DCD5}" w:val=" ADDIN NE.Ref.{5BD88AC2-49C4-47A4-85A0-1B9DDE33DCD5}&lt;Citation&gt;&lt;Group&gt;&lt;References&gt;&lt;Item&gt;&lt;ID&gt;17042&lt;/ID&gt;&lt;UID&gt;{FDEEC9A9-DA3C-423A-92B7-C3C46C85FDD5}&lt;/UID&gt;&lt;Title&gt;Bedaquiline, moxifloxacin, pretomanid, and pyrazinamide during the first 8 weeks of  treatment of patients with drug-susceptible or drug-resistant pulmonary  tuberculosis: a multicentre, open-label, partially randomised, phase 2b trial&lt;/Title&gt;&lt;Template&gt;Journal Article&lt;/Template&gt;&lt;Star&gt;0&lt;/Star&gt;&lt;Tag&gt;0&lt;/Tag&gt;&lt;Author&gt;Tweed, C D; Dawson, R; Burger, D A; Conradie, A; Crook, A M; Mendel, C M; Conradie, F; Diacon, A H; Ntinginya, N E; Everitt, D E; Haraka, F; Li, M; van Niekerk, C H; Okwera, A; Rassool, M S; Reither, K; Sebe, M A; Staples, S; Variava, E; Spigelman, M&lt;/Author&gt;&lt;Year&gt;2019&lt;/Year&gt;&lt;Details&gt;&lt;_created&gt;63392486&lt;/_created&gt;&lt;_modified&gt;64570306&lt;/_modified&gt;&lt;_accession_num&gt;31732485&lt;/_accession_num&gt;&lt;_author_adr&gt;MRC Clinical Trials Unit at UCL, London, UK. Electronic address: c.tweed@ucl.ac.uk.; University of Cape Town Lung Institute, Cape Town, South Africa; Division of  Pulmonology, Department of Medicine, University of Cape Town, Cape Town, South  Africa.; Department of Statistics, University of Pretoria, Pretoria, South Africa.; TB Alliance, Pretoria, South Africa.; MRC Clinical Trials Unit at UCL, London, UK.; Global Alliance for TB Drug Development, New York, NY, USA.; Clinical HIV Research Unit, University of Witwatersrand, Johannesburg, South Africa.; TASK Applied Science, Bellville, South Africa; Division of Physiology, Department of  Medical Biochemistry, Stellenbosch University, Tygerberg, South Africa.; NIMR-Mbeya Medical Research Centre, Mbeya, Tanzania.; Global Alliance for TB Drug Development, New York, NY, USA.; Ifakara Health Institute Bagamoyo Research and Training Center, Bagamoyo, Tanzania.; Global Alliance for TB Drug Development, New York, NY, USA.; TB Alliance, Pretoria, South Africa.; Uganda Case Western Reserve University Research Collaboration, Kampala, Uganda.; Clinical HIV Research Unit, Helen Joseph Hospital, Johannesburg, South Africa.; Ifakara Health Institute Bagamoyo Research and Training Center, Bagamoyo, Tanzania;  Swiss Tropical and Public Health Institute, Basel, Switzerland.; The Aurum Institute, Tembisa Hospital, Tembisa, South Africa.; THINK, Durban, South Africa.; MDR Unit, Klerksdorp Tshepong Hospital, Klerksdorp, South Africa.; Global Alliance for TB Drug Development, New York, NY, USA.&lt;/_author_adr&gt;&lt;_date&gt;2019-12-01&lt;/_date&gt;&lt;_date_display&gt;2019 Dec&lt;/_date_display&gt;&lt;_doi&gt;10.1016/S2213-2600(19)30366-2&lt;/_doi&gt;&lt;_impact_factor&gt; 102.642&lt;/_impact_factor&gt;&lt;_isbn&gt;2213-2619 (Electronic); 2213-2600 (Linking)&lt;/_isbn&gt;&lt;_issue&gt;12&lt;/_issue&gt;&lt;_journal&gt;Lancet Respir Med&lt;/_journal&gt;&lt;_language&gt;eng&lt;/_language&gt;&lt;_ori_publication&gt;Copyright ? 2019 The Author(s). Published by Elsevier Ltd. This is an Open Access _x000d__x000a_      article under the CC BY 4.0 license. Published by Elsevier Ltd.. All rights _x000d__x000a_      reserved.&lt;/_ori_publication&gt;&lt;_pages&gt;1048-1058&lt;/_pages&gt;&lt;_subject_headings&gt;Antitubercular Agents/*administration &amp;amp; dosage; Diarylquinolines/*administration &amp;amp; dosage; Drug Administration Schedule; Drug Therapy, Combination; Humans; Moxifloxacin/*administration &amp;amp; dosage; Nitroimidazoles/*administration &amp;amp; dosage; Pyrazinamide/*administration &amp;amp; dosage; Rifampin/administration &amp;amp; dosage; South Africa; Sputum/microbiology; Tanzania; Treatment Outcome; Tuberculosis, Multidrug-Resistant/*drug therapy; Uganda&lt;/_subject_headings&gt;&lt;_tertiary_title&gt;The Lancet. Respiratory medicine&lt;/_tertiary_title&gt;&lt;_type_work&gt;Clinical Trial, Phase II; Journal Article; Multicenter Study; Randomized Controlled Trial; Research Support, Non-U.S. Gov&amp;apos;t&lt;/_type_work&gt;&lt;_url&gt;http://www.ncbi.nlm.nih.gov/entrez/query.fcgi?cmd=Retrieve&amp;amp;db=pubmed&amp;amp;dopt=Abstract&amp;amp;list_uids=31732485&amp;amp;query_hl=1&lt;/_url&gt;&lt;_volume&gt;7&lt;/_volume&gt;&lt;_accessed&gt;64224547&lt;/_accessed&gt;&lt;_social_category&gt;医学(1)&lt;/_social_category&gt;&lt;_collection_scope&gt;SCIE&lt;/_collection_scope&gt;&lt;/Details&gt;&lt;Extra&gt;&lt;DBUID&gt;{A85A7749-08C4-47B5-BCFE-852A2978ED56}&lt;/DBUID&gt;&lt;/Extra&gt;&lt;/Item&gt;&lt;/References&gt;&lt;/Group&gt;&lt;/Citation&gt;_x000a_"/>
    <w:docVar w:name="NE.Ref{7C057AC1-CCB8-4B1B-8B5B-58AAB32707C4}" w:val=" ADDIN NE.Ref.{7C057AC1-CCB8-4B1B-8B5B-58AAB32707C4}&lt;Citation&gt;&lt;Group&gt;&lt;References&gt;&lt;Item&gt;&lt;ID&gt;64717&lt;/ID&gt;&lt;UID&gt;{0C9DA1EA-101D-4EFB-8685-CCB88332A61A}&lt;/UID&gt;&lt;Title&gt;Global tuberculosis report 2022&lt;/Title&gt;&lt;Template&gt;Report&lt;/Template&gt;&lt;Star&gt;0&lt;/Star&gt;&lt;Tag&gt;0&lt;/Tag&gt;&lt;Author&gt;WHO&lt;/Author&gt;&lt;Year&gt;2022&lt;/Year&gt;&lt;Details&gt;&lt;_created&gt;64636417&lt;/_created&gt;&lt;_modified&gt;64636417&lt;/_modified&gt;&lt;_place_published&gt;Geneva: World Health Organization&lt;/_place_published&gt;&lt;/Details&gt;&lt;Extra&gt;&lt;DBUID&gt;{A85A7749-08C4-47B5-BCFE-852A2978ED56}&lt;/DBUID&gt;&lt;/Extra&gt;&lt;/Item&gt;&lt;/References&gt;&lt;/Group&gt;&lt;/Citation&gt;_x000a_"/>
    <w:docVar w:name="NE.Ref{87417056-3AF4-4622-8E64-CFE6B1565A6E}" w:val=" ADDIN NE.Ref.{87417056-3AF4-4622-8E64-CFE6B1565A6E}&lt;Citation&gt;&lt;Group&gt;&lt;References&gt;&lt;Item&gt;&lt;ID&gt;17049&lt;/ID&gt;&lt;UID&gt;{1D725F91-D1C4-4791-9825-DBC124EADE7C}&lt;/UID&gt;&lt;Title&gt;Treatment of Highly Drug-Resistant Pulmonary Tuberculosis&lt;/Title&gt;&lt;Template&gt;Journal Article&lt;/Template&gt;&lt;Star&gt;0&lt;/Star&gt;&lt;Tag&gt;0&lt;/Tag&gt;&lt;Author&gt;Conradie, F; Diacon, A H; Ngubane, N; Howell, P; Everitt, D; Crook, A M; Mendel, C M; Egizi, E; Moreira, J; Timm, J; McHugh, T D; Wills, G H; Bateson, A; Hunt, R; Van Niekerk, C; Li, M; Olugbosi, M; Spigelman, M&lt;/Author&gt;&lt;Year&gt;2020&lt;/Year&gt;&lt;Details&gt;&lt;_created&gt;63242507&lt;/_created&gt;&lt;_modified&gt;64586053&lt;/_modified&gt;&lt;_accession_num&gt;32130813&lt;/_accession_num&gt;&lt;_author_adr&gt;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 From the Clinical HIV Research Unit, Faculty of Health Sciences, University of Witwatersrand, Johannesburg (F.C., N.N., P.H.), Sizwe Tropical Disease Hospital,  Sandringham (F.C., P.H.), Task Applied Science and Stellenbosch University, Cape  Town (A.H.D.), King DiniZulu Hospital Complex, Durban (N.N.), and the TB Alliance, Pretoria (C.V.N., M.O.) - all in South Africa; the TB Alliance, New York (D.E., C.M.M., E.E., J.M., J.T., M.L., M.S.); and the MRC Clinical Trials Unit at UCL (A.M.C., G.H.W.) and the UCL Centre for Clinical Microbiology (T.D.M., A.B., R.H.), University College London, London.&lt;/_author_adr&gt;&lt;_date&gt;2020-03-05&lt;/_date&gt;&lt;_date_display&gt;2020 Mar 5&lt;/_date_display&gt;&lt;_doi&gt;10.1056/NEJMoa1901814&lt;/_doi&gt;&lt;_impact_factor&gt; 176.079&lt;/_impact_factor&gt;&lt;_isbn&gt;1533-4406 (Electronic); 0028-4793 (Linking)&lt;/_isbn&gt;&lt;_issue&gt;10&lt;/_issue&gt;&lt;_journal&gt;N Engl J Med&lt;/_journal&gt;&lt;_keywords&gt;Administration, Oral; Adolescent; Adult; Antitubercular Agents/*administration &amp;amp; dosage/adverse effects; Bacterial Load; Diarylquinolines/*administration &amp;amp; dosage/adverse effects; Drug Therapy, Combination; Extensively Drug-Resistant Tuberculosis/*drug therapy/mortality; Female; Humans; Intention to Treat Analysis; Linezolid/*administration &amp;amp; dosage/adverse effects; Male; Middle Aged; Mycobacterium tuberculosis/isolation &amp;amp; purification; Nitroimidazoles/*administration &amp;amp; dosage/adverse effects; Treatment Outcome; Tuberculosis, Multidrug-Resistant/drug therapy; Tuberculosis, Pulmonary/drug therapy; Young Adult&lt;/_keywords&gt;&lt;_language&gt;eng&lt;/_language&gt;&lt;_ori_publication&gt;Copyright (c) 2020 Massachusetts Medical Society.&lt;/_ori_publication&gt;&lt;_pages&gt;893-902&lt;/_pages&gt;&lt;_tertiary_title&gt;The New England journal of medicine&lt;/_tertiary_title&gt;&lt;_type_work&gt;Clinical Trial; Journal Article; Research Support, Non-U.S. Gov&amp;apos;t&lt;/_type_work&gt;&lt;_url&gt;http://www.ncbi.nlm.nih.gov/entrez/query.fcgi?cmd=Retrieve&amp;amp;db=pubmed&amp;amp;dopt=Abstract&amp;amp;list_uids=32130813&amp;amp;query_hl=1&lt;/_url&gt;&lt;_volume&gt;382&lt;/_volume&gt;&lt;_accessed&gt;64585973&lt;/_accessed&gt;&lt;_social_category&gt;医学(1)&lt;/_social_category&gt;&lt;_collection_scope&gt;SCIE&lt;/_collection_scope&gt;&lt;/Details&gt;&lt;Extra&gt;&lt;DBUID&gt;{A85A7749-08C4-47B5-BCFE-852A2978ED56}&lt;/DBUID&gt;&lt;/Extra&gt;&lt;/Item&gt;&lt;/References&gt;&lt;/Group&gt;&lt;/Citation&gt;_x000a_"/>
    <w:docVar w:name="NE.Ref{A52B7712-2CB5-4AFE-9844-FE2EA4D19495}" w:val=" ADDIN NE.Ref.{A52B7712-2CB5-4AFE-9844-FE2EA4D19495}&lt;Citation&gt;&lt;Group&gt;&lt;References&gt;&lt;Item&gt;&lt;ID&gt;64717&lt;/ID&gt;&lt;UID&gt;{0C9DA1EA-101D-4EFB-8685-CCB88332A61A}&lt;/UID&gt;&lt;Title&gt;Global tuberculosis report 2022&lt;/Title&gt;&lt;Template&gt;Report&lt;/Template&gt;&lt;Star&gt;0&lt;/Star&gt;&lt;Tag&gt;0&lt;/Tag&gt;&lt;Author&gt;WHO&lt;/Author&gt;&lt;Year&gt;2022&lt;/Year&gt;&lt;Details&gt;&lt;_created&gt;64636417&lt;/_created&gt;&lt;_modified&gt;64636417&lt;/_modified&gt;&lt;_place_published&gt;Geneva: World Health Organization&lt;/_place_published&gt;&lt;/Details&gt;&lt;Extra&gt;&lt;DBUID&gt;{A85A7749-08C4-47B5-BCFE-852A2978ED56}&lt;/DBUID&gt;&lt;/Extra&gt;&lt;/Item&gt;&lt;/References&gt;&lt;/Group&gt;&lt;/Citation&gt;_x000a_"/>
    <w:docVar w:name="NE.Ref{BA100E89-C572-4F85-A810-BAC2C7F2064C}" w:val=" ADDIN NE.Ref.{BA100E89-C572-4F85-A810-BAC2C7F2064C}&lt;Citation&gt;&lt;Group&gt;&lt;References&gt;&lt;Item&gt;&lt;ID&gt;64717&lt;/ID&gt;&lt;UID&gt;{0C9DA1EA-101D-4EFB-8685-CCB88332A61A}&lt;/UID&gt;&lt;Title&gt;Global tuberculosis report 2022&lt;/Title&gt;&lt;Template&gt;Report&lt;/Template&gt;&lt;Star&gt;0&lt;/Star&gt;&lt;Tag&gt;0&lt;/Tag&gt;&lt;Author&gt;WHO&lt;/Author&gt;&lt;Year&gt;2022&lt;/Year&gt;&lt;Details&gt;&lt;_created&gt;64636417&lt;/_created&gt;&lt;_modified&gt;64636417&lt;/_modified&gt;&lt;_place_published&gt;Geneva: World Health Organization&lt;/_place_published&gt;&lt;/Details&gt;&lt;Extra&gt;&lt;DBUID&gt;{A85A7749-08C4-47B5-BCFE-852A2978ED56}&lt;/DBUID&gt;&lt;/Extra&gt;&lt;/Item&gt;&lt;/References&gt;&lt;/Group&gt;&lt;/Citation&gt;_x000a_"/>
    <w:docVar w:name="NE.Ref{C795FE8B-DB17-4BBC-8A4F-35B3D8137694}" w:val=" ADDIN NE.Ref.{C795FE8B-DB17-4BBC-8A4F-35B3D8137694}&lt;Citation&gt;&lt;Group&gt;&lt;References&gt;&lt;Item&gt;&lt;ID&gt;34468&lt;/ID&gt;&lt;UID&gt;{F4C8ABB2-73A5-490A-A782-711199049471}&lt;/UID&gt;&lt;Title&gt;Insignificant difference in culture conversion between bedaquiline-containing and  bedaquiline-free all-oral short regimens for multidrug-resistant tuberculosis&lt;/Title&gt;&lt;Template&gt;Journal Article&lt;/Template&gt;&lt;Star&gt;0&lt;/Star&gt;&lt;Tag&gt;0&lt;/Tag&gt;&lt;Author&gt;Fu, L; Weng, T; Sun, F; Zhang, P; Li, H; Li, Y; Yang, Q; Cai, Y; Zhang, X; Liang, H; Chen, X; Wang, Z; Liu, L; Zhang, W; Deng, G&lt;/Author&gt;&lt;Year&gt;2021&lt;/Year&gt;&lt;Details&gt;&lt;_created&gt;64025042&lt;/_created&gt;&lt;_modified&gt;64636407&lt;/_modified&gt;&lt;_accession_num&gt;34454119&lt;/_accession_num&gt;&lt;_author_adr&gt;Pulmonary Diseases Department Two, National Clinical Research Center for Infectious  Disease (Shenzhen), Guangdong Provincial Clinical Research Center for Infectious  Diseases (Tuberculosis), Shenzhen Third People&amp;apos;s Hospital, Southern University of  Science and Technology, Shenzhen, 518112, China.; Departments of Infectious Diseases, Huashan Hospital, Fudan University, Shanghai,  200040, China.; Departments of Infectious Diseases, Huashan Hospital, Fudan University, Shanghai,  200040, China.; Pulmonary Diseases Department Two, National Clinical Research Center for Infectious  Disease (Shenzhen), Guangdong Provincial Clinical Research Center for Infectious  Diseases (Tuberculosis), Shenzhen Third People&amp;apos;s Hospital, Southern University of  Science and Technology, Shenzhen, 518112, China.; Pulmonary Diseases Department Two, National Clinical Research Center for Infectious  Disease (Shenzhen), Guangdong Provincial Clinical Research Center for Infectious  Diseases (Tuberculosis), Shenzhen Third People&amp;apos;s Hospital, Southern University of  Science and Technology, Shenzhen, 518112, China.; Departments of Infectious Diseases, Huashan Hospital, Fudan University, Shanghai,  200040, China.; Guangdong Key Lab for Diagnosis &amp;amp;Treatment of Emerging Infectious Disease, Shenzhen  Third People&amp;apos;s Hospital, National clinical research center for infectious disease,  Southern University of Science and Technology, Shenzhen, 518112, China.; Department of Pathogen Biology, Guangdong Key Laboratory of Regional Immunity and  Diseases, Shenzhen University School of Medicine, Shenzhen, 518060, China.; The Fourth People&amp;apos;s Hospital of Foshan, Foshan, 528000, China.; Tuberculosis Diseases Department Two, The Sixth People&amp;apos;s Hospital of Dongguan,  Dongguan, 523000, China.; Department of Pathogen Biology, Guangdong Key Laboratory of Regional Immunity and  Diseases, Shenzhen University School of Medicine, Shenzhen, 518060, China.; Pulmonary Diseases Department Two, National Clinical Research Center for Infectious  Disease (Shenzhen), Guangdong Provincial Clinical Research Center for Infectious  Diseases (Tuberculosis), Shenzhen Third People&amp;apos;s Hospital, Southern University of  Science and Technology, Shenzhen, 518112, China.; Pulmonary Diseases Department Two, National Clinical Research Center for Infectious  Disease (Shenzhen), Guangdong Provincial Clinical Research Center for Infectious  Diseases (Tuberculosis), Shenzhen Third People&amp;apos;s Hospital, Southern University of  Science and Technology, Shenzhen, 518112, China. Electronic address:  liulei3322@aliyun.com.; Departments of Infectious Diseases, Huashan Hospital, Fudan University, Shanghai,  200040, China. Electronic address: zhangwenhong@fudan.edu.cn.; Pulmonary Diseases Department Two, National Clinical Research Center for Infectious  Disease (Shenzhen), Guangdong Provincial Clinical Research Center for Infectious  Diseases (Tuberculosis), Shenzhen Third People&amp;apos;s Hospital, Southern University of  Science and Technology, Shenzhen, 518112, China. Electronic address:  jxxk1035@yeah.net.&lt;/_author_adr&gt;&lt;_date_display&gt;2021 Aug 25&lt;/_date_display&gt;&lt;_date&gt;2021-08-25&lt;/_date&gt;&lt;_doi&gt;10.1016/j.ijid.2021.08.055&lt;/_doi&gt;&lt;_isbn&gt;1878-3511 (Electronic); 1201-9712 (Linking)&lt;/_isbn&gt;&lt;_journal&gt;Int J Infect Dis&lt;/_journal&gt;&lt;_keywords&gt;Multidrug-resistant; clinical trials; outcome; safety; treatment; tuberculosis&lt;/_keywords&gt;&lt;_language&gt;eng&lt;/_language&gt;&lt;_ori_publication&gt;Copyright © 2021 The Author(s). Published by Elsevier Ltd.. All rights reserved.&lt;/_ori_publication&gt;&lt;_pages&gt;138-147&lt;/_pages&gt;&lt;_tertiary_title&gt;International journal of infectious diseases : IJID : official publication of the _x000d__x000a_      International Society for Infectious Diseases&lt;/_tertiary_title&gt;&lt;_type_work&gt;Journal Article&lt;/_type_work&gt;&lt;_url&gt;http://www.ncbi.nlm.nih.gov/entrez/query.fcgi?cmd=Retrieve&amp;amp;db=pubmed&amp;amp;dopt=Abstract&amp;amp;list_uids=34454119&amp;amp;query_hl=1&lt;/_url&gt;&lt;_volume&gt;111&lt;/_volume&gt;&lt;_impact_factor&gt;  12.074&lt;/_impact_factor&gt;&lt;_collection_scope&gt;SCIE&lt;/_collection_scope&gt;&lt;_accessed&gt;64636407&lt;/_accessed&gt;&lt;_social_category&gt;医学(3)&lt;/_social_category&gt;&lt;/Details&gt;&lt;Extra&gt;&lt;DBUID&gt;{A85A7749-08C4-47B5-BCFE-852A2978ED56}&lt;/DBUID&gt;&lt;/Extra&gt;&lt;/Item&gt;&lt;/References&gt;&lt;/Group&gt;&lt;/Citation&gt;_x000a_"/>
    <w:docVar w:name="NE.Ref{CA8153BA-5C7B-46BB-9191-901A5F5D388F}" w:val=" ADDIN NE.Ref.{CA8153BA-5C7B-46BB-9191-901A5F5D388F}&lt;Citation&gt;&lt;Group&gt;&lt;References&gt;&lt;Item&gt;&lt;ID&gt;73978&lt;/ID&gt;&lt;UID&gt;{E4820491-B41C-4AD1-B067-8831773B1472}&lt;/UID&gt;&lt;Title&gt;TB-PRACTECAL: study protocol for a randomised, controlled, open-label, phase  II-III trial to evaluate the safety and efficacy of regimens containing  bedaquiline and pretomanid for the treatment of adult patients with pulmonary  multidrug-resistant tuberculosis&lt;/Title&gt;&lt;Template&gt;Journal Article&lt;/Template&gt;&lt;Star&gt;0&lt;/Star&gt;&lt;Tag&gt;0&lt;/Tag&gt;&lt;Author&gt;Berry, C; du Cros, P; Fielding, K; Gajewski, S; Kazounis, E; McHugh, T D; Merle, C; Motta, I; Moore, DAJ; Nyang&amp;apos;Wa, B T&lt;/Author&gt;&lt;Year&gt;2022&lt;/Year&gt;&lt;Details&gt;&lt;_accession_num&gt;35698158&lt;/_accession_num&gt;&lt;_author_adr&gt;Médecins sans Frontières, 10 Furnival Street, London, EC4A1AB, UK.  Catherine.berry@london.msf.org.; Médecins sans Frontières, 10 Furnival Street, London, EC4A1AB, UK.; Burnet Institute, 85 Commercial Rd, Melbourne, VIC, 3004, Australia.; London School of Hygiene and Tropical Medicine, Keppel St, London, WC1E 7HT, UK.; Swiss Tropical and Public Health Institute (affiliated with University of Basel),  Kreuzstrasse 2, 4123, Allschwil, Switzerland.; Médecins sans Frontières, 10 Furnival Street, London, EC4A1AB, UK.; UCL Centre for Clinical Microbiology, Royal Free Campus, UCL, Rowland Hill  Street, NW3 2PF, London, UK.; The Special Programme for Research &amp;amp; Training in Tropical Diseases (TDR) World  Health Organization, Avenue Appia 20, 1211, 27, Geneva, Switzerland.; Médecins sans Frontières, 10 Furnival Street, London, EC4A1AB, UK.; TB Centre, London School of Hygiene and Tropical Medicine, Keppel St, London,  WC1E 7HT, UK.; Médecins sans Frontières, Plantage Middenlaan 14, 1018, DD, Amsterdam, The  Netherlands.&lt;/_author_adr&gt;&lt;_date_display&gt;2022 Jun 13&lt;/_date_display&gt;&lt;_date&gt;2022-06-13&lt;/_date&gt;&lt;_doi&gt;10.1186/s13063-022-06331-8&lt;/_doi&gt;&lt;_isbn&gt;1745-6215 (Electronic); 1745-6215 (Linking)&lt;/_isbn&gt;&lt;_issue&gt;1&lt;/_issue&gt;&lt;_journal&gt;Trials&lt;/_journal&gt;&lt;_keywords&gt;Bedaquiline; Clinical trial; Clofazimine; Linezolid; Moxifloxacin; Multiarm multistage; Multidrug-resistant tuberculosis; Phase 2/3; Pretomanid; RCT&lt;/_keywords&gt;&lt;_language&gt;eng&lt;/_language&gt;&lt;_ori_publication&gt;© 2022. The Author(s).&lt;/_ori_publication&gt;&lt;_pages&gt;484&lt;/_pages&gt;&lt;_subject_headings&gt;Adolescent; Adult; Antibiotics, Antitubercular/pharmacology/therapeutic use; Antitubercular Agents/pharmacology/*therapeutic use; Diarylquinolines/pharmacology/*therapeutic use; Humans; Linezolid/pharmacology/*therapeutic use; Pandemics; Rifampin/pharmacology/*therapeutic use; Treatment Outcome; Tuberculosis, Multidrug-Resistant/diagnosis/*drug therapy; Young Adult&lt;/_subject_headings&gt;&lt;_tertiary_title&gt;Trials&lt;/_tertiary_title&gt;&lt;_type_work&gt;Clinical Trial Protocol; Clinical Trial, Phase II; Clinical Trial, Phase III; Journal Article; Multicenter Study; Randomized Controlled Trial&lt;/_type_work&gt;&lt;_url&gt;http://www.ncbi.nlm.nih.gov/entrez/query.fcgi?cmd=Retrieve&amp;amp;db=pubmed&amp;amp;dopt=Abstract&amp;amp;list_uids=35698158&amp;amp;query_hl=1&lt;/_url&gt;&lt;_volume&gt;23&lt;/_volume&gt;&lt;_created&gt;64674336&lt;/_created&gt;&lt;_modified&gt;64674336&lt;/_modified&gt;&lt;_impact_factor&gt;   2.728&lt;/_impact_factor&gt;&lt;_social_category&gt;医学(4)&lt;/_social_category&gt;&lt;_collection_scope&gt;SCIE&lt;/_collection_scope&gt;&lt;/Details&gt;&lt;Extra&gt;&lt;DBUID&gt;{A85A7749-08C4-47B5-BCFE-852A2978ED56}&lt;/DBUID&gt;&lt;/Extra&gt;&lt;/Item&gt;&lt;/References&gt;&lt;/Group&gt;&lt;/Citation&gt;_x000a_"/>
    <w:docVar w:name="NE.Ref{CF58A8E0-32FC-4AAD-83F9-1859E79DC300}" w:val=" ADDIN NE.Ref.{CF58A8E0-32FC-4AAD-83F9-1859E79DC300}&lt;Citation&gt;&lt;Group&gt;&lt;References&gt;&lt;Item&gt;&lt;ID&gt;2083&lt;/ID&gt;&lt;UID&gt;{A87B0413-B9D7-4188-9BB6-BFCBC02641F4}&lt;/UID&gt;&lt;Title&gt;WHO treatment guidelines for drug-resistant tuberculosis. 2016 update&lt;/Title&gt;&lt;Template&gt;Report&lt;/Template&gt;&lt;Star&gt;0&lt;/Star&gt;&lt;Tag&gt;0&lt;/Tag&gt;&lt;Author&gt;WHO&lt;/Author&gt;&lt;Year&gt;2016&lt;/Year&gt;&lt;Details&gt;&lt;_created&gt;62080801&lt;/_created&gt;&lt;_modified&gt;63562908&lt;/_modified&gt;&lt;_accessed&gt;62537430&lt;/_accessed&gt;&lt;_journal&gt;Geneva: World Health Organization&lt;/_journal&gt;&lt;_place_published&gt;Geneva: World Health Organization&lt;/_place_published&gt;&lt;/Details&gt;&lt;Extra&gt;&lt;DBUID&gt;{A85A7749-08C4-47B5-BCFE-852A2978ED56}&lt;/DBUID&gt;&lt;/Extra&gt;&lt;/Item&gt;&lt;/References&gt;&lt;/Group&gt;&lt;Group&gt;&lt;References&gt;&lt;Item&gt;&lt;ID&gt;64717&lt;/ID&gt;&lt;UID&gt;{0C9DA1EA-101D-4EFB-8685-CCB88332A61A}&lt;/UID&gt;&lt;Title&gt;Global tuberculosis report 2022&lt;/Title&gt;&lt;Template&gt;Report&lt;/Template&gt;&lt;Star&gt;0&lt;/Star&gt;&lt;Tag&gt;0&lt;/Tag&gt;&lt;Author&gt;WHO&lt;/Author&gt;&lt;Year&gt;2022&lt;/Year&gt;&lt;Details&gt;&lt;_created&gt;64636417&lt;/_created&gt;&lt;_modified&gt;64636417&lt;/_modified&gt;&lt;_place_published&gt;Geneva: World Health Organization&lt;/_place_published&gt;&lt;/Details&gt;&lt;Extra&gt;&lt;DBUID&gt;{A85A7749-08C4-47B5-BCFE-852A2978ED56}&lt;/DBUID&gt;&lt;/Extra&gt;&lt;/Item&gt;&lt;/References&gt;&lt;/Group&gt;&lt;/Citation&gt;_x000a_"/>
    <w:docVar w:name="NE.Ref{D99A5C2B-C356-4665-87A4-3475AA3B5E04}" w:val=" ADDIN NE.Ref.{D99A5C2B-C356-4665-87A4-3475AA3B5E04}&lt;Citation&gt;&lt;Group&gt;&lt;References&gt;&lt;Item&gt;&lt;ID&gt;2097&lt;/ID&gt;&lt;UID&gt;{F29AA9AC-5BD5-4A98-A662-9F7961D1E9A7}&lt;/UID&gt;&lt;Title&gt;WHO consolidated guidelines on tuberculosis. Module 4: treatment - drug-resistant tuberculosis treatment&lt;/Title&gt;&lt;Template&gt;Report&lt;/Template&gt;&lt;Star&gt;0&lt;/Star&gt;&lt;Tag&gt;0&lt;/Tag&gt;&lt;Author&gt;WHO&lt;/Author&gt;&lt;Year&gt;2020&lt;/Year&gt;&lt;Details&gt;&lt;_created&gt;63363862&lt;/_created&gt;&lt;_modified&gt;64230329&lt;/_modified&gt;&lt;_place_published&gt;Geneva: World Health Organization&lt;/_place_published&gt;&lt;_accessed&gt;64230329&lt;/_accessed&gt;&lt;/Details&gt;&lt;Extra&gt;&lt;DBUID&gt;{A85A7749-08C4-47B5-BCFE-852A2978ED56}&lt;/DBUID&gt;&lt;/Extra&gt;&lt;/Item&gt;&lt;/References&gt;&lt;/Group&gt;&lt;/Citation&gt;_x000a_"/>
    <w:docVar w:name="ne_docsoft" w:val="MSWord"/>
    <w:docVar w:name="ne_docversion" w:val="NoteExpress 2.0"/>
    <w:docVar w:name="ne_stylename" w:val="中华人民共和国国家标准_GBT_7714-2015"/>
  </w:docVars>
  <w:rsids>
    <w:rsidRoot w:val="00172A27"/>
    <w:rsid w:val="004A4FD7"/>
    <w:rsid w:val="013B5220"/>
    <w:rsid w:val="016F4F85"/>
    <w:rsid w:val="018574D6"/>
    <w:rsid w:val="01D803E5"/>
    <w:rsid w:val="01EB67FB"/>
    <w:rsid w:val="02070BB3"/>
    <w:rsid w:val="020B7B3D"/>
    <w:rsid w:val="025B133E"/>
    <w:rsid w:val="03202C26"/>
    <w:rsid w:val="03546191"/>
    <w:rsid w:val="03A539DF"/>
    <w:rsid w:val="041A146A"/>
    <w:rsid w:val="04974FB7"/>
    <w:rsid w:val="049D6261"/>
    <w:rsid w:val="05322502"/>
    <w:rsid w:val="05FE3EE3"/>
    <w:rsid w:val="061E3367"/>
    <w:rsid w:val="081E4FBF"/>
    <w:rsid w:val="08673F46"/>
    <w:rsid w:val="09840CC9"/>
    <w:rsid w:val="09C45BB3"/>
    <w:rsid w:val="09E86EB6"/>
    <w:rsid w:val="0A32450D"/>
    <w:rsid w:val="0A607363"/>
    <w:rsid w:val="0A722F80"/>
    <w:rsid w:val="0ABA2D7D"/>
    <w:rsid w:val="0B175BB4"/>
    <w:rsid w:val="0B68030A"/>
    <w:rsid w:val="0BD85CD2"/>
    <w:rsid w:val="0BF518FA"/>
    <w:rsid w:val="0C523489"/>
    <w:rsid w:val="0D757229"/>
    <w:rsid w:val="0DCC7DB2"/>
    <w:rsid w:val="0E1474D4"/>
    <w:rsid w:val="0E93622D"/>
    <w:rsid w:val="0EFE29F7"/>
    <w:rsid w:val="0F20161D"/>
    <w:rsid w:val="0FAD1102"/>
    <w:rsid w:val="10366A09"/>
    <w:rsid w:val="108840E4"/>
    <w:rsid w:val="11030A98"/>
    <w:rsid w:val="1280736E"/>
    <w:rsid w:val="13EE1CEA"/>
    <w:rsid w:val="13F02B5A"/>
    <w:rsid w:val="14950FCC"/>
    <w:rsid w:val="15892CDF"/>
    <w:rsid w:val="15FB575E"/>
    <w:rsid w:val="166D38B5"/>
    <w:rsid w:val="179D1B21"/>
    <w:rsid w:val="18B057C0"/>
    <w:rsid w:val="18B0612C"/>
    <w:rsid w:val="19542F10"/>
    <w:rsid w:val="1B4A6EF8"/>
    <w:rsid w:val="1CB07E30"/>
    <w:rsid w:val="1CDA2E0B"/>
    <w:rsid w:val="1CEA1185"/>
    <w:rsid w:val="1D565785"/>
    <w:rsid w:val="1D661AD4"/>
    <w:rsid w:val="1DA447E8"/>
    <w:rsid w:val="1E025CEA"/>
    <w:rsid w:val="1E26477C"/>
    <w:rsid w:val="1E4E3AB1"/>
    <w:rsid w:val="1E6950E0"/>
    <w:rsid w:val="1EA725D1"/>
    <w:rsid w:val="1F897C90"/>
    <w:rsid w:val="1F8F33A0"/>
    <w:rsid w:val="1FB3079F"/>
    <w:rsid w:val="1FED72F9"/>
    <w:rsid w:val="20A8015D"/>
    <w:rsid w:val="20D927D9"/>
    <w:rsid w:val="20EA0CC4"/>
    <w:rsid w:val="211F3B2A"/>
    <w:rsid w:val="21636B38"/>
    <w:rsid w:val="21DC6066"/>
    <w:rsid w:val="22485C38"/>
    <w:rsid w:val="22E5075C"/>
    <w:rsid w:val="22F1619D"/>
    <w:rsid w:val="233509D5"/>
    <w:rsid w:val="24440CAC"/>
    <w:rsid w:val="24F9249A"/>
    <w:rsid w:val="25AD26F1"/>
    <w:rsid w:val="264D73AA"/>
    <w:rsid w:val="26C01FA8"/>
    <w:rsid w:val="26D22DA5"/>
    <w:rsid w:val="272C0707"/>
    <w:rsid w:val="27D350F3"/>
    <w:rsid w:val="27E32660"/>
    <w:rsid w:val="281A1A02"/>
    <w:rsid w:val="284A5411"/>
    <w:rsid w:val="285A2FA5"/>
    <w:rsid w:val="285B60EF"/>
    <w:rsid w:val="290A4A78"/>
    <w:rsid w:val="292518B2"/>
    <w:rsid w:val="29971FA3"/>
    <w:rsid w:val="2B2067D5"/>
    <w:rsid w:val="2B481ADC"/>
    <w:rsid w:val="2BE945AE"/>
    <w:rsid w:val="2CEB03CC"/>
    <w:rsid w:val="2D0B44AB"/>
    <w:rsid w:val="2DCE1D05"/>
    <w:rsid w:val="2E876B6B"/>
    <w:rsid w:val="2F165F88"/>
    <w:rsid w:val="2F1B5448"/>
    <w:rsid w:val="304D7528"/>
    <w:rsid w:val="30501862"/>
    <w:rsid w:val="313D3AD9"/>
    <w:rsid w:val="316B2774"/>
    <w:rsid w:val="31924D0B"/>
    <w:rsid w:val="31B477A0"/>
    <w:rsid w:val="31DE6191"/>
    <w:rsid w:val="32217BBE"/>
    <w:rsid w:val="33242BDA"/>
    <w:rsid w:val="340F64C7"/>
    <w:rsid w:val="34B04C09"/>
    <w:rsid w:val="34E44B88"/>
    <w:rsid w:val="366A4DA8"/>
    <w:rsid w:val="37DB378F"/>
    <w:rsid w:val="39761CB6"/>
    <w:rsid w:val="39DD78E3"/>
    <w:rsid w:val="3A7F5756"/>
    <w:rsid w:val="3ACC6031"/>
    <w:rsid w:val="3AD9157E"/>
    <w:rsid w:val="3AE35129"/>
    <w:rsid w:val="3B027CD3"/>
    <w:rsid w:val="3C4C3205"/>
    <w:rsid w:val="3D070CC6"/>
    <w:rsid w:val="3D31661F"/>
    <w:rsid w:val="3DCD12AD"/>
    <w:rsid w:val="3DDF4275"/>
    <w:rsid w:val="3EB5502E"/>
    <w:rsid w:val="3EC93E65"/>
    <w:rsid w:val="3F970B8C"/>
    <w:rsid w:val="40055B41"/>
    <w:rsid w:val="40815BFD"/>
    <w:rsid w:val="4091067F"/>
    <w:rsid w:val="409E221E"/>
    <w:rsid w:val="410061AC"/>
    <w:rsid w:val="411532CC"/>
    <w:rsid w:val="41D0589D"/>
    <w:rsid w:val="41DD3052"/>
    <w:rsid w:val="41E46B58"/>
    <w:rsid w:val="43890A16"/>
    <w:rsid w:val="43B837CD"/>
    <w:rsid w:val="44406369"/>
    <w:rsid w:val="44EA22FA"/>
    <w:rsid w:val="457E2237"/>
    <w:rsid w:val="459B3235"/>
    <w:rsid w:val="45F3102E"/>
    <w:rsid w:val="45F93C8F"/>
    <w:rsid w:val="46EF1431"/>
    <w:rsid w:val="47D7710D"/>
    <w:rsid w:val="484F1F1A"/>
    <w:rsid w:val="487A0BA5"/>
    <w:rsid w:val="48BF5427"/>
    <w:rsid w:val="48EA3741"/>
    <w:rsid w:val="491A08B0"/>
    <w:rsid w:val="4A6F6839"/>
    <w:rsid w:val="4B63653E"/>
    <w:rsid w:val="4BB3426A"/>
    <w:rsid w:val="4D306140"/>
    <w:rsid w:val="4DAD1416"/>
    <w:rsid w:val="4DF860E9"/>
    <w:rsid w:val="4E2B441D"/>
    <w:rsid w:val="4E3C35DE"/>
    <w:rsid w:val="4E4B672F"/>
    <w:rsid w:val="4E54391E"/>
    <w:rsid w:val="4EAE362B"/>
    <w:rsid w:val="4EE71DBD"/>
    <w:rsid w:val="4F18319B"/>
    <w:rsid w:val="50812FC2"/>
    <w:rsid w:val="51874608"/>
    <w:rsid w:val="51B353FD"/>
    <w:rsid w:val="520E054F"/>
    <w:rsid w:val="52F502E8"/>
    <w:rsid w:val="53CF02D9"/>
    <w:rsid w:val="53E775E0"/>
    <w:rsid w:val="53E95444"/>
    <w:rsid w:val="53F65BA6"/>
    <w:rsid w:val="540A07CE"/>
    <w:rsid w:val="541315AC"/>
    <w:rsid w:val="553850D1"/>
    <w:rsid w:val="55A10544"/>
    <w:rsid w:val="560426CB"/>
    <w:rsid w:val="56A91E92"/>
    <w:rsid w:val="56C811AC"/>
    <w:rsid w:val="57662638"/>
    <w:rsid w:val="57BF618A"/>
    <w:rsid w:val="57F3782A"/>
    <w:rsid w:val="580F7106"/>
    <w:rsid w:val="58313814"/>
    <w:rsid w:val="58625BCC"/>
    <w:rsid w:val="589D04CA"/>
    <w:rsid w:val="59B06CFA"/>
    <w:rsid w:val="5A1A7ACF"/>
    <w:rsid w:val="5A4E2167"/>
    <w:rsid w:val="5A4F4B31"/>
    <w:rsid w:val="5B4F43E9"/>
    <w:rsid w:val="5B6A5F85"/>
    <w:rsid w:val="5B865931"/>
    <w:rsid w:val="5C163158"/>
    <w:rsid w:val="5C317F92"/>
    <w:rsid w:val="5C684040"/>
    <w:rsid w:val="5CFC588A"/>
    <w:rsid w:val="5D201AFA"/>
    <w:rsid w:val="5EE412EC"/>
    <w:rsid w:val="5F1117B9"/>
    <w:rsid w:val="5F3871F4"/>
    <w:rsid w:val="60592C21"/>
    <w:rsid w:val="609A6CF8"/>
    <w:rsid w:val="60B034DE"/>
    <w:rsid w:val="60F81801"/>
    <w:rsid w:val="61741052"/>
    <w:rsid w:val="617E2278"/>
    <w:rsid w:val="61843DAF"/>
    <w:rsid w:val="619A0388"/>
    <w:rsid w:val="61B72146"/>
    <w:rsid w:val="61D40F11"/>
    <w:rsid w:val="61ED5ECF"/>
    <w:rsid w:val="62032BAD"/>
    <w:rsid w:val="622D6B06"/>
    <w:rsid w:val="624014F4"/>
    <w:rsid w:val="62EF24CC"/>
    <w:rsid w:val="63262E82"/>
    <w:rsid w:val="63392630"/>
    <w:rsid w:val="63856790"/>
    <w:rsid w:val="639B74B6"/>
    <w:rsid w:val="63D841CD"/>
    <w:rsid w:val="64810E51"/>
    <w:rsid w:val="64CB026C"/>
    <w:rsid w:val="64E42046"/>
    <w:rsid w:val="64EB18CF"/>
    <w:rsid w:val="6508537F"/>
    <w:rsid w:val="65841133"/>
    <w:rsid w:val="662129E9"/>
    <w:rsid w:val="66970491"/>
    <w:rsid w:val="671B63AE"/>
    <w:rsid w:val="682B1D3A"/>
    <w:rsid w:val="685967FF"/>
    <w:rsid w:val="68C33D20"/>
    <w:rsid w:val="695204D3"/>
    <w:rsid w:val="69A26A9C"/>
    <w:rsid w:val="6A396DCD"/>
    <w:rsid w:val="6B3438D9"/>
    <w:rsid w:val="6C692D89"/>
    <w:rsid w:val="6C783974"/>
    <w:rsid w:val="6CA14893"/>
    <w:rsid w:val="6D200C7E"/>
    <w:rsid w:val="6D6B4ADF"/>
    <w:rsid w:val="6DA878BE"/>
    <w:rsid w:val="6E0010C6"/>
    <w:rsid w:val="6E466DF3"/>
    <w:rsid w:val="6E7D2524"/>
    <w:rsid w:val="6F0A3254"/>
    <w:rsid w:val="6F2F0DAC"/>
    <w:rsid w:val="6FAF7E3D"/>
    <w:rsid w:val="6FBB371E"/>
    <w:rsid w:val="6FE530FA"/>
    <w:rsid w:val="705D253C"/>
    <w:rsid w:val="705E24FF"/>
    <w:rsid w:val="71A42DB1"/>
    <w:rsid w:val="71F4319C"/>
    <w:rsid w:val="720C002E"/>
    <w:rsid w:val="7232306B"/>
    <w:rsid w:val="728A6A25"/>
    <w:rsid w:val="72B26E91"/>
    <w:rsid w:val="7496178A"/>
    <w:rsid w:val="75542870"/>
    <w:rsid w:val="75CA0DE4"/>
    <w:rsid w:val="7604487C"/>
    <w:rsid w:val="76374C38"/>
    <w:rsid w:val="770E2146"/>
    <w:rsid w:val="774B7D02"/>
    <w:rsid w:val="777E4D0A"/>
    <w:rsid w:val="779E4224"/>
    <w:rsid w:val="77CC0CC2"/>
    <w:rsid w:val="77F51AC6"/>
    <w:rsid w:val="77F8480C"/>
    <w:rsid w:val="79305044"/>
    <w:rsid w:val="79A05F27"/>
    <w:rsid w:val="7A463394"/>
    <w:rsid w:val="7B793BFD"/>
    <w:rsid w:val="7BC478E0"/>
    <w:rsid w:val="7BE41DB3"/>
    <w:rsid w:val="7BEC2DE7"/>
    <w:rsid w:val="7C3550AE"/>
    <w:rsid w:val="7D416A5D"/>
    <w:rsid w:val="7DA737B9"/>
    <w:rsid w:val="7DFF0962"/>
    <w:rsid w:val="7E22670C"/>
    <w:rsid w:val="7E7C4C45"/>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宋体"/>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eastAsia="宋体" w:cs="Times New Roman"/>
      <w:b/>
      <w:bCs/>
      <w:kern w:val="44"/>
      <w:sz w:val="44"/>
      <w:szCs w:val="44"/>
      <w:lang w:val="zh-CN"/>
    </w:rPr>
  </w:style>
  <w:style w:type="character" w:default="1" w:styleId="11">
    <w:name w:val="Default Paragraph Font"/>
    <w:autoRedefine/>
    <w:qFormat/>
    <w:uiPriority w:val="1"/>
  </w:style>
  <w:style w:type="table" w:default="1" w:styleId="9">
    <w:name w:val="Normal Table"/>
    <w:autoRedefine/>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1"/>
    <w:rPr>
      <w:rFonts w:ascii="宋体" w:hAnsi="宋体" w:eastAsia="宋体" w:cs="宋体"/>
      <w:szCs w:val="21"/>
      <w:lang w:val="zh-CN" w:bidi="zh-CN"/>
    </w:rPr>
  </w:style>
  <w:style w:type="paragraph" w:styleId="5">
    <w:name w:val="Plain Text"/>
    <w:basedOn w:val="1"/>
    <w:qFormat/>
    <w:uiPriority w:val="0"/>
    <w:rPr>
      <w:rFonts w:ascii="宋体" w:hAnsi="Courier New" w:cs="Courier New"/>
      <w:sz w:val="21"/>
      <w:szCs w:val="2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widowControl/>
      <w:spacing w:before="100" w:beforeAutospacing="1" w:after="100" w:afterAutospacing="1"/>
      <w:jc w:val="left"/>
    </w:pPr>
    <w:rPr>
      <w:rFonts w:ascii="Arial Unicode MS" w:hAnsi="Arial Unicode MS"/>
      <w:kern w:val="0"/>
      <w:sz w:val="24"/>
      <w:szCs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Hyperlink"/>
    <w:basedOn w:val="11"/>
    <w:qFormat/>
    <w:uiPriority w:val="0"/>
    <w:rPr>
      <w:color w:val="0000FF"/>
      <w:u w:val="single"/>
    </w:rPr>
  </w:style>
  <w:style w:type="paragraph" w:customStyle="1" w:styleId="13">
    <w:name w:val="Table Paragraph"/>
    <w:basedOn w:val="1"/>
    <w:qFormat/>
    <w:uiPriority w:val="1"/>
    <w:rPr>
      <w:rFonts w:ascii="宋体" w:hAnsi="宋体" w:eastAsia="宋体" w:cs="宋体"/>
      <w:lang w:val="zh-CN" w:bidi="zh-CN"/>
    </w:rPr>
  </w:style>
  <w:style w:type="paragraph" w:customStyle="1" w:styleId="14">
    <w:name w:val="List Paragraph_6e085c68-61e8-420d-94b6-b12988ef8be4"/>
    <w:basedOn w:val="1"/>
    <w:autoRedefine/>
    <w:qFormat/>
    <w:uiPriority w:val="1"/>
    <w:pPr>
      <w:spacing w:before="81"/>
      <w:ind w:left="992" w:hanging="212"/>
    </w:pPr>
    <w:rPr>
      <w:rFonts w:ascii="宋体" w:hAnsi="宋体" w:eastAsia="宋体" w:cs="宋体"/>
      <w:lang w:val="zh-CN" w:bidi="zh-CN"/>
    </w:rPr>
  </w:style>
  <w:style w:type="character" w:customStyle="1" w:styleId="15">
    <w:name w:val="font31"/>
    <w:basedOn w:val="11"/>
    <w:qFormat/>
    <w:uiPriority w:val="0"/>
    <w:rPr>
      <w:rFonts w:hint="eastAsia" w:ascii="宋体" w:hAnsi="宋体" w:eastAsia="宋体" w:cs="宋体"/>
      <w:color w:val="000000"/>
      <w:sz w:val="22"/>
      <w:szCs w:val="22"/>
      <w:u w:val="none"/>
    </w:rPr>
  </w:style>
  <w:style w:type="character" w:customStyle="1" w:styleId="16">
    <w:name w:val="font11"/>
    <w:basedOn w:val="11"/>
    <w:qFormat/>
    <w:uiPriority w:val="0"/>
    <w:rPr>
      <w:rFonts w:hint="eastAsia" w:ascii="宋体" w:hAnsi="宋体" w:eastAsia="宋体" w:cs="宋体"/>
      <w:color w:val="231F20"/>
      <w:sz w:val="16"/>
      <w:szCs w:val="16"/>
      <w:u w:val="none"/>
    </w:rPr>
  </w:style>
  <w:style w:type="character" w:customStyle="1" w:styleId="17">
    <w:name w:val="qb-content"/>
    <w:autoRedefine/>
    <w:qFormat/>
    <w:uiPriority w:val="0"/>
  </w:style>
  <w:style w:type="character" w:customStyle="1" w:styleId="18">
    <w:name w:val="10"/>
    <w:basedOn w:val="11"/>
    <w:qFormat/>
    <w:uiPriority w:val="0"/>
    <w:rPr>
      <w:rFonts w:hint="default" w:ascii="Times New Roman" w:hAnsi="Times New Roman" w:cs="Times New Roman"/>
    </w:rPr>
  </w:style>
  <w:style w:type="character" w:customStyle="1" w:styleId="19">
    <w:name w:val="15"/>
    <w:basedOn w:val="11"/>
    <w:autoRedefine/>
    <w:qFormat/>
    <w:uiPriority w:val="0"/>
    <w:rPr>
      <w:rFonts w:hint="default" w:ascii="Times New Roman" w:hAnsi="Times New Roman" w:cs="Times New Roman"/>
    </w:rPr>
  </w:style>
  <w:style w:type="character" w:customStyle="1" w:styleId="20">
    <w:name w:val="font41"/>
    <w:basedOn w:val="11"/>
    <w:qFormat/>
    <w:uiPriority w:val="0"/>
    <w:rPr>
      <w:rFonts w:hint="eastAsia" w:ascii="宋体" w:hAnsi="宋体" w:eastAsia="宋体" w:cs="宋体"/>
      <w:b/>
      <w:bCs/>
      <w:color w:val="000000"/>
      <w:sz w:val="22"/>
      <w:szCs w:val="22"/>
      <w:u w:val="none"/>
    </w:rPr>
  </w:style>
  <w:style w:type="character" w:customStyle="1" w:styleId="21">
    <w:name w:val="font61"/>
    <w:basedOn w:val="11"/>
    <w:qFormat/>
    <w:uiPriority w:val="0"/>
    <w:rPr>
      <w:rFonts w:hint="eastAsia" w:ascii="宋体" w:hAnsi="宋体" w:eastAsia="宋体" w:cs="宋体"/>
      <w:b/>
      <w:bCs/>
      <w:color w:val="000000"/>
      <w:sz w:val="28"/>
      <w:szCs w:val="28"/>
      <w:u w:val="none"/>
    </w:rPr>
  </w:style>
  <w:style w:type="character" w:customStyle="1" w:styleId="22">
    <w:name w:val="font81"/>
    <w:basedOn w:val="11"/>
    <w:autoRedefine/>
    <w:qFormat/>
    <w:uiPriority w:val="0"/>
    <w:rPr>
      <w:rFonts w:ascii="Cambria" w:hAnsi="Cambria" w:eastAsia="Cambria" w:cs="Cambria"/>
      <w:b/>
      <w:bCs/>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szsy</Company>
  <Pages>21</Pages>
  <Words>206</Words>
  <Characters>359</Characters>
  <Paragraphs>667</Paragraphs>
  <TotalTime>42</TotalTime>
  <ScaleCrop>false</ScaleCrop>
  <LinksUpToDate>false</LinksUpToDate>
  <CharactersWithSpaces>380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2019-09-30T10:59:00Z</dcterms:created>
  <dc:creator>yj</dc:creator>
  <cp:lastModifiedBy>付亮</cp:lastModifiedBy>
  <cp:lastPrinted>2019-01-26T10:34:00Z</cp:lastPrinted>
  <dcterms:modified xsi:type="dcterms:W3CDTF">2026-03-31T00:52:40Z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8D776529AEE5443EBA2F89284F78421D_13</vt:lpwstr>
  </property>
  <property fmtid="{D5CDD505-2E9C-101B-9397-08002B2CF9AE}" pid="4" name="commondata">
    <vt:lpwstr>eyJoZGlkIjoiZTZhZjNkZDJlNGNjYTE3NWQwMTVkOGZkY2NmNjU4OWEifQ==</vt:lpwstr>
  </property>
  <property fmtid="{D5CDD505-2E9C-101B-9397-08002B2CF9AE}" pid="5" name="KSOTemplateDocerSaveRecord">
    <vt:lpwstr>eyJoZGlkIjoiZTY1YTEzNzUzNjc3OTdhYTczZDYyMDcwZjdjMDcyY2UiLCJ1c2VySWQiOiIyMDkyMjY1MzMifQ==</vt:lpwstr>
  </property>
</Properties>
</file>