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Interim multicenter outcomes of all-oral shortened regimens in SEAL-MDR for rifampicin-resistant or multidrug-resistant tuberculosis</w:t>
      </w:r>
    </w:p>
    <w:p>
      <w:r>
        <w:rPr>
          <w:i/>
        </w:rPr>
        <w:t>Title word count: 14</w:t>
        <w:br/>
        <w:t>Summary word count: 43</w:t>
        <w:br/>
        <w:t>Abstract body word count: 241</w:t>
      </w:r>
    </w:p>
    <w:p>
      <w:r>
        <w:rPr>
          <w:b/>
        </w:rPr>
        <w:t>Summary</w:t>
      </w:r>
    </w:p>
    <w:p>
      <w:r>
        <w:t>SEAL-MDR is a multicenter clinical study evaluating all-oral shortened regimens for rifampicin-resistant and multidrug-resistant tuberculosis in China. This interim submission summarises current multicenter treatment outcomes using the existing curated dataset, focusing on early microbiological response and post-treatment follow-up across protocol-defined and real-world cohorts.</w:t>
      </w:r>
    </w:p>
    <w:p>
      <w:r>
        <w:rPr>
          <w:b/>
        </w:rPr>
        <w:t>Abstract</w:t>
      </w:r>
    </w:p>
    <w:p>
      <w:r>
        <w:rPr>
          <w:b/>
        </w:rPr>
        <w:t xml:space="preserve">Background: </w:t>
      </w:r>
      <w:r>
        <w:t>All-oral shortened regimens are needed for rifampicin-resistant and multidrug-resistant tuberculosis, but multicenter data from China remain limited. We analysed the current SEAL-MDR dataset to describe interim outcomes across participating sites.</w:t>
      </w:r>
    </w:p>
    <w:p>
      <w:r>
        <w:rPr>
          <w:b/>
        </w:rPr>
        <w:t xml:space="preserve">Methods: </w:t>
      </w:r>
      <w:r>
        <w:t>SEAL-MDR is an ongoing multicenter clinical study. Using the existing curated Excel dataset only, we removed exact duplicate rows and conservatively normalised treatment arms into protocol-defined arms A-D and real-world arm E. Month-2 and end-of-treatment culture negativity were calculated among evaluable records with explicit positive or negative results. Post-treatment unfavorable outcomes were estimated among records with mature follow-up and assessable status.</w:t>
      </w:r>
    </w:p>
    <w:p>
      <w:r>
        <w:rPr>
          <w:b/>
        </w:rPr>
        <w:t xml:space="preserve">Results: </w:t>
      </w:r>
      <w:r>
        <w:t>After exact de-duplication, 733 analyzable records from 25 centers were available: 601 in arms A-D and 132 in arm E. In pooled A-D, median age was 41 years (IQR 31-54) and 27.5% were female. Month-2 culture negativity was 470/529, 88.8% (95%CI 85.8-91.2), and end-of-treatment culture negativity was 452/472, 95.8% (95%CI 93.6-97.2). Among assessable A-D records with mature follow-up, unfavorable outcomes were 37/402, 9.2% (95%CI 6.7-12.4) at 6 months and 65/365, 17.8% (95%CI 14.2-22.1) at 12 months. Twelve-month ascertainment among eligible A-D records was 78.8% (365/463). In arm E, the 12-month unfavorable outcome rate was 23/74, 31.1% (95%CI 21.7-42.3).</w:t>
      </w:r>
    </w:p>
    <w:p>
      <w:r>
        <w:rPr>
          <w:b/>
        </w:rPr>
        <w:t xml:space="preserve">Conclusions: </w:t>
      </w:r>
      <w:r>
        <w:t>Interim multicenter SEAL-MDR data show strong early microbiological response and high end-of-treatment culture negativity, with encouraging post-treatment outcomes in protocol-defined all-oral shortened regimens. Higher unfavorable outcomes in arm E are consistent with a higher-risk rescue cohort. Ongoing follow-up completion and tighter data standardisation will strengthen final comparative analyses.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