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Interim multicenter outcomes of all-oral shortened regimens in the SEAL-MDR study for RR/MDR-TB in China</w:t>
      </w:r>
    </w:p>
    <w:p>
      <w:r>
        <w:rPr>
          <w:i/>
        </w:rPr>
        <w:t>Title word count: 16</w:t>
        <w:br/>
        <w:t>Summary word count: 36</w:t>
        <w:br/>
        <w:t>Abstract body word count: 235</w:t>
      </w:r>
    </w:p>
    <w:p>
      <w:r>
        <w:rPr>
          <w:b/>
        </w:rPr>
        <w:t>Summary</w:t>
      </w:r>
    </w:p>
    <w:p>
      <w:r>
        <w:t>SEAL-MDR is a multicenter Chinese study of all-oral shortened regimens for RR/MDR-TB. This interim analysis shows high early culture negativity and favorable end-of-treatment outcomes in protocol-defined cohorts, while real-world rescue cases had less favorable post-treatment outcomes.</w:t>
      </w:r>
    </w:p>
    <w:p>
      <w:r>
        <w:rPr>
          <w:b/>
        </w:rPr>
        <w:t>Abstract</w:t>
      </w:r>
    </w:p>
    <w:p>
      <w:r>
        <w:rPr>
          <w:b/>
        </w:rPr>
        <w:t xml:space="preserve">Background: </w:t>
      </w:r>
      <w:r>
        <w:t>Evidence for all-oral shortened regimens in rifampicin-resistant and multidrug-resistant tuberculosis (RR/MDR-TB) remains limited, particularly from multicenter Chinese cohorts. We report interim outcomes from the ongoing SEAL-MDR study using the currently curated multicenter dataset.</w:t>
      </w:r>
    </w:p>
    <w:p>
      <w:r>
        <w:rPr>
          <w:b/>
        </w:rPr>
        <w:t xml:space="preserve">Methods: </w:t>
      </w:r>
      <w:r>
        <w:t>SEAL-MDR is an ongoing multicenter clinical study. Using the existing Excel dataset only, we removed exact duplicate rows and conservatively harmonized treatment records into protocol-defined arms A-D and real-world arm E. Month-2 and end-of-treatment (EOT) culture negativity were calculated among evaluable records with explicit positive or negative results. Post-treatment unfavorable outcomes were estimated among records with mature follow-up and assessable outcome status.</w:t>
      </w:r>
    </w:p>
    <w:p>
      <w:r>
        <w:rPr>
          <w:b/>
        </w:rPr>
        <w:t xml:space="preserve">Results: </w:t>
      </w:r>
      <w:r>
        <w:t>After exact de-duplication, 733 analyzable records from 25 centers were available, including 601 in arms A-D and 132 in arm E. In pooled A-D, median age was 41 years (IQR 31-54) and 27.5% were female. Month-2 culture negativity was 470/529, 88.8% (95%CI 85.8-91.2), and EOT culture negativity was 452/472, 95.8% (95%CI 93.6-97.2). Among assessable A-D records with mature follow-up, unfavorable outcomes were 37/402, 9.2% (95%CI 6.7-12.4) at 6 months and 65/365, 17.8% (95%CI 14.2-22.1) at 12 months. Twelve-month ascertainment among eligible A-D records was 78.8% (365/463). Arm E had a higher 12-month unfavorable outcome rate at 23/74, 31.1% (95%CI 21.7-42.3).</w:t>
      </w:r>
    </w:p>
    <w:p>
      <w:r>
        <w:rPr>
          <w:b/>
        </w:rPr>
        <w:t xml:space="preserve">Conclusions: </w:t>
      </w:r>
      <w:r>
        <w:t>In this interim multicenter analysis, protocol-defined all-oral shortened regimens in SEAL-MDR showed strong early microbiological response, high EOT culture negativity, and encouraging post-treatment outcomes. Less favorable outcomes in arm E are consistent with a higher-risk rescue cohort. Continued follow-up completion and tighter data standardization will strengthen final comparative analyses.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