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EFD34">
      <w:pPr>
        <w:jc w:val="center"/>
      </w:pPr>
      <w:r>
        <w:rPr>
          <w:rFonts w:ascii="Times New Roman" w:hAnsi="Times New Roman"/>
          <w:b/>
          <w:sz w:val="26"/>
        </w:rPr>
        <w:t>Interim multicenter outcomes of four all-oral shortened regimens in the SEAL-MDR study for MDR-TB in China</w:t>
      </w:r>
    </w:p>
    <w:p w14:paraId="336C4A36">
      <w:r>
        <w:rPr>
          <w:i/>
        </w:rPr>
        <w:t>Title word count: 16</w:t>
      </w:r>
      <w:r>
        <w:rPr>
          <w:i/>
        </w:rPr>
        <w:br w:type="textWrapping"/>
      </w:r>
      <w:r>
        <w:rPr>
          <w:i/>
        </w:rPr>
        <w:t>Summary word count: 31</w:t>
      </w:r>
      <w:r>
        <w:rPr>
          <w:i/>
        </w:rPr>
        <w:br w:type="textWrapping"/>
      </w:r>
      <w:r>
        <w:rPr>
          <w:i/>
        </w:rPr>
        <w:t>Abstract body word count: 249</w:t>
      </w:r>
    </w:p>
    <w:p w14:paraId="61959289">
      <w:r>
        <w:rPr>
          <w:b/>
        </w:rPr>
        <w:t>Summary</w:t>
      </w:r>
    </w:p>
    <w:p w14:paraId="0FECC3C1">
      <w:r>
        <w:t>Building on MDR-Chin, SEAL-MDR further explores whether all-oral MDR-TB regimens can be delivered with shorter duration. This interim multicenter analysis describes arm-specific outcomes for four protocol-defined 6-9 month regimens in China.</w:t>
      </w:r>
    </w:p>
    <w:p w14:paraId="4C5DD471">
      <w:r>
        <w:rPr>
          <w:b/>
        </w:rPr>
        <w:t>Abstract</w:t>
      </w:r>
    </w:p>
    <w:p w14:paraId="513EA4F6">
      <w:r>
        <w:rPr>
          <w:b/>
        </w:rPr>
        <w:t xml:space="preserve">Background: </w:t>
      </w:r>
      <w:r>
        <w:t>SEAL-MDR was designed to build on the MDR-Chin study and further explore whether effective all-oral MDR-TB regimens could be delivered with even shorter treatment duration. We report interim multicenter outcomes from the ongoing SEAL-MDR study in China.</w:t>
      </w:r>
    </w:p>
    <w:p w14:paraId="05C83630">
      <w:r>
        <w:rPr>
          <w:b/>
        </w:rPr>
        <w:t xml:space="preserve">Methods: </w:t>
      </w:r>
      <w:r>
        <w:t>Using the existing curated Excel dataset only, we removed exact duplicate rows and analyzed protocol-defined arms A-D. Regimens were A, Bdq/Lzd/Mfx/Cs; B, Lzd/Mfx/Cs/Cfz/Z; C, Bdq/Lzd/Cs/Cfz/Z; and D, Lzd/Cs/Cfz/Z plus sulfasalazine, each delivered for 6-9 months according to protocol response. Month-2 and end-of-treatment (EOT) culture negativity were calculated among evaluable records with explicit positive or negative results. Post-treatment unfavorable outcomes were estimated among records with mature follow-up and assessable status.</w:t>
      </w:r>
    </w:p>
    <w:p w14:paraId="328D3248">
      <w:r>
        <w:rPr>
          <w:b/>
        </w:rPr>
        <w:t xml:space="preserve">Results: </w:t>
      </w:r>
      <w:r>
        <w:t>After exact de-duplication, 601 analyzable records from 25 centers were available across arms A-D. Month-2 culture negativity was 294/317, 92.7% in arm A; 82/96, 85.4% in arm B; 62/74, 83.8% in arm C; and 32/42, 76.2% in arm D. EOT culture negativity was 293/302, 97.0% in arm A; 68/72, 94.4% in arm B; 66/69, 95.7% in arm C; and 25/29, 86.2% in arm D. Twelve-month unfavorable outcomes among assessable records were 47/251, 18.7% in arm A; 9/50, 18.0% in arm B; 5/58, 8.6% in arm C; and 4/6, 66.7% in arm D.</w:t>
      </w:r>
    </w:p>
    <w:p w14:paraId="792EBF18">
      <w:r>
        <w:rPr>
          <w:b/>
        </w:rPr>
        <w:t xml:space="preserve">Conclusions: </w:t>
      </w:r>
      <w:r>
        <w:t>In this interim multicenter analysis, arms A-C showed high early culture negativity and high EOT culture negativity, with the lowest 12-month unfavorable outcome rate in arm C. Arm D had the least mature follow-up and should be interpreted cautiously. Continued follow-up completion will strengthen final comparative analyses.</w:t>
      </w:r>
    </w:p>
    <w:p w14:paraId="4A25A784"/>
    <w:p w14:paraId="6DCF570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1320" cy="2795905"/>
            <wp:effectExtent l="0" t="0" r="5080" b="8255"/>
            <wp:docPr id="1" name="图片 1" descr="SEAL-MDR_union_figure_20260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EAL-MDR_union_figure_202603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09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311</Words>
  <Characters>1806</Characters>
  <Lines>0</Lines>
  <Paragraphs>0</Paragraphs>
  <TotalTime>0</TotalTime>
  <ScaleCrop>false</ScaleCrop>
  <LinksUpToDate>false</LinksUpToDate>
  <CharactersWithSpaces>2106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2026-03-31T04:21:40Z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eyJoZGlkIjoiZGQxYWVjOGUyMzZjNWRhOTA0ZjJhNWQ1ODFkOGE1ZDkiLCJ1c2VySWQiOiIyMDkyMjY1MzMifQ==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88965CD9CEB04298B8629BDA7FE35471_12</vt:lpwstr>
  </property>
</Properties>
</file>