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6738E">
      <w:pPr>
        <w:pStyle w:val="31"/>
        <w:widowControl/>
      </w:pPr>
      <w:r>
        <w:t>TDSC 执行工具 ：常见不良事件（AE）DAIDS 分级与处置速查卡</w:t>
      </w:r>
    </w:p>
    <w:p w14:paraId="0690B9A7">
      <w:pPr>
        <w:pStyle w:val="19"/>
        <w:widowControl/>
      </w:pPr>
      <w:r>
        <w:t>（配套 SOP011</w:t>
      </w:r>
      <w:r>
        <w:t xml:space="preserve"> 附录B；以研究方案红线为最高优先级）</w:t>
      </w:r>
    </w:p>
    <w:p w14:paraId="1380A1B4">
      <w:pPr>
        <w:pStyle w:val="16"/>
        <w:bidi w:val="0"/>
        <w:ind w:left="360" w:leftChars="0" w:hanging="360" w:firstLineChars="0"/>
      </w:pPr>
      <w:r>
        <w:t>用途：床旁/门诊快速定位DAIDS阈值与处置升级提示；不替代DAIDS原表与研究方案。</w:t>
      </w:r>
    </w:p>
    <w:p w14:paraId="56962335">
      <w:pPr>
        <w:pStyle w:val="16"/>
        <w:bidi w:val="0"/>
        <w:ind w:left="360" w:leftChars="0" w:hanging="360" w:firstLineChars="0"/>
      </w:pPr>
      <w:r>
        <w:t>触发：出现方案红线或任何SAE/IRE/AESI时，按SOP06/SOP10立即升级并执行上报时限。</w:t>
      </w:r>
    </w:p>
    <w:p w14:paraId="683E94AE">
      <w:pPr>
        <w:pStyle w:val="16"/>
        <w:bidi w:val="0"/>
        <w:ind w:left="360" w:leftChars="0" w:hanging="360" w:firstLineChars="0"/>
      </w:pPr>
      <w:r>
        <w:t>备注：本速查卡与SOP06附录B保持一致；更新遵循SOP00版本控制。</w:t>
      </w:r>
    </w:p>
    <w:tbl>
      <w:tblPr>
        <w:tblStyle w:val="3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4"/>
        <w:gridCol w:w="2303"/>
        <w:gridCol w:w="2184"/>
      </w:tblGrid>
      <w:tr w14:paraId="45B6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1D03D028">
            <w:pPr>
              <w:spacing w:after="0" w:line="240" w:lineRule="auto"/>
            </w:pPr>
            <w:r>
              <w:t>常见/重点AE（TDSC相关）</w:t>
            </w:r>
          </w:p>
        </w:tc>
        <w:tc>
          <w:tcPr>
            <w:tcW w:w="1233" w:type="pct"/>
          </w:tcPr>
          <w:p w14:paraId="0E3587FE">
            <w:pPr>
              <w:spacing w:after="0" w:line="240" w:lineRule="auto"/>
            </w:pPr>
            <w:r>
              <w:t>DAIDS条目（快速定位）</w:t>
            </w:r>
          </w:p>
        </w:tc>
        <w:tc>
          <w:tcPr>
            <w:tcW w:w="1300" w:type="pct"/>
          </w:tcPr>
          <w:p w14:paraId="7EB45539">
            <w:pPr>
              <w:spacing w:after="0" w:line="240" w:lineRule="auto"/>
            </w:pPr>
            <w:r>
              <w:t>DAIDS分级要点（关键阈值/定义）</w:t>
            </w:r>
          </w:p>
        </w:tc>
        <w:tc>
          <w:tcPr>
            <w:tcW w:w="1233" w:type="pct"/>
          </w:tcPr>
          <w:p w14:paraId="5A7436F1">
            <w:pPr>
              <w:spacing w:after="0" w:line="240" w:lineRule="auto"/>
            </w:pPr>
            <w:r>
              <w:t>处置建议（与TDSC红线对齐）</w:t>
            </w:r>
          </w:p>
        </w:tc>
      </w:tr>
      <w:tr w14:paraId="301C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5C61DAE4">
            <w:pPr>
              <w:spacing w:after="0" w:line="240" w:lineRule="auto"/>
            </w:pPr>
            <w:r>
              <w:t>ALT或SGPT升高（肝细胞损</w:t>
            </w:r>
            <w:bookmarkStart w:id="0" w:name="_GoBack"/>
            <w:bookmarkEnd w:id="0"/>
            <w:r>
              <w:t>伤）</w:t>
            </w:r>
          </w:p>
        </w:tc>
        <w:tc>
          <w:tcPr>
            <w:tcW w:w="1233" w:type="pct"/>
          </w:tcPr>
          <w:p w14:paraId="068FAFDC">
            <w:pPr>
              <w:spacing w:after="0" w:line="240" w:lineRule="auto"/>
            </w:pPr>
            <w:r>
              <w:t>ALT or SGPT, High</w:t>
            </w:r>
          </w:p>
        </w:tc>
        <w:tc>
          <w:tcPr>
            <w:tcW w:w="1300" w:type="pct"/>
          </w:tcPr>
          <w:p w14:paraId="207C85A7">
            <w:pPr>
              <w:spacing w:after="0" w:line="240" w:lineRule="auto"/>
            </w:pPr>
            <w:r>
              <w:t>G1：1.25–&lt;2.5×ULN；G2：2.5–&lt;5.0×ULN；G3：5.0–&lt;10.0×ULN；G4：≥10.0×ULN。</w:t>
            </w:r>
          </w:p>
        </w:tc>
        <w:tc>
          <w:tcPr>
            <w:tcW w:w="1233" w:type="pct"/>
          </w:tcPr>
          <w:p w14:paraId="2188A09B">
            <w:pPr>
              <w:spacing w:after="0" w:line="240" w:lineRule="auto"/>
            </w:pPr>
            <w:r>
              <w:t>G1：教育+复查；G2：48–72h复查，评估合并用药/酒精/病毒性肝炎等；</w:t>
            </w:r>
            <w:r>
              <w:br w:type="textWrapping"/>
            </w:r>
            <w:r>
              <w:t>G3或伴症状/胆红素升高：暂停可疑肝毒药物，完善DILI评估（肝功全套、INR等），按TDSC流程处理/报告；</w:t>
            </w:r>
            <w:r>
              <w:br w:type="textWrapping"/>
            </w:r>
            <w:r>
              <w:t>G4：紧急处理，通常需住院与SAE评估。</w:t>
            </w:r>
          </w:p>
        </w:tc>
      </w:tr>
      <w:tr w14:paraId="321CB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29390120">
            <w:pPr>
              <w:spacing w:after="0" w:line="240" w:lineRule="auto"/>
            </w:pPr>
            <w:r>
              <w:t>AST或SGOT升高（肝细胞损伤）</w:t>
            </w:r>
          </w:p>
        </w:tc>
        <w:tc>
          <w:tcPr>
            <w:tcW w:w="1233" w:type="pct"/>
          </w:tcPr>
          <w:p w14:paraId="325525E9">
            <w:pPr>
              <w:spacing w:after="0" w:line="240" w:lineRule="auto"/>
            </w:pPr>
            <w:r>
              <w:t>AST or SGOT, High</w:t>
            </w:r>
          </w:p>
        </w:tc>
        <w:tc>
          <w:tcPr>
            <w:tcW w:w="1300" w:type="pct"/>
          </w:tcPr>
          <w:p w14:paraId="3461D2E6">
            <w:pPr>
              <w:spacing w:after="0" w:line="240" w:lineRule="auto"/>
            </w:pPr>
            <w:r>
              <w:t>G1：1.25–&lt;2.5×ULN；G2：2.5–&lt;5.0×ULN；G3：5.0–&lt;10.0×ULN；G4：≥10.0×ULN。</w:t>
            </w:r>
          </w:p>
        </w:tc>
        <w:tc>
          <w:tcPr>
            <w:tcW w:w="1233" w:type="pct"/>
          </w:tcPr>
          <w:p w14:paraId="0118F04A">
            <w:pPr>
              <w:spacing w:after="0" w:line="240" w:lineRule="auto"/>
            </w:pPr>
            <w:r>
              <w:t>处置同ALT；注意肌损伤/溶血等鉴别（必要时同时看CK、LDH）。</w:t>
            </w:r>
          </w:p>
        </w:tc>
      </w:tr>
      <w:tr w14:paraId="434F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23906D97">
            <w:pPr>
              <w:spacing w:after="0" w:line="240" w:lineRule="auto"/>
            </w:pPr>
            <w:r>
              <w:t>总胆红素升高（黄疸/胆汁淤积/肝衰风险）</w:t>
            </w:r>
          </w:p>
        </w:tc>
        <w:tc>
          <w:tcPr>
            <w:tcW w:w="1233" w:type="pct"/>
          </w:tcPr>
          <w:p w14:paraId="1CA12205">
            <w:pPr>
              <w:spacing w:after="0" w:line="240" w:lineRule="auto"/>
            </w:pPr>
            <w:r>
              <w:t>Total Bilirubin, High（&gt;28天）</w:t>
            </w:r>
          </w:p>
        </w:tc>
        <w:tc>
          <w:tcPr>
            <w:tcW w:w="1300" w:type="pct"/>
          </w:tcPr>
          <w:p w14:paraId="1156519D">
            <w:pPr>
              <w:spacing w:after="0" w:line="240" w:lineRule="auto"/>
            </w:pPr>
            <w:r>
              <w:t>G1：1.1–&lt;1.6×ULN；G2：1.6–&lt;2.6×ULN；G3：2.6–&lt;5.0×ULN；G4：≥5.0×ULN。</w:t>
            </w:r>
          </w:p>
        </w:tc>
        <w:tc>
          <w:tcPr>
            <w:tcW w:w="1233" w:type="pct"/>
          </w:tcPr>
          <w:p w14:paraId="28CE855E">
            <w:pPr>
              <w:spacing w:after="0" w:line="240" w:lineRule="auto"/>
            </w:pPr>
            <w:r>
              <w:t>任何级别如伴黄疸/瘙痒/尿色加深：优先复核；</w:t>
            </w:r>
            <w:r>
              <w:br w:type="textWrapping"/>
            </w:r>
            <w:r>
              <w:t>G2及以上或与转氨酶同升：考虑DILI/胆道疾病，完善评估（ALP/GGT、INR、肝胆超声等）；</w:t>
            </w:r>
            <w:r>
              <w:br w:type="textWrapping"/>
            </w:r>
            <w:r>
              <w:t>G3–G4：通常需暂停肝毒药物并按SAE/AESI流程处理。</w:t>
            </w:r>
          </w:p>
        </w:tc>
      </w:tr>
      <w:tr w14:paraId="539E8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2512825C">
            <w:pPr>
              <w:spacing w:after="0" w:line="240" w:lineRule="auto"/>
            </w:pPr>
            <w:r>
              <w:t>血肌酐升高（肾损伤）</w:t>
            </w:r>
          </w:p>
        </w:tc>
        <w:tc>
          <w:tcPr>
            <w:tcW w:w="1233" w:type="pct"/>
          </w:tcPr>
          <w:p w14:paraId="65010C0C">
            <w:pPr>
              <w:spacing w:after="0" w:line="240" w:lineRule="auto"/>
            </w:pPr>
            <w:r>
              <w:t>Creatinine, High</w:t>
            </w:r>
          </w:p>
        </w:tc>
        <w:tc>
          <w:tcPr>
            <w:tcW w:w="1300" w:type="pct"/>
          </w:tcPr>
          <w:p w14:paraId="1A1BEBB2">
            <w:pPr>
              <w:spacing w:after="0" w:line="240" w:lineRule="auto"/>
            </w:pPr>
            <w:r>
              <w:t>G1：1.1–1.3×ULN 或 1.3–&lt;1.5×基线；</w:t>
            </w:r>
            <w:r>
              <w:br w:type="textWrapping"/>
            </w:r>
            <w:r>
              <w:t>G2：&gt;1.3–1.8×ULN 或 1.5–&lt;2.0×基线；</w:t>
            </w:r>
            <w:r>
              <w:br w:type="textWrapping"/>
            </w:r>
            <w:r>
              <w:t>G3：&gt;1.8–&lt;3.5×ULN；G4：≥3.5×ULN 或 ≥2.0×基线。</w:t>
            </w:r>
          </w:p>
        </w:tc>
        <w:tc>
          <w:tcPr>
            <w:tcW w:w="1233" w:type="pct"/>
          </w:tcPr>
          <w:p w14:paraId="598C8947">
            <w:pPr>
              <w:spacing w:after="0" w:line="240" w:lineRule="auto"/>
            </w:pPr>
            <w:r>
              <w:t>复核水化状态/合并用药（NSAIDs等）；</w:t>
            </w:r>
            <w:r>
              <w:br w:type="textWrapping"/>
            </w:r>
            <w:r>
              <w:t>G2及以上：尽快复查Cr/eGFR、电解质；必要时调整合并用药与补液；</w:t>
            </w:r>
            <w:r>
              <w:br w:type="textWrapping"/>
            </w:r>
            <w:r>
              <w:t>G3–G4：急诊评估/肾内会诊，按SAE考虑。</w:t>
            </w:r>
          </w:p>
        </w:tc>
      </w:tr>
      <w:tr w14:paraId="45D6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36D643B1">
            <w:pPr>
              <w:spacing w:after="0" w:line="240" w:lineRule="auto"/>
            </w:pPr>
            <w:r>
              <w:t>低钾血症（QT风险因素）</w:t>
            </w:r>
          </w:p>
        </w:tc>
        <w:tc>
          <w:tcPr>
            <w:tcW w:w="1233" w:type="pct"/>
          </w:tcPr>
          <w:p w14:paraId="3216A896">
            <w:pPr>
              <w:spacing w:after="0" w:line="240" w:lineRule="auto"/>
            </w:pPr>
            <w:r>
              <w:t>Potassium, Low</w:t>
            </w:r>
          </w:p>
        </w:tc>
        <w:tc>
          <w:tcPr>
            <w:tcW w:w="1300" w:type="pct"/>
          </w:tcPr>
          <w:p w14:paraId="2F69D039">
            <w:pPr>
              <w:spacing w:after="0" w:line="240" w:lineRule="auto"/>
            </w:pPr>
            <w:r>
              <w:t>G1：3.0–&lt;3.4；G2：2.5–&lt;3.0；G3：2.0–&lt;2.5；G4：&lt;2.0 mmol/L。</w:t>
            </w:r>
          </w:p>
        </w:tc>
        <w:tc>
          <w:tcPr>
            <w:tcW w:w="1233" w:type="pct"/>
          </w:tcPr>
          <w:p w14:paraId="3694D70F">
            <w:pPr>
              <w:spacing w:after="0" w:line="240" w:lineRule="auto"/>
            </w:pPr>
            <w:r>
              <w:t>G1：口服补钾+复查；G2：优先补钾并查原因（腹泻/利尿剂等）；</w:t>
            </w:r>
            <w:r>
              <w:br w:type="textWrapping"/>
            </w:r>
            <w:r>
              <w:t>G3–G4或合并QT延长：紧急处理（静脉补钾、心电监护），评估暂停可疑致QT药物。</w:t>
            </w:r>
          </w:p>
        </w:tc>
      </w:tr>
      <w:tr w14:paraId="2F66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3FB8981F">
            <w:pPr>
              <w:spacing w:after="0" w:line="240" w:lineRule="auto"/>
            </w:pPr>
            <w:r>
              <w:t>低镁血症（QT风险因素）</w:t>
            </w:r>
          </w:p>
        </w:tc>
        <w:tc>
          <w:tcPr>
            <w:tcW w:w="1233" w:type="pct"/>
          </w:tcPr>
          <w:p w14:paraId="4FF49456">
            <w:pPr>
              <w:spacing w:after="0" w:line="240" w:lineRule="auto"/>
            </w:pPr>
            <w:r>
              <w:t>Magnesium, Low</w:t>
            </w:r>
          </w:p>
        </w:tc>
        <w:tc>
          <w:tcPr>
            <w:tcW w:w="1300" w:type="pct"/>
          </w:tcPr>
          <w:p w14:paraId="4752A61B">
            <w:pPr>
              <w:spacing w:after="0" w:line="240" w:lineRule="auto"/>
            </w:pPr>
            <w:r>
              <w:t>以mg/dL：G1 1.2–&lt;1.4；G2 0.9–&lt;1.2；G3 0.6–&lt;0.9；G4 &lt;0.6。</w:t>
            </w:r>
            <w:r>
              <w:br w:type="textWrapping"/>
            </w:r>
            <w:r>
              <w:t>换算mmol/L（×0.4114）：G1 0.49–&lt;0.58；G2 0.37–&lt;0.49；G3 0.25–&lt;0.37；G4 &lt;0.25。</w:t>
            </w:r>
          </w:p>
        </w:tc>
        <w:tc>
          <w:tcPr>
            <w:tcW w:w="1233" w:type="pct"/>
          </w:tcPr>
          <w:p w14:paraId="4B44F121">
            <w:pPr>
              <w:spacing w:after="0" w:line="240" w:lineRule="auto"/>
            </w:pPr>
            <w:r>
              <w:t>补镁（口服/静脉视严重度）；</w:t>
            </w:r>
            <w:r>
              <w:br w:type="textWrapping"/>
            </w:r>
            <w:r>
              <w:t>G2及以上建议与心电、钾同评估；若合并QT延长，按高优先级处置。</w:t>
            </w:r>
          </w:p>
        </w:tc>
      </w:tr>
      <w:tr w14:paraId="48D1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18186233">
            <w:pPr>
              <w:spacing w:after="0" w:line="240" w:lineRule="auto"/>
            </w:pPr>
            <w:r>
              <w:t>中性粒细胞减少</w:t>
            </w:r>
          </w:p>
        </w:tc>
        <w:tc>
          <w:tcPr>
            <w:tcW w:w="1233" w:type="pct"/>
          </w:tcPr>
          <w:p w14:paraId="7614F445">
            <w:pPr>
              <w:spacing w:after="0" w:line="240" w:lineRule="auto"/>
            </w:pPr>
            <w:r>
              <w:t>Absolute Neutrophil Count (ANC), Low（&gt;7天龄）</w:t>
            </w:r>
          </w:p>
        </w:tc>
        <w:tc>
          <w:tcPr>
            <w:tcW w:w="1300" w:type="pct"/>
          </w:tcPr>
          <w:p w14:paraId="4A3D1A6C">
            <w:pPr>
              <w:spacing w:after="0" w:line="240" w:lineRule="auto"/>
            </w:pPr>
            <w:r>
              <w:t>G1：800–1,000；G2：600–799；G3：400–599；G4：&lt;400 /mm³。</w:t>
            </w:r>
          </w:p>
        </w:tc>
        <w:tc>
          <w:tcPr>
            <w:tcW w:w="1233" w:type="pct"/>
          </w:tcPr>
          <w:p w14:paraId="59FFCF8A">
            <w:pPr>
              <w:spacing w:after="0" w:line="240" w:lineRule="auto"/>
            </w:pPr>
            <w:r>
              <w:t>评估感染症状/用药；</w:t>
            </w:r>
            <w:r>
              <w:br w:type="textWrapping"/>
            </w:r>
            <w:r>
              <w:t>G3–G4或伴发热：立即复核并启动感染评估；必要时住院/SAE；</w:t>
            </w:r>
            <w:r>
              <w:br w:type="textWrapping"/>
            </w:r>
            <w:r>
              <w:t>对症与停药/调整按方案与临床判断。</w:t>
            </w:r>
          </w:p>
        </w:tc>
      </w:tr>
      <w:tr w14:paraId="01E08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4DFFCC85">
            <w:pPr>
              <w:spacing w:after="0" w:line="240" w:lineRule="auto"/>
            </w:pPr>
            <w:r>
              <w:t>贫血（血红蛋白降低）</w:t>
            </w:r>
          </w:p>
        </w:tc>
        <w:tc>
          <w:tcPr>
            <w:tcW w:w="1233" w:type="pct"/>
          </w:tcPr>
          <w:p w14:paraId="5CB84CF5">
            <w:pPr>
              <w:spacing w:after="0" w:line="240" w:lineRule="auto"/>
            </w:pPr>
            <w:r>
              <w:t>Hemoglobin, Low（≥13岁按主要性激素分层）</w:t>
            </w:r>
          </w:p>
        </w:tc>
        <w:tc>
          <w:tcPr>
            <w:tcW w:w="1300" w:type="pct"/>
          </w:tcPr>
          <w:p w14:paraId="5DA1BBF8">
            <w:pPr>
              <w:spacing w:after="0" w:line="240" w:lineRule="auto"/>
            </w:pPr>
            <w:r>
              <w:t>男性：G1 10.0–10.9；G2 9.0–&lt;10.0；G3 7.0–&lt;9.0；G4 &lt;7.0 g/dL。</w:t>
            </w:r>
            <w:r>
              <w:br w:type="textWrapping"/>
            </w:r>
            <w:r>
              <w:t>女性：G1 9.5–10.4；G2 8.5–&lt;9.5；G3 6.5–&lt;8.5；G4 &lt;6.5 g/dL。</w:t>
            </w:r>
          </w:p>
        </w:tc>
        <w:tc>
          <w:tcPr>
            <w:tcW w:w="1233" w:type="pct"/>
          </w:tcPr>
          <w:p w14:paraId="07254400">
            <w:pPr>
              <w:spacing w:after="0" w:line="240" w:lineRule="auto"/>
            </w:pPr>
            <w:r>
              <w:t>查原因（出血/溶血/营养/慢病等）；</w:t>
            </w:r>
            <w:r>
              <w:br w:type="textWrapping"/>
            </w:r>
            <w:r>
              <w:t>G3–G4或有症状：加急评估（必要时输血/住院），按SAE考虑。</w:t>
            </w:r>
          </w:p>
        </w:tc>
      </w:tr>
      <w:tr w14:paraId="3E07F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414CAAD5">
            <w:pPr>
              <w:spacing w:after="0" w:line="240" w:lineRule="auto"/>
            </w:pPr>
            <w:r>
              <w:t>血小板减少</w:t>
            </w:r>
          </w:p>
        </w:tc>
        <w:tc>
          <w:tcPr>
            <w:tcW w:w="1233" w:type="pct"/>
          </w:tcPr>
          <w:p w14:paraId="27762C5E">
            <w:pPr>
              <w:spacing w:after="0" w:line="240" w:lineRule="auto"/>
            </w:pPr>
            <w:r>
              <w:t>Platelets, Decreased</w:t>
            </w:r>
          </w:p>
        </w:tc>
        <w:tc>
          <w:tcPr>
            <w:tcW w:w="1300" w:type="pct"/>
          </w:tcPr>
          <w:p w14:paraId="31E04C9C">
            <w:pPr>
              <w:spacing w:after="0" w:line="240" w:lineRule="auto"/>
            </w:pPr>
            <w:r>
              <w:t>G1：100,000–&lt;125,000；G2：50,000–&lt;100,000；G3：25,000–&lt;50,000；G4：&lt;25,000 /mm³。</w:t>
            </w:r>
          </w:p>
        </w:tc>
        <w:tc>
          <w:tcPr>
            <w:tcW w:w="1233" w:type="pct"/>
          </w:tcPr>
          <w:p w14:paraId="79FE3897">
            <w:pPr>
              <w:spacing w:after="0" w:line="240" w:lineRule="auto"/>
            </w:pPr>
            <w:r>
              <w:t>评估出血风险与合并用药（抗凝/NSAIDs等）；</w:t>
            </w:r>
            <w:r>
              <w:br w:type="textWrapping"/>
            </w:r>
            <w:r>
              <w:t>G3–G4或出血：急诊评估，可能需停药、输注血小板，按SAE处理。</w:t>
            </w:r>
          </w:p>
        </w:tc>
      </w:tr>
      <w:tr w14:paraId="347E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015652E0">
            <w:pPr>
              <w:spacing w:after="0" w:line="240" w:lineRule="auto"/>
            </w:pPr>
            <w:r>
              <w:t>QTcF延长（莫西沙星相关重点）</w:t>
            </w:r>
          </w:p>
        </w:tc>
        <w:tc>
          <w:tcPr>
            <w:tcW w:w="1233" w:type="pct"/>
          </w:tcPr>
          <w:p w14:paraId="3FA92410">
            <w:pPr>
              <w:spacing w:after="0" w:line="240" w:lineRule="auto"/>
            </w:pPr>
            <w:r>
              <w:t>（DAIDS不作为QTc分级依据；按TDSC方案执行）</w:t>
            </w:r>
          </w:p>
        </w:tc>
        <w:tc>
          <w:tcPr>
            <w:tcW w:w="1300" w:type="pct"/>
          </w:tcPr>
          <w:p w14:paraId="7D73C49A">
            <w:pPr>
              <w:spacing w:after="0" w:line="240" w:lineRule="auto"/>
            </w:pPr>
            <w:r>
              <w:t>筛选：男性QTcF&gt;450 ms或女性&gt;470 ms为异常（可复测取平均）。</w:t>
            </w:r>
            <w:r>
              <w:br w:type="textWrapping"/>
            </w:r>
            <w:r>
              <w:t>治疗期：QTcF&gt;500 ms或较基线延长&gt;60 ms为高风险。</w:t>
            </w:r>
          </w:p>
        </w:tc>
        <w:tc>
          <w:tcPr>
            <w:tcW w:w="1233" w:type="pct"/>
          </w:tcPr>
          <w:p w14:paraId="5BC8F396">
            <w:pPr>
              <w:spacing w:after="0" w:line="240" w:lineRule="auto"/>
            </w:pPr>
            <w:r>
              <w:t>优先复核：复测心电+查K/Mg/Ca；纠正电解质与诱因；</w:t>
            </w:r>
            <w:r>
              <w:br w:type="textWrapping"/>
            </w:r>
            <w:r>
              <w:t>达到TDSC中止标准（QTcF&gt;500 ms）：立即停药并启动安全流程；</w:t>
            </w:r>
            <w:r>
              <w:br w:type="textWrapping"/>
            </w:r>
            <w:r>
              <w:t>必要时心内会诊与住院监护。</w:t>
            </w:r>
          </w:p>
        </w:tc>
      </w:tr>
      <w:tr w14:paraId="7B41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343082A8">
            <w:pPr>
              <w:spacing w:after="0" w:line="240" w:lineRule="auto"/>
            </w:pPr>
            <w:r>
              <w:t>恶心/呕吐（耐受性）</w:t>
            </w:r>
          </w:p>
        </w:tc>
        <w:tc>
          <w:tcPr>
            <w:tcW w:w="1233" w:type="pct"/>
          </w:tcPr>
          <w:p w14:paraId="445D6CB5">
            <w:pPr>
              <w:spacing w:after="0" w:line="240" w:lineRule="auto"/>
            </w:pPr>
            <w:r>
              <w:t>Nausea / Vomiting（临床事件）</w:t>
            </w:r>
          </w:p>
        </w:tc>
        <w:tc>
          <w:tcPr>
            <w:tcW w:w="1300" w:type="pct"/>
          </w:tcPr>
          <w:p w14:paraId="173C599E">
            <w:pPr>
              <w:spacing w:after="0" w:line="240" w:lineRule="auto"/>
            </w:pPr>
            <w:r>
              <w:t>按DAIDS临床事件原则：</w:t>
            </w:r>
            <w:r>
              <w:br w:type="textWrapping"/>
            </w:r>
            <w:r>
              <w:t>G1：轻度，不影响进食/无需或偶需止吐；</w:t>
            </w:r>
            <w:r>
              <w:br w:type="textWrapping"/>
            </w:r>
            <w:r>
              <w:t>G2：影响部分日常活动，需要规律止吐；</w:t>
            </w:r>
            <w:r>
              <w:br w:type="textWrapping"/>
            </w:r>
            <w:r>
              <w:t>G3：无法维持口服摄入/需静脉补液或急诊；</w:t>
            </w:r>
            <w:r>
              <w:br w:type="textWrapping"/>
            </w:r>
            <w:r>
              <w:t>G4：危及生命（休克等）。</w:t>
            </w:r>
          </w:p>
        </w:tc>
        <w:tc>
          <w:tcPr>
            <w:tcW w:w="1233" w:type="pct"/>
          </w:tcPr>
          <w:p w14:paraId="030E0CCB">
            <w:pPr>
              <w:spacing w:after="0" w:line="240" w:lineRule="auto"/>
            </w:pPr>
            <w:r>
              <w:t>先排除严重病因（肝炎/胰腺炎等）与脱水；</w:t>
            </w:r>
            <w:r>
              <w:br w:type="textWrapping"/>
            </w:r>
            <w:r>
              <w:t>G2：加用止吐、补液评估；</w:t>
            </w:r>
            <w:r>
              <w:br w:type="textWrapping"/>
            </w:r>
            <w:r>
              <w:t>G3–G4：非计划访视/急诊评估，必要时暂停可疑药物并按SAE考虑。</w:t>
            </w:r>
          </w:p>
        </w:tc>
      </w:tr>
      <w:tr w14:paraId="1A0E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58A482A8">
            <w:pPr>
              <w:spacing w:after="0" w:line="240" w:lineRule="auto"/>
            </w:pPr>
            <w:r>
              <w:t>腹泻（耐受性/电解质紊乱来源）</w:t>
            </w:r>
          </w:p>
        </w:tc>
        <w:tc>
          <w:tcPr>
            <w:tcW w:w="1233" w:type="pct"/>
          </w:tcPr>
          <w:p w14:paraId="25A5C376">
            <w:pPr>
              <w:spacing w:after="0" w:line="240" w:lineRule="auto"/>
            </w:pPr>
            <w:r>
              <w:t>Diarrhea（临床事件）</w:t>
            </w:r>
          </w:p>
        </w:tc>
        <w:tc>
          <w:tcPr>
            <w:tcW w:w="1300" w:type="pct"/>
          </w:tcPr>
          <w:p w14:paraId="63C0F44B">
            <w:pPr>
              <w:spacing w:after="0" w:line="240" w:lineRule="auto"/>
            </w:pPr>
            <w:r>
              <w:t>按DAIDS临床事件原则：</w:t>
            </w:r>
            <w:r>
              <w:br w:type="textWrapping"/>
            </w:r>
            <w:r>
              <w:t>G1：轻度；G2：中度需对症；G3：重度（脱水/需静脉补液/住院）；G4：危及生命。</w:t>
            </w:r>
          </w:p>
        </w:tc>
        <w:tc>
          <w:tcPr>
            <w:tcW w:w="1233" w:type="pct"/>
          </w:tcPr>
          <w:p w14:paraId="51C3E432">
            <w:pPr>
              <w:spacing w:after="0" w:line="240" w:lineRule="auto"/>
            </w:pPr>
            <w:r>
              <w:t>补液与电解质监测（尤其K/Mg）；</w:t>
            </w:r>
            <w:r>
              <w:br w:type="textWrapping"/>
            </w:r>
            <w:r>
              <w:t>排除感染性腹泻与药物相关；</w:t>
            </w:r>
            <w:r>
              <w:br w:type="textWrapping"/>
            </w:r>
            <w:r>
              <w:t>G3–G4：急诊/住院评估，必要时暂停相关药物。</w:t>
            </w:r>
          </w:p>
        </w:tc>
      </w:tr>
      <w:tr w14:paraId="3841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5F4F55F8">
            <w:pPr>
              <w:spacing w:after="0" w:line="240" w:lineRule="auto"/>
            </w:pPr>
            <w:r>
              <w:t>皮疹/过敏反应</w:t>
            </w:r>
          </w:p>
        </w:tc>
        <w:tc>
          <w:tcPr>
            <w:tcW w:w="1233" w:type="pct"/>
          </w:tcPr>
          <w:p w14:paraId="0638B2F8">
            <w:pPr>
              <w:spacing w:after="0" w:line="240" w:lineRule="auto"/>
            </w:pPr>
            <w:r>
              <w:t>Rash / Hypersensitivity（临床事件）</w:t>
            </w:r>
          </w:p>
        </w:tc>
        <w:tc>
          <w:tcPr>
            <w:tcW w:w="1300" w:type="pct"/>
          </w:tcPr>
          <w:p w14:paraId="042CE522">
            <w:pPr>
              <w:spacing w:after="0" w:line="240" w:lineRule="auto"/>
            </w:pPr>
            <w:r>
              <w:t>G1：局限性皮疹/轻度瘙痒；</w:t>
            </w:r>
            <w:r>
              <w:br w:type="textWrapping"/>
            </w:r>
            <w:r>
              <w:t>G2：广泛皮疹或明显瘙痒需治疗；</w:t>
            </w:r>
            <w:r>
              <w:br w:type="textWrapping"/>
            </w:r>
            <w:r>
              <w:t>G3：严重/伴黏膜受累、起疱、发热或需住院；</w:t>
            </w:r>
            <w:r>
              <w:br w:type="textWrapping"/>
            </w:r>
            <w:r>
              <w:t>G4：危及生命（SJS/TEN/过敏性休克等）。</w:t>
            </w:r>
          </w:p>
        </w:tc>
        <w:tc>
          <w:tcPr>
            <w:tcW w:w="1233" w:type="pct"/>
          </w:tcPr>
          <w:p w14:paraId="4FD2F6AE">
            <w:pPr>
              <w:spacing w:after="0" w:line="240" w:lineRule="auto"/>
            </w:pPr>
            <w:r>
              <w:t>评估用药时序与伴随症状；</w:t>
            </w:r>
            <w:r>
              <w:br w:type="textWrapping"/>
            </w:r>
            <w:r>
              <w:t>G2：抗过敏治疗+密切随访；</w:t>
            </w:r>
            <w:r>
              <w:br w:type="textWrapping"/>
            </w:r>
            <w:r>
              <w:t>G3–G4：立即停用可疑药物、紧急处理/住院，按SAE报告。</w:t>
            </w:r>
          </w:p>
        </w:tc>
      </w:tr>
      <w:tr w14:paraId="1C94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0A84C571">
            <w:pPr>
              <w:spacing w:after="0" w:line="240" w:lineRule="auto"/>
            </w:pPr>
            <w:r>
              <w:t>周围神经病变（异烟肼相关）</w:t>
            </w:r>
          </w:p>
        </w:tc>
        <w:tc>
          <w:tcPr>
            <w:tcW w:w="1233" w:type="pct"/>
          </w:tcPr>
          <w:p w14:paraId="16D35325">
            <w:pPr>
              <w:spacing w:after="0" w:line="240" w:lineRule="auto"/>
            </w:pPr>
            <w:r>
              <w:t>Peripheral neuropathy（临床事件）</w:t>
            </w:r>
          </w:p>
        </w:tc>
        <w:tc>
          <w:tcPr>
            <w:tcW w:w="1300" w:type="pct"/>
          </w:tcPr>
          <w:p w14:paraId="5B501C30">
            <w:pPr>
              <w:spacing w:after="0" w:line="240" w:lineRule="auto"/>
            </w:pPr>
            <w:r>
              <w:t>G1：轻度麻木/刺痛不影响功能；</w:t>
            </w:r>
            <w:r>
              <w:br w:type="textWrapping"/>
            </w:r>
            <w:r>
              <w:t>G2：影响部分日常活动/需药物治疗；</w:t>
            </w:r>
            <w:r>
              <w:br w:type="textWrapping"/>
            </w:r>
            <w:r>
              <w:t>G3：显著影响自理或行走；</w:t>
            </w:r>
            <w:r>
              <w:br w:type="textWrapping"/>
            </w:r>
            <w:r>
              <w:t>G4：危及生命或严重致残（少见）。</w:t>
            </w:r>
          </w:p>
        </w:tc>
        <w:tc>
          <w:tcPr>
            <w:tcW w:w="1233" w:type="pct"/>
          </w:tcPr>
          <w:p w14:paraId="331916B7">
            <w:pPr>
              <w:spacing w:after="0" w:line="240" w:lineRule="auto"/>
            </w:pPr>
            <w:r>
              <w:t>核实维生素B6使用与糖尿病神经病变鉴别；</w:t>
            </w:r>
            <w:r>
              <w:br w:type="textWrapping"/>
            </w:r>
            <w:r>
              <w:t>G2：强化B6与对症治疗；必要时调整可疑药物；</w:t>
            </w:r>
            <w:r>
              <w:br w:type="textWrapping"/>
            </w:r>
            <w:r>
              <w:t>G3：优先评估，可能需暂停/停用相关药物并转神经科。</w:t>
            </w:r>
          </w:p>
        </w:tc>
      </w:tr>
      <w:tr w14:paraId="7D39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610F5BCB">
            <w:pPr>
              <w:spacing w:after="0" w:line="240" w:lineRule="auto"/>
            </w:pPr>
            <w:r>
              <w:t>关节痛/高尿酸相关（吡嗪酰胺）</w:t>
            </w:r>
          </w:p>
        </w:tc>
        <w:tc>
          <w:tcPr>
            <w:tcW w:w="1233" w:type="pct"/>
          </w:tcPr>
          <w:p w14:paraId="6221F60B">
            <w:pPr>
              <w:spacing w:after="0" w:line="240" w:lineRule="auto"/>
            </w:pPr>
            <w:r>
              <w:t>Arthralgia / Uric acid high（临床事件/实验室）</w:t>
            </w:r>
          </w:p>
        </w:tc>
        <w:tc>
          <w:tcPr>
            <w:tcW w:w="1300" w:type="pct"/>
          </w:tcPr>
          <w:p w14:paraId="0A343DEE">
            <w:pPr>
              <w:spacing w:after="0" w:line="240" w:lineRule="auto"/>
            </w:pPr>
            <w:r>
              <w:t>关节痛按功能影响分级（G1轻，G2需规律止痛，G3影响自理/就医）。</w:t>
            </w:r>
            <w:r>
              <w:br w:type="textWrapping"/>
            </w:r>
            <w:r>
              <w:t>如以尿酸升高为主：按DAIDS实验室条目执行（建议EDC自动分级）。</w:t>
            </w:r>
          </w:p>
        </w:tc>
        <w:tc>
          <w:tcPr>
            <w:tcW w:w="1233" w:type="pct"/>
          </w:tcPr>
          <w:p w14:paraId="40F365E1">
            <w:pPr>
              <w:spacing w:after="0" w:line="240" w:lineRule="auto"/>
            </w:pPr>
            <w:r>
              <w:t>优先处理症状与功能：对症镇痛（注意肝肾）；</w:t>
            </w:r>
            <w:r>
              <w:br w:type="textWrapping"/>
            </w:r>
            <w:r>
              <w:t>反复G2–G3或影响依从性：评估是否调整方案；</w:t>
            </w:r>
            <w:r>
              <w:br w:type="textWrapping"/>
            </w:r>
            <w:r>
              <w:t>合并急性痛风发作可按专科路径处理。</w:t>
            </w:r>
          </w:p>
        </w:tc>
      </w:tr>
      <w:tr w14:paraId="41B74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4D46ED5E">
            <w:pPr>
              <w:spacing w:after="0" w:line="240" w:lineRule="auto"/>
            </w:pPr>
            <w:r>
              <w:t>严重低血糖（TB-DM重点）</w:t>
            </w:r>
          </w:p>
        </w:tc>
        <w:tc>
          <w:tcPr>
            <w:tcW w:w="1233" w:type="pct"/>
          </w:tcPr>
          <w:p w14:paraId="0E32D8FF">
            <w:pPr>
              <w:spacing w:after="0" w:line="240" w:lineRule="auto"/>
            </w:pPr>
            <w:r>
              <w:t>Hypoglycemia（临床事件/实验室）</w:t>
            </w:r>
          </w:p>
        </w:tc>
        <w:tc>
          <w:tcPr>
            <w:tcW w:w="1300" w:type="pct"/>
          </w:tcPr>
          <w:p w14:paraId="3807DBF2">
            <w:pPr>
              <w:spacing w:after="0" w:line="240" w:lineRule="auto"/>
            </w:pPr>
            <w:r>
              <w:t>重点看临床严重性：需他人协助、意识障碍/抽搐/昏迷或需急诊/住院处理即为重度（可作为SAE/AESI/IRE评估）。</w:t>
            </w:r>
          </w:p>
        </w:tc>
        <w:tc>
          <w:tcPr>
            <w:tcW w:w="1233" w:type="pct"/>
          </w:tcPr>
          <w:p w14:paraId="385BA518">
            <w:pPr>
              <w:spacing w:after="0" w:line="240" w:lineRule="auto"/>
            </w:pPr>
            <w:r>
              <w:t>立即纠正低血糖（口服/静脉葡萄糖等），复核降糖方案与进食；必要时住院；按SOP06/SOP10启动SAE/IRE上报并完善血糖/电解质/并发症评估。</w:t>
            </w:r>
          </w:p>
        </w:tc>
      </w:tr>
      <w:tr w14:paraId="797B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6CE2BCF9">
            <w:pPr>
              <w:spacing w:after="0" w:line="240" w:lineRule="auto"/>
            </w:pPr>
            <w:r>
              <w:t>疑似DKA/HHS（TB-DM重点）</w:t>
            </w:r>
          </w:p>
        </w:tc>
        <w:tc>
          <w:tcPr>
            <w:tcW w:w="1233" w:type="pct"/>
          </w:tcPr>
          <w:p w14:paraId="13519B39">
            <w:pPr>
              <w:spacing w:after="0" w:line="240" w:lineRule="auto"/>
            </w:pPr>
            <w:r>
              <w:t>DKA/HHS（临床事件）</w:t>
            </w:r>
          </w:p>
        </w:tc>
        <w:tc>
          <w:tcPr>
            <w:tcW w:w="1300" w:type="pct"/>
          </w:tcPr>
          <w:p w14:paraId="5B4F62C8">
            <w:pPr>
              <w:spacing w:after="0" w:line="240" w:lineRule="auto"/>
            </w:pPr>
            <w:r>
              <w:t>典型表现：明显高血糖+脱水/意识改变，或伴酮症/酸中毒体征；实验室提示（酮体、血气、电解质）支持。</w:t>
            </w:r>
          </w:p>
        </w:tc>
        <w:tc>
          <w:tcPr>
            <w:tcW w:w="1233" w:type="pct"/>
          </w:tcPr>
          <w:p w14:paraId="70DF1F67">
            <w:pPr>
              <w:spacing w:after="0" w:line="240" w:lineRule="auto"/>
            </w:pPr>
            <w:r>
              <w:t>急诊/住院评估与处理；完善血糖、酮体、血气、电解质；作为SAE/IRE处理并24小时内初报（SOP06/SOP10）。</w:t>
            </w:r>
          </w:p>
        </w:tc>
      </w:tr>
      <w:tr w14:paraId="62E19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pct"/>
          </w:tcPr>
          <w:p w14:paraId="38306A2A">
            <w:pPr>
              <w:spacing w:after="0" w:line="240" w:lineRule="auto"/>
            </w:pPr>
            <w:r>
              <w:t>视力下降/色觉异常（疑似乙胺丁醇视神经病变）</w:t>
            </w:r>
          </w:p>
        </w:tc>
        <w:tc>
          <w:tcPr>
            <w:tcW w:w="1233" w:type="pct"/>
          </w:tcPr>
          <w:p w14:paraId="284366BC">
            <w:pPr>
              <w:spacing w:after="0" w:line="240" w:lineRule="auto"/>
            </w:pPr>
            <w:r>
              <w:t>Optic neuritis / Vision changes（临床事件）</w:t>
            </w:r>
          </w:p>
        </w:tc>
        <w:tc>
          <w:tcPr>
            <w:tcW w:w="1300" w:type="pct"/>
          </w:tcPr>
          <w:p w14:paraId="141EF29A">
            <w:pPr>
              <w:spacing w:after="0" w:line="240" w:lineRule="auto"/>
            </w:pPr>
            <w:r>
              <w:t>任何新发或明显加重的视力/色觉/视野异常均需高度警惕；不以DAIDS阈值等待。</w:t>
            </w:r>
          </w:p>
        </w:tc>
        <w:tc>
          <w:tcPr>
            <w:tcW w:w="1233" w:type="pct"/>
          </w:tcPr>
          <w:p w14:paraId="796098EF">
            <w:pPr>
              <w:spacing w:after="0" w:line="240" w:lineRule="auto"/>
            </w:pPr>
            <w:r>
              <w:t>立即停用可疑药物（如E），眼科会诊；必要时作为AESI/IRE处理并上报；后续复用按研究者与方案判定。</w:t>
            </w:r>
          </w:p>
        </w:tc>
      </w:tr>
      <w:tr w14:paraId="0D62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51C18E0A">
            <w:pPr>
              <w:spacing w:after="0" w:line="240" w:lineRule="auto"/>
            </w:pPr>
            <w:r>
              <w:t>缩略语</w:t>
            </w:r>
          </w:p>
        </w:tc>
        <w:tc>
          <w:tcPr>
            <w:tcW w:w="2533" w:type="pct"/>
            <w:gridSpan w:val="2"/>
          </w:tcPr>
          <w:p w14:paraId="66F24CB9">
            <w:pPr>
              <w:spacing w:after="0" w:line="240" w:lineRule="auto"/>
            </w:pPr>
            <w:r>
              <w:t>含义</w:t>
            </w:r>
          </w:p>
        </w:tc>
      </w:tr>
      <w:tr w14:paraId="16F4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35AA1F3A">
            <w:pPr>
              <w:spacing w:after="0" w:line="240" w:lineRule="auto"/>
            </w:pPr>
            <w:r>
              <w:t>AE</w:t>
            </w:r>
          </w:p>
        </w:tc>
        <w:tc>
          <w:tcPr>
            <w:tcW w:w="2533" w:type="pct"/>
            <w:gridSpan w:val="2"/>
          </w:tcPr>
          <w:p w14:paraId="23DA99D6">
            <w:pPr>
              <w:spacing w:after="0" w:line="240" w:lineRule="auto"/>
            </w:pPr>
            <w:r>
              <w:t>Adverse Event，不良事件</w:t>
            </w:r>
          </w:p>
        </w:tc>
      </w:tr>
      <w:tr w14:paraId="21D5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36D3CFC6">
            <w:pPr>
              <w:spacing w:after="0" w:line="240" w:lineRule="auto"/>
            </w:pPr>
            <w:r>
              <w:t>SAE</w:t>
            </w:r>
          </w:p>
        </w:tc>
        <w:tc>
          <w:tcPr>
            <w:tcW w:w="2533" w:type="pct"/>
            <w:gridSpan w:val="2"/>
          </w:tcPr>
          <w:p w14:paraId="45F87BB1">
            <w:pPr>
              <w:spacing w:after="0" w:line="240" w:lineRule="auto"/>
            </w:pPr>
            <w:r>
              <w:t>Serious Adverse Event，严重不良事件</w:t>
            </w:r>
          </w:p>
        </w:tc>
      </w:tr>
      <w:tr w14:paraId="69F62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0A2F94B8">
            <w:pPr>
              <w:spacing w:after="0" w:line="240" w:lineRule="auto"/>
            </w:pPr>
            <w:r>
              <w:t>AESI</w:t>
            </w:r>
          </w:p>
        </w:tc>
        <w:tc>
          <w:tcPr>
            <w:tcW w:w="2533" w:type="pct"/>
            <w:gridSpan w:val="2"/>
          </w:tcPr>
          <w:p w14:paraId="29514710">
            <w:pPr>
              <w:spacing w:after="0" w:line="240" w:lineRule="auto"/>
            </w:pPr>
            <w:r>
              <w:t>Adverse Event of Special Interest，特别关注不良事件</w:t>
            </w:r>
          </w:p>
        </w:tc>
      </w:tr>
      <w:tr w14:paraId="68AB7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4D8FB320">
            <w:pPr>
              <w:spacing w:after="0" w:line="240" w:lineRule="auto"/>
            </w:pPr>
            <w:r>
              <w:t>IRE</w:t>
            </w:r>
          </w:p>
        </w:tc>
        <w:tc>
          <w:tcPr>
            <w:tcW w:w="2533" w:type="pct"/>
            <w:gridSpan w:val="2"/>
          </w:tcPr>
          <w:p w14:paraId="26A91BC6">
            <w:pPr>
              <w:spacing w:after="0" w:line="240" w:lineRule="auto"/>
            </w:pPr>
            <w:r>
              <w:t>Immediate Reportable Event，需快速上报事件</w:t>
            </w:r>
          </w:p>
        </w:tc>
      </w:tr>
      <w:tr w14:paraId="6B5AA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2F4C2D7F">
            <w:pPr>
              <w:spacing w:after="0" w:line="240" w:lineRule="auto"/>
            </w:pPr>
            <w:r>
              <w:t>ULN</w:t>
            </w:r>
          </w:p>
        </w:tc>
        <w:tc>
          <w:tcPr>
            <w:tcW w:w="2533" w:type="pct"/>
            <w:gridSpan w:val="2"/>
          </w:tcPr>
          <w:p w14:paraId="3D9A1665">
            <w:pPr>
              <w:spacing w:after="0" w:line="240" w:lineRule="auto"/>
            </w:pPr>
            <w:r>
              <w:t>Upper Limit of Normal，正常上限</w:t>
            </w:r>
          </w:p>
        </w:tc>
      </w:tr>
      <w:tr w14:paraId="73815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28454052">
            <w:pPr>
              <w:spacing w:after="0" w:line="240" w:lineRule="auto"/>
            </w:pPr>
            <w:r>
              <w:t>ALT/AST</w:t>
            </w:r>
          </w:p>
        </w:tc>
        <w:tc>
          <w:tcPr>
            <w:tcW w:w="2533" w:type="pct"/>
            <w:gridSpan w:val="2"/>
          </w:tcPr>
          <w:p w14:paraId="00B3EB31">
            <w:pPr>
              <w:spacing w:after="0" w:line="240" w:lineRule="auto"/>
            </w:pPr>
            <w:r>
              <w:t>丙氨酸/天冬氨酸氨基转移酶</w:t>
            </w:r>
          </w:p>
        </w:tc>
      </w:tr>
      <w:tr w14:paraId="0E83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301A61FD">
            <w:pPr>
              <w:spacing w:after="0" w:line="240" w:lineRule="auto"/>
            </w:pPr>
            <w:r>
              <w:t>TBIL</w:t>
            </w:r>
          </w:p>
        </w:tc>
        <w:tc>
          <w:tcPr>
            <w:tcW w:w="2533" w:type="pct"/>
            <w:gridSpan w:val="2"/>
          </w:tcPr>
          <w:p w14:paraId="5EF289E7">
            <w:pPr>
              <w:spacing w:after="0" w:line="240" w:lineRule="auto"/>
            </w:pPr>
            <w:r>
              <w:t>Total bilirubin，总胆红素</w:t>
            </w:r>
          </w:p>
        </w:tc>
      </w:tr>
      <w:tr w14:paraId="4D97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6EE2C7AD">
            <w:pPr>
              <w:spacing w:after="0" w:line="240" w:lineRule="auto"/>
            </w:pPr>
            <w:r>
              <w:t>INR</w:t>
            </w:r>
          </w:p>
        </w:tc>
        <w:tc>
          <w:tcPr>
            <w:tcW w:w="2533" w:type="pct"/>
            <w:gridSpan w:val="2"/>
          </w:tcPr>
          <w:p w14:paraId="29EE7DB7">
            <w:pPr>
              <w:spacing w:after="0" w:line="240" w:lineRule="auto"/>
            </w:pPr>
            <w:r>
              <w:t>International Normalized Ratio，国际标准化比值</w:t>
            </w:r>
          </w:p>
        </w:tc>
      </w:tr>
      <w:tr w14:paraId="50F4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33485E18">
            <w:pPr>
              <w:spacing w:after="0" w:line="240" w:lineRule="auto"/>
            </w:pPr>
            <w:r>
              <w:t>ANC</w:t>
            </w:r>
          </w:p>
        </w:tc>
        <w:tc>
          <w:tcPr>
            <w:tcW w:w="2533" w:type="pct"/>
            <w:gridSpan w:val="2"/>
          </w:tcPr>
          <w:p w14:paraId="456069A6">
            <w:pPr>
              <w:spacing w:after="0" w:line="240" w:lineRule="auto"/>
            </w:pPr>
            <w:r>
              <w:t>Absolute Neutrophil Count，绝对中性粒细胞计数</w:t>
            </w:r>
          </w:p>
        </w:tc>
      </w:tr>
      <w:tr w14:paraId="3B17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1797371F">
            <w:pPr>
              <w:spacing w:after="0" w:line="240" w:lineRule="auto"/>
            </w:pPr>
            <w:r>
              <w:t>QTcF</w:t>
            </w:r>
          </w:p>
        </w:tc>
        <w:tc>
          <w:tcPr>
            <w:tcW w:w="2533" w:type="pct"/>
            <w:gridSpan w:val="2"/>
          </w:tcPr>
          <w:p w14:paraId="242F5B0D">
            <w:pPr>
              <w:spacing w:after="0" w:line="240" w:lineRule="auto"/>
            </w:pPr>
            <w:r>
              <w:t>Fridericia-corrected QT interval</w:t>
            </w:r>
          </w:p>
        </w:tc>
      </w:tr>
      <w:tr w14:paraId="69DB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5DADB0FF">
            <w:pPr>
              <w:spacing w:after="0" w:line="240" w:lineRule="auto"/>
            </w:pPr>
            <w:r>
              <w:t>NRS</w:t>
            </w:r>
          </w:p>
        </w:tc>
        <w:tc>
          <w:tcPr>
            <w:tcW w:w="2533" w:type="pct"/>
            <w:gridSpan w:val="2"/>
          </w:tcPr>
          <w:p w14:paraId="372EF469">
            <w:pPr>
              <w:spacing w:after="0" w:line="240" w:lineRule="auto"/>
            </w:pPr>
            <w:r>
              <w:t>Numeric Rating Scale（0–10）</w:t>
            </w:r>
          </w:p>
        </w:tc>
      </w:tr>
      <w:tr w14:paraId="36D86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15A479E3">
            <w:pPr>
              <w:spacing w:after="0" w:line="240" w:lineRule="auto"/>
            </w:pPr>
            <w:r>
              <w:t>DKA</w:t>
            </w:r>
          </w:p>
        </w:tc>
        <w:tc>
          <w:tcPr>
            <w:tcW w:w="2533" w:type="pct"/>
            <w:gridSpan w:val="2"/>
          </w:tcPr>
          <w:p w14:paraId="66A4DE24">
            <w:pPr>
              <w:spacing w:after="0" w:line="240" w:lineRule="auto"/>
            </w:pPr>
            <w:r>
              <w:t>Diabetic ketoacidosis，糖尿病酮症酸中毒</w:t>
            </w:r>
          </w:p>
        </w:tc>
      </w:tr>
      <w:tr w14:paraId="0D7A6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5A796466">
            <w:pPr>
              <w:spacing w:after="0" w:line="240" w:lineRule="auto"/>
            </w:pPr>
            <w:r>
              <w:t>HHS</w:t>
            </w:r>
          </w:p>
        </w:tc>
        <w:tc>
          <w:tcPr>
            <w:tcW w:w="2533" w:type="pct"/>
            <w:gridSpan w:val="2"/>
          </w:tcPr>
          <w:p w14:paraId="228998DD">
            <w:pPr>
              <w:spacing w:after="0" w:line="240" w:lineRule="auto"/>
            </w:pPr>
            <w:r>
              <w:t>Hyperosmolar hyperglycemic state，高血糖高渗状态</w:t>
            </w:r>
          </w:p>
        </w:tc>
      </w:tr>
      <w:tr w14:paraId="5050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4D9AF218">
            <w:pPr>
              <w:spacing w:after="0" w:line="240" w:lineRule="auto"/>
            </w:pPr>
            <w:r>
              <w:t>SCAR</w:t>
            </w:r>
          </w:p>
        </w:tc>
        <w:tc>
          <w:tcPr>
            <w:tcW w:w="2533" w:type="pct"/>
            <w:gridSpan w:val="2"/>
          </w:tcPr>
          <w:p w14:paraId="3DE8EF9F">
            <w:pPr>
              <w:spacing w:after="0" w:line="240" w:lineRule="auto"/>
            </w:pPr>
            <w:r>
              <w:t>Severe cutaneous adverse reactions，严重皮肤不良反应</w:t>
            </w:r>
          </w:p>
        </w:tc>
      </w:tr>
      <w:tr w14:paraId="45F3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pct"/>
            <w:gridSpan w:val="2"/>
          </w:tcPr>
          <w:p w14:paraId="72558DBD">
            <w:pPr>
              <w:spacing w:after="0" w:line="240" w:lineRule="auto"/>
            </w:pPr>
            <w:r>
              <w:t>SJS/TEN</w:t>
            </w:r>
          </w:p>
        </w:tc>
        <w:tc>
          <w:tcPr>
            <w:tcW w:w="2533" w:type="pct"/>
            <w:gridSpan w:val="2"/>
          </w:tcPr>
          <w:p w14:paraId="4A7DCC17">
            <w:pPr>
              <w:spacing w:after="0" w:line="240" w:lineRule="auto"/>
            </w:pPr>
            <w:r>
              <w:t>Stevens–Johnson syndrome / toxic epidermal necrolysis</w:t>
            </w:r>
          </w:p>
        </w:tc>
      </w:tr>
    </w:tbl>
    <w:p w14:paraId="6A8154A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40EFB"/>
    <w:multiLevelType w:val="singleLevel"/>
    <w:tmpl w:val="95C40EFB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687B34"/>
    <w:rsid w:val="4810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2368</Words>
  <Characters>3784</Characters>
  <Lines>0</Lines>
  <Paragraphs>0</Paragraphs>
  <TotalTime>1</TotalTime>
  <ScaleCrop>false</ScaleCrop>
  <LinksUpToDate>false</LinksUpToDate>
  <CharactersWithSpaces>3883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1E642AF672394F7DAC3C1C88EF8E914B_12</vt:lpwstr>
  </property>
</Properties>
</file>