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7B2D6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TDSC 研究标准操作规程（SOP）</w:t>
      </w:r>
    </w:p>
    <w:p w14:paraId="5E2CE608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SOP01：患者分层工具包</w:t>
      </w:r>
    </w:p>
    <w:p w14:paraId="613EAE9B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Patient Stratification Toolkit</w:t>
      </w:r>
    </w:p>
    <w:p w14:paraId="3B941210">
      <w:pPr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754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822CC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受控文件编号</w:t>
            </w:r>
          </w:p>
        </w:tc>
        <w:tc>
          <w:tcPr>
            <w:tcW w:w="4533" w:type="dxa"/>
          </w:tcPr>
          <w:p w14:paraId="776312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TDSC-SOP-01</w:t>
            </w:r>
          </w:p>
        </w:tc>
      </w:tr>
      <w:tr w14:paraId="7E62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A514E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4533" w:type="dxa"/>
          </w:tcPr>
          <w:p w14:paraId="16DDAD8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V1.1</w:t>
            </w:r>
          </w:p>
        </w:tc>
      </w:tr>
      <w:tr w14:paraId="402F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57479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生效日期</w:t>
            </w:r>
          </w:p>
        </w:tc>
        <w:tc>
          <w:tcPr>
            <w:tcW w:w="4533" w:type="dxa"/>
          </w:tcPr>
          <w:p w14:paraId="55B9D01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2026-03-04</w:t>
            </w:r>
          </w:p>
        </w:tc>
      </w:tr>
      <w:tr w14:paraId="7458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3AE8B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适用研究</w:t>
            </w:r>
          </w:p>
        </w:tc>
        <w:tc>
          <w:tcPr>
            <w:tcW w:w="4533" w:type="dxa"/>
          </w:tcPr>
          <w:p w14:paraId="2907D4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TDSC（TB-Diabetes Short Course）Study</w:t>
            </w:r>
          </w:p>
        </w:tc>
      </w:tr>
      <w:tr w14:paraId="6478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2CDE5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对应研究方案</w:t>
            </w:r>
          </w:p>
        </w:tc>
        <w:tc>
          <w:tcPr>
            <w:tcW w:w="4533" w:type="dxa"/>
          </w:tcPr>
          <w:p w14:paraId="4DF842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 研究方案 V2.0（2026-02-28）</w:t>
            </w:r>
          </w:p>
        </w:tc>
      </w:tr>
      <w:tr w14:paraId="6377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56FE8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起草</w:t>
            </w:r>
          </w:p>
        </w:tc>
        <w:tc>
          <w:tcPr>
            <w:tcW w:w="4533" w:type="dxa"/>
          </w:tcPr>
          <w:p w14:paraId="4586BA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380D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7FE32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审核</w:t>
            </w:r>
          </w:p>
        </w:tc>
        <w:tc>
          <w:tcPr>
            <w:tcW w:w="4533" w:type="dxa"/>
          </w:tcPr>
          <w:p w14:paraId="169FB5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1412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BBE11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  <w:tc>
          <w:tcPr>
            <w:tcW w:w="4533" w:type="dxa"/>
          </w:tcPr>
          <w:p w14:paraId="5C2F563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</w:tbl>
    <w:p w14:paraId="4E3E6BB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6994229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1. 目的</w:t>
      </w:r>
    </w:p>
    <w:p w14:paraId="1F27AC3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建立一套可在多中心临床试验中直接执行的肺结核（pulmonary tuberculosis, PTB）患者分层工具包与操作流程，用于：</w:t>
      </w:r>
    </w:p>
    <w:p w14:paraId="34B3AAF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入组/随机前（Baseline）的风险分层与随机分层因子设定；</w:t>
      </w:r>
    </w:p>
    <w:p w14:paraId="2CAD10D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治疗开始后的早期反应分层（On-treatment），用于风险提示、动态校正与预设亚组分析；</w:t>
      </w:r>
    </w:p>
    <w:p w14:paraId="231883B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保证跨中心实验室与影像判读的一致性，降低系统性偏倚。</w:t>
      </w:r>
    </w:p>
    <w:p w14:paraId="728836FA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2. 适用范围</w:t>
      </w:r>
    </w:p>
    <w:p w14:paraId="4409A02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本SOP适用于TDSC研究（TB-DM人群结核病短程治疗方案研究）及同类以药物治疗为核心的PTB临床试验，尤其适用于：</w:t>
      </w:r>
    </w:p>
    <w:p w14:paraId="01B252E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分中心Xpert报告格式不一致（Ct值/半定量等级/平台差异）；</w:t>
      </w:r>
    </w:p>
    <w:p w14:paraId="50DF57A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同时获取Xpert/Ultra与抗酸染色（AFB）结果，需要保守合并判定；</w:t>
      </w:r>
    </w:p>
    <w:p w14:paraId="31E0077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以胸片（CXR）为主要影像分层依据，胸部CT作为辅助信息。</w:t>
      </w:r>
    </w:p>
    <w:p w14:paraId="1E096A0A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3. 术语与缩略语</w:t>
      </w:r>
    </w:p>
    <w:p w14:paraId="2B9B869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AFB：抗酸杆菌涂片。</w:t>
      </w:r>
    </w:p>
    <w:p w14:paraId="4EF0FB2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CXR：胸部X线片（胸片）。</w:t>
      </w:r>
    </w:p>
    <w:p w14:paraId="5582D2E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CT：胸部计算机断层扫描（本SOP仅作为补充记录）。</w:t>
      </w:r>
    </w:p>
    <w:p w14:paraId="713F098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HbA1c：糖化血红蛋白（%）。</w:t>
      </w:r>
    </w:p>
    <w:p w14:paraId="3BA5B41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HbA1cTier（2级）：将基线HbA1c折叠为“较好控制/较差控制”层级（阈值见6.5）。</w:t>
      </w:r>
    </w:p>
    <w:p w14:paraId="31EEF9E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Cohort（队列归类）：基于Baseline BacillaryTier + ExtentTier + HbA1cTier的保守合并规则，判定Cohort A（低风险）或Cohort B（中高风险）。</w:t>
      </w:r>
    </w:p>
    <w:p w14:paraId="4EEC6B3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Xpert：GeneXpert MTB/RIF；Ultra：GeneXpert MTB/RIF Ultra。</w:t>
      </w:r>
    </w:p>
    <w:p w14:paraId="7FEB581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Ct：循环阈值（cycle threshold）。</w:t>
      </w:r>
    </w:p>
    <w:p w14:paraId="35081E8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XpertTier（3级）：将Xpert/Ultra结果折叠为高/中/低细菌负荷等级。</w:t>
      </w:r>
    </w:p>
    <w:p w14:paraId="536ABA7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SmearTier（3级）：将AFB结果折叠为高/中/低细菌负荷等级。</w:t>
      </w:r>
    </w:p>
    <w:p w14:paraId="52762B0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Baseline BacillaryTier（3级）：合并后的基线细菌负荷等级（取XpertTier与SmearTier中的较高者）。</w:t>
      </w:r>
    </w:p>
    <w:p w14:paraId="11CE610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ExtentTier（2级）：影像学病变范围等级（Extensive/Limited）。</w:t>
      </w:r>
    </w:p>
    <w:p w14:paraId="614872C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Red flag：高风险提示变量（如最大空洞径&gt;4 cm）。</w:t>
      </w:r>
    </w:p>
    <w:p w14:paraId="6C008B4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PCD（Persistent Clinical Disease）：Week 8时症状仍存在且涂片仍阳性。</w:t>
      </w:r>
    </w:p>
    <w:p w14:paraId="0D6967E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PPTR（Possible Poor Treatment Response）：研究者怀疑疗效欠佳并考虑调整/延长/重启治疗的情形。</w:t>
      </w:r>
    </w:p>
    <w:p w14:paraId="46684F4A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4. 职责分工</w:t>
      </w:r>
    </w:p>
    <w:p w14:paraId="5A821AF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主要研究者（PI）：批准分层规则与版本更新；对关键判定争议进行最终裁决。</w:t>
      </w:r>
    </w:p>
    <w:p w14:paraId="04ECB34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分中心研究医生/CRC：按时间窗完成标本采集、结果录入与缺失补采；执行本SOP的质控触发与追溯。</w:t>
      </w:r>
    </w:p>
    <w:p w14:paraId="2B1B760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实验室：按统一要求报告检测平台、报告格式与原始结果；对“不一致”情形进行复核。</w:t>
      </w:r>
    </w:p>
    <w:p w14:paraId="076E986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影像科/中心阅片组：按统一空洞与范围定义进行判读；必要时进行双人阅片与仲裁。</w:t>
      </w:r>
    </w:p>
    <w:p w14:paraId="2607EFB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数据管理（DM）：在EDC中实现派生变量与逻辑校验；生成分层报表与缺失/异常清单；负责随机前关键分层字段锁定。</w:t>
      </w:r>
    </w:p>
    <w:p w14:paraId="7C0401E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中心研究临床医生（如设定）：对PPTR病例进行讨论并给出处置建议；协调必要的专家仲裁。</w:t>
      </w:r>
    </w:p>
    <w:p w14:paraId="2F74B6B2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5. 所需资料与工具</w:t>
      </w:r>
    </w:p>
    <w:p w14:paraId="3FBB0E9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实验室：Xpert或Ultra（Ct或半定量等级），AFB涂片结果（+至++++或0/1+/2+/3+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/4+</w:t>
      </w:r>
      <w:r>
        <w:rPr>
          <w:rFonts w:hint="default" w:ascii="Times New Roman" w:hAnsi="Times New Roman" w:eastAsia="宋体" w:cs="Times New Roman"/>
          <w:sz w:val="24"/>
          <w:szCs w:val="24"/>
        </w:rPr>
        <w:t>）；培养结果（如研究方案要求）。</w:t>
      </w:r>
    </w:p>
    <w:p w14:paraId="4CFE44C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检验：基线HbA1c检测报告（优先筛选/基线同日；允许窗口见6.5）。</w:t>
      </w:r>
    </w:p>
    <w:p w14:paraId="07635B3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影像学：基线CXR（必需）；胸部CT（可选，作为补充，不作为主分层口径）。</w:t>
      </w:r>
    </w:p>
    <w:p w14:paraId="760B6CEB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EDC/eCRF：需包含第10节字段字典所列原始字段与派生字段，并具备逻辑核查与审计追踪。</w:t>
      </w:r>
    </w:p>
    <w:p w14:paraId="336C263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统一判读材料：空洞判读示例、症状清单、质控触发与处理记录表。</w:t>
      </w:r>
    </w:p>
    <w:p w14:paraId="4C2A4D8A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 入组时患者分层（Baseline）</w:t>
      </w:r>
    </w:p>
    <w:p w14:paraId="46209715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6.1 时间窗</w:t>
      </w:r>
    </w:p>
    <w:p w14:paraId="4F6ED8D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基线分层信息建议在首次给药前完成采集。若存在滞后，允许使用首次给药前7天内获得的最近一次结果（以采样日期为准）。</w:t>
      </w:r>
    </w:p>
    <w:p w14:paraId="25117EC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6.2 细菌负荷轴：Xpert/Ultra与AFB的统一分级与合并规则</w:t>
      </w:r>
    </w:p>
    <w:p w14:paraId="2A23A88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本SOP采用“保守合并”原则：若同时存在Xpert/Ultra与AFB结果，则以两者中的更高负荷等级作为分层依据（宁可高估风险，不低估）。</w:t>
      </w:r>
    </w:p>
    <w:p w14:paraId="240BA73F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6.2.1 记录检测平台与报告格式（必填）</w:t>
      </w:r>
    </w:p>
    <w:p w14:paraId="72B3D45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检测平台：Xpert MTB/RIF 或 Xpert Ultra。</w:t>
      </w:r>
    </w:p>
    <w:p w14:paraId="1C421DD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报告格式：是否报告Ct值；是否报告半定量等级。</w:t>
      </w:r>
    </w:p>
    <w:p w14:paraId="62ED2DF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原始结果：如有Ct须录入数值；如无Ct则录入半定量等级。</w:t>
      </w:r>
    </w:p>
    <w:p w14:paraId="55E41379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6.2.2 XpertTier（3级）判定规则</w:t>
      </w:r>
    </w:p>
    <w:p w14:paraId="32010C3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若报告Ct值：高负荷=Ct&lt;22；中负荷=22≤Ct&lt;28；低负荷=Ct≥28。</w:t>
      </w:r>
    </w:p>
    <w:p w14:paraId="48CF765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若不报告Ct，仅报告半定量：按平台折叠为3级：</w:t>
      </w:r>
    </w:p>
    <w:p w14:paraId="30BD39E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— Xpert MTB/RIF：高/中 → 高负荷；低 → 中负荷；极低 → 低负荷。</w:t>
      </w:r>
    </w:p>
    <w:p w14:paraId="49B0427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— Xpert Ultra：高/中 → 高负荷；低 → 中负荷；极低/trace → 低负荷。trace需在备注中标记“trace复核=是”。</w:t>
      </w:r>
    </w:p>
    <w:p w14:paraId="59FD4F19">
      <w:pPr>
        <w:pStyle w:val="5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6.2.3 SmearTier（3级）判定规则</w:t>
      </w:r>
    </w:p>
    <w:p w14:paraId="42CE4FA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国际和国内</w:t>
      </w:r>
      <w:r>
        <w:rPr>
          <w:rFonts w:hint="default" w:ascii="Times New Roman" w:hAnsi="Times New Roman" w:eastAsia="宋体" w:cs="Times New Roman"/>
          <w:sz w:val="24"/>
          <w:szCs w:val="24"/>
        </w:rPr>
        <w:t>两套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抗酸染色分级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体系在低菌量区间的切点并不完全一致，而且国内标准还保留了一个“报告菌数（1–8条/300视野）”的过渡层。若按萋-尼氏染色（ZN）、油镜读片来比较，国内标准是：阴性=300视野未见，报告菌数=1–8条/300视野，1+=3–9条/100视野，2+=1–9条/10视野，3+=1–9条/每视野，4+=≥10条/每视野。国际常用 WHO/IUATLD 体系则通常写作：阴性、scanty/rare（您说的“痕量”）、1+、2+、3+；其阈值大致为 0/100视野、1–9条/100视野、10–99条/100视野、1–10条/每视野、&gt;10条/每视野。国际上的 scanty/rare（痕量）大致相当于中国分级体系中的极低度阳性涂片，涵盖中国标准中的“报告菌数”类别以及中国 1+ 的一部分；中国的 2+、3+ 和 4+ 则大致分别对应国际标准中的 1+、2+ 和 3+。</w:t>
      </w:r>
    </w:p>
    <w:p w14:paraId="7AD8F8D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若报告为“+至++++”（或“scanty/+ / ++ / +++ / ++++”）：阴性或未见抗酸杆菌=低负荷；“+”或“++”=中负荷；“+++”或“++++”=高负荷。</w:t>
      </w:r>
    </w:p>
    <w:p w14:paraId="7DCFD24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若报告为0/1+/2+/3+（或0/scanty/1+/2+/3+）：0或scanty=低负荷；1+或2+=中负荷；3+=高负荷。</w:t>
      </w:r>
    </w:p>
    <w:p w14:paraId="1FAE5D8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建议在EDC中同时保留原始报告文本与折叠后的SmearTier。</w:t>
      </w:r>
    </w:p>
    <w:p w14:paraId="1656AFFF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6.2.4 Baseline BacillaryTier（合并后的细菌负荷等级）</w:t>
      </w:r>
    </w:p>
    <w:p w14:paraId="0BD526B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合并规则：Baseline BacillaryTier = max(XpertTier, SmearTier)。</w:t>
      </w:r>
    </w:p>
    <w:p w14:paraId="57C0A1A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示例：Xpert=极低（低负荷），AFB=+++（高负荷）→ BacillaryTier=高负荷，并触发实验室复核（见第9节）。</w:t>
      </w:r>
    </w:p>
    <w:p w14:paraId="134F30F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示例：Ultra=trace（低负荷，trace复核=是），AFB=阴性（低负荷）→ BacillaryTier=低负荷，但需按第9节复核/必要时复检。</w:t>
      </w:r>
    </w:p>
    <w:p w14:paraId="4597F4B5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6.3 解剖学轴：空洞与病变范围（以CXR为准）</w:t>
      </w:r>
    </w:p>
    <w:p w14:paraId="053C80D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为保证跨中心可比性与全球可推广性，本SOP规定：Baseline分层的影像口径以CXR为主；CT信息仅作补充记录。若CXR不可判读，应优先复拍；无法复拍时提交中心阅片组裁定。</w:t>
      </w:r>
    </w:p>
    <w:p w14:paraId="22DAAF14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6.3.1 CXR判读要素（必填）</w:t>
      </w:r>
    </w:p>
    <w:p w14:paraId="4834FC2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空洞（cavity）有无：是/否/不可判读。</w:t>
      </w:r>
    </w:p>
    <w:p w14:paraId="3CED58E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最大空洞径：cm（如多发空洞记录最大者；无空洞则置空）。</w:t>
      </w:r>
    </w:p>
    <w:p w14:paraId="529A562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病变侧别：单侧/双侧/不可判读（按实质病变范围判断）。</w:t>
      </w:r>
    </w:p>
    <w:p w14:paraId="041C7F1E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6.3.2 ExtentTier（二级）判定规则</w:t>
      </w:r>
    </w:p>
    <w:p w14:paraId="5DC9805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Extensive：满足以下任一：双侧实质病变；或存在任何可见空洞。</w:t>
      </w:r>
    </w:p>
    <w:p w14:paraId="76B0B47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Limited：单侧实质病变且无空洞。</w:t>
      </w:r>
    </w:p>
    <w:p w14:paraId="48396956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6.3.3 红旗变量（Red flags）</w:t>
      </w:r>
    </w:p>
    <w:p w14:paraId="71A0525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最大空洞径&gt;4 cm：自动标记为“红旗=是”，用于风险提示与加强随访。</w:t>
      </w:r>
    </w:p>
    <w:p w14:paraId="544BDC1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影像质量不足导致无法判读：需在48小时内复拍；无法复拍则提交中心阅片组裁定并记录。</w:t>
      </w:r>
    </w:p>
    <w:p w14:paraId="2057F81C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6.4 TDSC研究中的使用方式（随机分层与队列归类）</w:t>
      </w:r>
    </w:p>
    <w:p w14:paraId="5BB2E6C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在TDSC研究中，随机化分层因素建议至少包括：中心 + Baseline BacillaryTier（3级） + ExtentTier（2级） + HbA1cTier（2级）。</w:t>
      </w:r>
    </w:p>
    <w:p w14:paraId="1AF3A59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队列归类（操作口径）：</w:t>
      </w:r>
    </w:p>
    <w:p w14:paraId="14A6BB9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低风险（Cohort A 目标人群）：Baseline BacillaryTier=低负荷 且 ExtentTier=Limited（即单侧、无明确空洞）且 HbA1cTier=较好控制。</w:t>
      </w:r>
    </w:p>
    <w:p w14:paraId="46B59AE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中高风险（Cohort B 目标人群）：不满足上述低风险条件者（包括任何可见空洞、双侧病变、较高细菌负荷或HbA1cTier=较差控制）。</w:t>
      </w:r>
    </w:p>
    <w:p w14:paraId="3D6FF9B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如HbA1c不可得/不可追溯，或任一关键要素“不可判读”，队列归类默认按中高风险处理（Cohort B，保守），并按第9节留痕与追溯。</w:t>
      </w:r>
    </w:p>
    <w:p w14:paraId="754C03D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如影像/细菌学存在“不可判读”或重大不一致，应在随机/分配前完成复核或提交中心仲裁，并保留原始记录与最终裁定。</w:t>
      </w:r>
    </w:p>
    <w:p w14:paraId="25591ADD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6.5 HbA1cTier（基线糖代谢层级）判定规则</w:t>
      </w:r>
    </w:p>
    <w:p w14:paraId="43B081F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为保证分层与队列归类可复制、可核查，本节规定基线HbA1c的采集窗口、折叠规则与缺失处理优先级。</w:t>
      </w:r>
    </w:p>
    <w:p w14:paraId="50286906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6.5.1 采集时间窗（用于队列归类与随机分层）</w:t>
      </w:r>
    </w:p>
    <w:p w14:paraId="46E5BDA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优先使用筛选/基线访视测得的HbA1c。允许使用首次给药前30天内获得的最近一次HbA1c（以采血日期为准），并需上传/留存原始报告或可追溯的检验系统截图。</w:t>
      </w:r>
    </w:p>
    <w:p w14:paraId="54C7AC47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6.5.2 HbA1cTier折叠规则（2级）</w:t>
      </w:r>
    </w:p>
    <w:p w14:paraId="0C68AA4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较好控制（HbA1cTier=Controlled）：HbA1c &lt; 8.0%。</w:t>
      </w:r>
    </w:p>
    <w:p w14:paraId="7B2F871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较差控制（HbA1cTier=Poor control）：HbA1c ≥ 8.0%。</w:t>
      </w:r>
    </w:p>
    <w:p w14:paraId="5352702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如报告单位为mmol/mol，需换算为%并保留原始值与换算方法（推荐由EDC自动换算）。</w:t>
      </w:r>
    </w:p>
    <w:p w14:paraId="7C7B951F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6.5.3 缺失与优先级规则（必须留痕）</w:t>
      </w:r>
    </w:p>
    <w:p w14:paraId="312DDD4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若基线HbA1c缺失，按以下顺序补齐并记录来源（含日期与证据类型）：</w:t>
      </w:r>
    </w:p>
    <w:p w14:paraId="080FA26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优先使用首次给药前30天内（含）可追溯的HbA1c结果（病历/检验系统/报告单），取距离基线最近者。</w:t>
      </w:r>
    </w:p>
    <w:p w14:paraId="0F303AC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若仍无，可在首次给药后7天内补采HbA1c用于随机分层与统计调整，但队列归类在随机/分配时仍按保守原则处理。</w:t>
      </w:r>
    </w:p>
    <w:p w14:paraId="4042600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若随机/队列归类时HbA1c仍不可得，则HbA1cTier按“较差控制”处理（保守），并在偏差/缺失说明中记录原因与纠正措施。</w:t>
      </w:r>
    </w:p>
    <w:p w14:paraId="5565B841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6.5.4 EDC字段（最小必填）</w:t>
      </w:r>
    </w:p>
    <w:p w14:paraId="2F2B87E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HbA1c数值（%）、采血日期、来源（筛选/基线/外院/病历）、是否换算（是/否）、HbA1cTier（派生）、缺失原因。</w:t>
      </w:r>
    </w:p>
    <w:p w14:paraId="3F28A94E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7. 治疗开始后的早期反应分层（On-treatment）</w:t>
      </w:r>
    </w:p>
    <w:p w14:paraId="42883A20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7.1 关键时间点与窗口期</w:t>
      </w:r>
    </w:p>
    <w:p w14:paraId="2BCD08A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推荐以Week 8（第56天）作为统一的早期反应分层节点。允许窗口期：第49-63天（±1周）。若超出窗口期，需记录原因，并在统计分析中进行敏感性处理。</w:t>
      </w:r>
    </w:p>
    <w:p w14:paraId="7F75D669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7.2 Week 8需采集的最小数据集</w:t>
      </w:r>
    </w:p>
    <w:p w14:paraId="3AD297B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临床症状：按附录A症状清单逐项判断“仍存在/已消失”。</w:t>
      </w:r>
    </w:p>
    <w:p w14:paraId="0427649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AFB涂片：阳性/阴性及分级（如有）。</w:t>
      </w:r>
    </w:p>
    <w:p w14:paraId="6F08679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痰培养（如研究方案采用培养触发或作为重要观察指标）：阳性/阴性/污染/缺失。</w:t>
      </w:r>
    </w:p>
    <w:p w14:paraId="1DF6D1C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Xpert/Ultra（可选）：仅作为辅助反应指标，不作为单独决策阈值。</w:t>
      </w:r>
    </w:p>
    <w:p w14:paraId="21D2E7C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7.3 关键派生指标：PCD（Persistent Clinical Disease）</w:t>
      </w:r>
    </w:p>
    <w:p w14:paraId="7DD58DB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PCD定义：Week 8时同时满足：①结核相关症状仍存在；②痰涂片仍阳性。两者缺一不可。PCD用于早期风险提示与预设亚组分析。</w:t>
      </w:r>
    </w:p>
    <w:p w14:paraId="395A0B2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7.4 PPTR触发与处置（与研究方案对接）</w:t>
      </w:r>
    </w:p>
    <w:p w14:paraId="1040D30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当研究者在治疗全过程中任意时刻怀疑受试者出现“抗结核疗效欠佳/治疗反应不良（PPTR）”，或正在考虑任何形式的治疗调整（尤其是将疗程延长至超过随机分配方案、完成疗程后再次启动抗结核治疗、因疗效原因更改方案），应立即启动PPTR评估流程：</w:t>
      </w:r>
    </w:p>
    <w:p w14:paraId="6BDA659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第一时间联系中心研究临床医生进行病例讨论与处置建议；除紧急情况外，不应在未沟通前擅自延长或更改方案。</w:t>
      </w:r>
    </w:p>
    <w:p w14:paraId="0A3578A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在患者病情允许的前提下，应尽可能在改变/延长/重启治疗之前完成评估：</w:t>
      </w:r>
    </w:p>
    <w:p w14:paraId="5E5D68E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— 1周内采集≥3份痰标本（其中≥2份需在改变/延长/重启治疗前采集，且间隔≥4小时，尽量包含1份清晨痰）送研究实验室进行涂片与培养；若培养阳性则开展药敏试验并保存菌株；</w:t>
      </w:r>
    </w:p>
    <w:p w14:paraId="488E4AB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— 完成胸部影像学评估（CXR）并填写“疗效欠佳”相关CRF；</w:t>
      </w:r>
    </w:p>
    <w:p w14:paraId="3912A65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— 必要时按受试者同意采集血/尿/痰等生物标志物样本。</w:t>
      </w:r>
    </w:p>
    <w:p w14:paraId="387A877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若在Week 8发现“培养未转阴”“症状未缓解”等疗效欠佳先兆，应作为风险提示加强关注；如研究者已产生“可能需要延长/改变/重启治疗”的临床判断，则应立即启动PPTR评估，不必等待其他预设时间点。</w:t>
      </w:r>
    </w:p>
    <w:p w14:paraId="16CE69C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队列B在26周（6个月）随机化前将依据《微生物学安全门槛（Hard Gate）评估与随机前资格判定（SOP02）》完成门槛评估（仅微生物学）；Week 8分层指标不替代M6门槛。</w:t>
      </w:r>
    </w:p>
    <w:p w14:paraId="1BBABC9B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8. 数据录入与派生变量（EDC实现要点）</w:t>
      </w:r>
    </w:p>
    <w:p w14:paraId="04B9C82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建议在EDC中实现自动派生与逻辑校验，避免人为计算差异。</w:t>
      </w:r>
    </w:p>
    <w:p w14:paraId="1EC436F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派生变量：XpertTier、SmearTier、Baseline BacillaryTier、ExtentTier、HbA1cTier、红旗（空洞&gt;4cm）、基线分层组合（3×2×2）、队列归类（Cohort A/B）、PCD等。</w:t>
      </w:r>
    </w:p>
    <w:p w14:paraId="2698F71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逻辑校验示例：涂片=+++或++++但XpertTier=低负荷→自动生成质控工单；CXR判读为空洞=是但最大空洞径缺失→提示补录。</w:t>
      </w:r>
    </w:p>
    <w:p w14:paraId="5F55EE4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关键分层字段须在随机前锁定；任何版本更新需同步更新EDC派生逻辑与培训材料。</w:t>
      </w:r>
    </w:p>
    <w:p w14:paraId="05954A9B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9. 质量控制（QC）与一致性管理</w:t>
      </w:r>
    </w:p>
    <w:p w14:paraId="0AB42D6B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9.1 实验室QC</w:t>
      </w:r>
    </w:p>
    <w:p w14:paraId="1C43C6E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统一培训：各中心实验室需理解并执行XpertTier/SmearTier折叠规则。</w:t>
      </w:r>
    </w:p>
    <w:p w14:paraId="6CC6BF7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不一致触发复核：如AFB高负荷而Xpert低负荷；Ultra trace与临床高度不符等。复核措施可包括重复检测、复采样本、核对标本类型与采样时间。</w:t>
      </w:r>
    </w:p>
    <w:p w14:paraId="2E55BB2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记录与闭环：所有复核均需在EDC中记录触发原因、处理过程与最终结论。</w:t>
      </w:r>
    </w:p>
    <w:p w14:paraId="67DAEC1B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9.2 影像QC</w:t>
      </w:r>
    </w:p>
    <w:p w14:paraId="40CB4E4B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中心化阅片（建议）：至少对“空洞有无”“双侧/单侧”“最大空洞径”进行双人阅片与分歧仲裁。</w:t>
      </w:r>
    </w:p>
    <w:p w14:paraId="7B0072F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一致性训练：入组前提供标准示例与判读要点；定期抽样复核一致性。</w:t>
      </w:r>
    </w:p>
    <w:p w14:paraId="7EFD318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不可判读管理：出现不可判读影像时，优先复拍；无法复拍则提交中心阅片组裁定并记录。</w:t>
      </w:r>
    </w:p>
    <w:p w14:paraId="3B9D760B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9.3 数据QC</w:t>
      </w:r>
    </w:p>
    <w:p w14:paraId="367D8A5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DM定期生成缺失/异常清单并推动闭环；</w:t>
      </w:r>
    </w:p>
    <w:p w14:paraId="50DBB9D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随机前关键字段完整性核查（无CXR或无任何细菌学结果原则上不允许随机）；</w:t>
      </w:r>
    </w:p>
    <w:p w14:paraId="7AAB3BF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版本变更时进行中心再培训并记录培训完成情况。</w:t>
      </w:r>
    </w:p>
    <w:p w14:paraId="04F48EC4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10. eCRF/EDC 字段字典（最小必填集）</w:t>
      </w:r>
    </w:p>
    <w:p w14:paraId="46D0DAC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说明：以下为建议最小必填字段集；各中心可按研究需要扩展。派生字段由EDC自动生成，研究者仅需核对与确认。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06D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1646C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域</w:t>
            </w:r>
          </w:p>
        </w:tc>
        <w:tc>
          <w:tcPr>
            <w:tcW w:w="2266" w:type="dxa"/>
          </w:tcPr>
          <w:p w14:paraId="503B3A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字段（示例）</w:t>
            </w:r>
          </w:p>
        </w:tc>
        <w:tc>
          <w:tcPr>
            <w:tcW w:w="2266" w:type="dxa"/>
          </w:tcPr>
          <w:p w14:paraId="2645443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类型/取值</w:t>
            </w:r>
          </w:p>
        </w:tc>
        <w:tc>
          <w:tcPr>
            <w:tcW w:w="2266" w:type="dxa"/>
          </w:tcPr>
          <w:p w14:paraId="4ED26D7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 w14:paraId="1C70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90ED4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受试者信息</w:t>
            </w:r>
          </w:p>
        </w:tc>
        <w:tc>
          <w:tcPr>
            <w:tcW w:w="2266" w:type="dxa"/>
          </w:tcPr>
          <w:p w14:paraId="33231B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筛选/基线日期；首次给药日期</w:t>
            </w:r>
          </w:p>
        </w:tc>
        <w:tc>
          <w:tcPr>
            <w:tcW w:w="2266" w:type="dxa"/>
          </w:tcPr>
          <w:p w14:paraId="474AF1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2266" w:type="dxa"/>
          </w:tcPr>
          <w:p w14:paraId="0067D9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用于确定时间窗与派生Week 8/M6节点</w:t>
            </w:r>
          </w:p>
        </w:tc>
      </w:tr>
      <w:tr w14:paraId="1C04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89646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细菌学-平台</w:t>
            </w:r>
          </w:p>
        </w:tc>
        <w:tc>
          <w:tcPr>
            <w:tcW w:w="2266" w:type="dxa"/>
          </w:tcPr>
          <w:p w14:paraId="5E83199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检测平台（Xpert MTB/RIF 或 Xpert Ultra）；报告格式（Ct/半定量）</w:t>
            </w:r>
          </w:p>
        </w:tc>
        <w:tc>
          <w:tcPr>
            <w:tcW w:w="2266" w:type="dxa"/>
          </w:tcPr>
          <w:p w14:paraId="78690F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2266" w:type="dxa"/>
          </w:tcPr>
          <w:p w14:paraId="53CD96A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必填</w:t>
            </w:r>
          </w:p>
        </w:tc>
      </w:tr>
      <w:tr w14:paraId="52C8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7771D3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细菌学-原始结果</w:t>
            </w:r>
          </w:p>
        </w:tc>
        <w:tc>
          <w:tcPr>
            <w:tcW w:w="2266" w:type="dxa"/>
          </w:tcPr>
          <w:p w14:paraId="111AC2B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Ct数值（如有）；半定量等级（高/中/低/极低/trace）</w:t>
            </w:r>
          </w:p>
        </w:tc>
        <w:tc>
          <w:tcPr>
            <w:tcW w:w="2266" w:type="dxa"/>
          </w:tcPr>
          <w:p w14:paraId="7EAD5E8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数值/枚举</w:t>
            </w:r>
          </w:p>
        </w:tc>
        <w:tc>
          <w:tcPr>
            <w:tcW w:w="2266" w:type="dxa"/>
          </w:tcPr>
          <w:p w14:paraId="53FBADA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保留原始报告信息</w:t>
            </w:r>
          </w:p>
        </w:tc>
      </w:tr>
      <w:tr w14:paraId="7B4F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11A37F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细菌学-涂片</w:t>
            </w:r>
          </w:p>
        </w:tc>
        <w:tc>
          <w:tcPr>
            <w:tcW w:w="2266" w:type="dxa"/>
          </w:tcPr>
          <w:p w14:paraId="2D9E8E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AFB原始结果（+至++++ 或 0/1+/2+/3+）；折叠分级</w:t>
            </w:r>
          </w:p>
        </w:tc>
        <w:tc>
          <w:tcPr>
            <w:tcW w:w="2266" w:type="dxa"/>
          </w:tcPr>
          <w:p w14:paraId="071B0DF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文本/枚举</w:t>
            </w:r>
          </w:p>
        </w:tc>
        <w:tc>
          <w:tcPr>
            <w:tcW w:w="2266" w:type="dxa"/>
          </w:tcPr>
          <w:p w14:paraId="4B851C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建议保留原始文本</w:t>
            </w:r>
          </w:p>
        </w:tc>
      </w:tr>
      <w:tr w14:paraId="03F8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792543C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57E369E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70D922C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2D86C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E6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30096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培养（如适用）</w:t>
            </w:r>
          </w:p>
        </w:tc>
        <w:tc>
          <w:tcPr>
            <w:tcW w:w="2266" w:type="dxa"/>
          </w:tcPr>
          <w:p w14:paraId="05EAB1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培养结果：阳性/阴性/污染/缺失；报告日期</w:t>
            </w:r>
          </w:p>
        </w:tc>
        <w:tc>
          <w:tcPr>
            <w:tcW w:w="2266" w:type="dxa"/>
          </w:tcPr>
          <w:p w14:paraId="4DD24E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枚举/日期</w:t>
            </w:r>
          </w:p>
        </w:tc>
        <w:tc>
          <w:tcPr>
            <w:tcW w:w="2266" w:type="dxa"/>
          </w:tcPr>
          <w:p w14:paraId="2031A7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按研究方案要求执行</w:t>
            </w:r>
          </w:p>
        </w:tc>
      </w:tr>
      <w:tr w14:paraId="39FC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6830E1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糖代谢（HbA1c）</w:t>
            </w:r>
          </w:p>
        </w:tc>
        <w:tc>
          <w:tcPr>
            <w:tcW w:w="2266" w:type="dxa"/>
          </w:tcPr>
          <w:p w14:paraId="0BD1CBF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HbA1c值（%）；采血日期；来源（筛选/基线/病历/外院）；是否换算（是/否）；缺失原因</w:t>
            </w:r>
          </w:p>
        </w:tc>
        <w:tc>
          <w:tcPr>
            <w:tcW w:w="2266" w:type="dxa"/>
          </w:tcPr>
          <w:p w14:paraId="46621AC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数值/日期/枚举</w:t>
            </w:r>
          </w:p>
        </w:tc>
        <w:tc>
          <w:tcPr>
            <w:tcW w:w="2266" w:type="dxa"/>
          </w:tcPr>
          <w:p w14:paraId="5A4438C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用于随机分层与队列归类（HbA1cTier见派生字段）；按6.5时间窗执行</w:t>
            </w:r>
          </w:p>
        </w:tc>
      </w:tr>
      <w:tr w14:paraId="1744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77CCFCF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派生-基线</w:t>
            </w:r>
          </w:p>
        </w:tc>
        <w:tc>
          <w:tcPr>
            <w:tcW w:w="2266" w:type="dxa"/>
          </w:tcPr>
          <w:p w14:paraId="24FDDE7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XpertTier；SmearTier；Baseline BacillaryTier；ExtentTier；HbA1cTier；红旗（空洞&gt;4cm）；基线分层组合（3×2×2）；队列归类（Cohort A/B）</w:t>
            </w:r>
          </w:p>
        </w:tc>
        <w:tc>
          <w:tcPr>
            <w:tcW w:w="2266" w:type="dxa"/>
          </w:tcPr>
          <w:p w14:paraId="1791FDB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2266" w:type="dxa"/>
          </w:tcPr>
          <w:p w14:paraId="75DC53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由EDC自动派生（随机/分配前锁定）</w:t>
            </w:r>
          </w:p>
        </w:tc>
      </w:tr>
      <w:tr w14:paraId="4626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FE4664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Week 8（±1周）</w:t>
            </w:r>
          </w:p>
        </w:tc>
        <w:tc>
          <w:tcPr>
            <w:tcW w:w="2266" w:type="dxa"/>
          </w:tcPr>
          <w:p w14:paraId="7F2B029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症状清单逐项（仍存在/已消失）；AFB折叠分级；培养结果（如适用）；PCD（是/否）</w:t>
            </w:r>
          </w:p>
        </w:tc>
        <w:tc>
          <w:tcPr>
            <w:tcW w:w="2266" w:type="dxa"/>
          </w:tcPr>
          <w:p w14:paraId="5E0107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2266" w:type="dxa"/>
          </w:tcPr>
          <w:p w14:paraId="19B074D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用于早期反应表型与风险提示</w:t>
            </w:r>
          </w:p>
        </w:tc>
      </w:tr>
      <w:tr w14:paraId="2149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5C08A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质控标记</w:t>
            </w:r>
          </w:p>
        </w:tc>
        <w:tc>
          <w:tcPr>
            <w:tcW w:w="2266" w:type="dxa"/>
          </w:tcPr>
          <w:p w14:paraId="2666356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实验室不一致触发；影像不可判读；关键缺失；窗口外</w:t>
            </w:r>
          </w:p>
        </w:tc>
        <w:tc>
          <w:tcPr>
            <w:tcW w:w="2266" w:type="dxa"/>
          </w:tcPr>
          <w:p w14:paraId="2DF8743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是/否+原因</w:t>
            </w:r>
          </w:p>
        </w:tc>
        <w:tc>
          <w:tcPr>
            <w:tcW w:w="2266" w:type="dxa"/>
          </w:tcPr>
          <w:p w14:paraId="527B1C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用于追溯与敏感性分析</w:t>
            </w:r>
          </w:p>
        </w:tc>
      </w:tr>
    </w:tbl>
    <w:p w14:paraId="1628014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CD192C2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附录A：Week 8 结核相关症状清单（建议）</w:t>
      </w:r>
    </w:p>
    <w:p w14:paraId="568C3B7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建议采用“逐项评估 + 总体是否仍存在症状（w8_symptom_any）”的方式。以下任一症状仍存在，可记为“是”。</w:t>
      </w:r>
    </w:p>
    <w:p w14:paraId="3548550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咳嗽/咳痰（与治疗前相比无明显改善或仍影响日常）</w:t>
      </w:r>
    </w:p>
    <w:p w14:paraId="7A8BF79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发热（腋温≥37.3°C或临床判断持续低热）</w:t>
      </w:r>
    </w:p>
    <w:p w14:paraId="3FFF0C4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盗汗</w:t>
      </w:r>
    </w:p>
    <w:p w14:paraId="5D7B2C7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胸痛/呼吸困难</w:t>
      </w:r>
    </w:p>
    <w:p w14:paraId="10F07E1B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咯血</w:t>
      </w:r>
    </w:p>
    <w:p w14:paraId="24A72F4C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乏力/体重下降（以临床判断为主）</w:t>
      </w:r>
    </w:p>
    <w:p w14:paraId="34A75726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附录B：Baseline分层决策流程（文字版）</w:t>
      </w:r>
    </w:p>
    <w:p w14:paraId="681DB7D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1）收集Baseline实验室、影像与HbA1c字段（见第10节）。</w:t>
      </w:r>
    </w:p>
    <w:p w14:paraId="1AD8AF2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2）按6.2.2将Xpert/Ultra结果折叠为XpertTier（高/中/低）。</w:t>
      </w:r>
    </w:p>
    <w:p w14:paraId="348A1FE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3）按6.2.3将AFB结果折叠为SmearTier（高/中/低）。</w:t>
      </w:r>
    </w:p>
    <w:p w14:paraId="1512DB1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4）计算Baseline BacillaryTier = max(XpertTier, SmearTier)。</w:t>
      </w:r>
    </w:p>
    <w:p w14:paraId="0820A47C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5）按6.3.2判定ExtentTier（Extensive/Limited），并按6.3.3标记红旗。</w:t>
      </w:r>
    </w:p>
    <w:p w14:paraId="48F6F80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6）按6.5生成HbA1cTier（较好控制/较差控制）。</w:t>
      </w:r>
    </w:p>
    <w:p w14:paraId="072014A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7）在随机系统中使用中心 + BacillaryTier + ExtentTier + HbA1cTier作为分层因子，并据6.4进行队列归类。</w:t>
      </w:r>
    </w:p>
    <w:p w14:paraId="38668EF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8）如出现不可判读或关键缺失，按第9节流程处理后方可随机/分配。</w:t>
      </w:r>
    </w:p>
    <w:p w14:paraId="53D31DAC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附录C：常见问题与处理原则（摘选）</w:t>
      </w:r>
    </w:p>
    <w:p w14:paraId="5EA659C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仅有Xpert半定量、无Ct：按6.2.2折叠即可；无需强行换算Ct。</w:t>
      </w:r>
    </w:p>
    <w:p w14:paraId="578F4D0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Ultra报告trace：细菌负荷按低负荷折叠，但必须标记“trace复核=是”；如与临床不符，按9.1触发复核。</w:t>
      </w:r>
    </w:p>
    <w:p w14:paraId="627A68C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AFB高负荷而Xpert低负荷：分层按高负荷执行，同时触发实验室复核；不得因“疑似异常”而降级分层。</w:t>
      </w:r>
    </w:p>
    <w:p w14:paraId="652DE0A3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CXR与CT对空洞判读不一致：Baseline分层以CXR为准；CT差异作为补充记录，必要时提交中心阅片仲裁。</w:t>
      </w:r>
    </w:p>
    <w:p w14:paraId="4EEE2426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11. 版本管理与修订记录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84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D2E9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2266" w:type="dxa"/>
          </w:tcPr>
          <w:p w14:paraId="55168C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2266" w:type="dxa"/>
          </w:tcPr>
          <w:p w14:paraId="7D75A7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修订说明</w:t>
            </w:r>
          </w:p>
        </w:tc>
        <w:tc>
          <w:tcPr>
            <w:tcW w:w="2266" w:type="dxa"/>
          </w:tcPr>
          <w:p w14:paraId="6EC36F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</w:tr>
      <w:tr w14:paraId="72A7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78FF15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  <w:tc>
          <w:tcPr>
            <w:tcW w:w="2266" w:type="dxa"/>
          </w:tcPr>
          <w:p w14:paraId="4DAF3F7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2026-02-06</w:t>
            </w:r>
          </w:p>
        </w:tc>
        <w:tc>
          <w:tcPr>
            <w:tcW w:w="2266" w:type="dxa"/>
          </w:tcPr>
          <w:p w14:paraId="63A1723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首次发布。</w:t>
            </w:r>
          </w:p>
        </w:tc>
        <w:tc>
          <w:tcPr>
            <w:tcW w:w="2266" w:type="dxa"/>
          </w:tcPr>
          <w:p w14:paraId="1848C2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6B3D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1AC4AA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V1.1</w:t>
            </w:r>
          </w:p>
        </w:tc>
        <w:tc>
          <w:tcPr>
            <w:tcW w:w="2266" w:type="dxa"/>
          </w:tcPr>
          <w:p w14:paraId="42A62A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2026-03-04</w:t>
            </w:r>
          </w:p>
        </w:tc>
        <w:tc>
          <w:tcPr>
            <w:tcW w:w="2266" w:type="dxa"/>
          </w:tcPr>
          <w:p w14:paraId="77759D3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按研究方案V2.0更新：补充HbA1c分层（6.5）并纳入随机分层/队列归类；修订SmearTier口径（≥1+不再归低负荷）；更新队列B门槛评估的SOP02引用与EDC字段。</w:t>
            </w:r>
          </w:p>
        </w:tc>
        <w:tc>
          <w:tcPr>
            <w:tcW w:w="2266" w:type="dxa"/>
          </w:tcPr>
          <w:p w14:paraId="079E23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</w:tbl>
    <w:p w14:paraId="6CB0BD05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945B7C"/>
    <w:rsid w:val="52DC04F6"/>
    <w:rsid w:val="71F9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1620</Words>
  <Characters>2466</Characters>
  <Lines>0</Lines>
  <Paragraphs>0</Paragraphs>
  <TotalTime>18</TotalTime>
  <ScaleCrop>false</ScaleCrop>
  <LinksUpToDate>false</LinksUpToDate>
  <CharactersWithSpaces>2539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2026-03-10T07:58:20Z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eyJoZGlkIjoiZTZhZjNkZDJlNGNjYTE3NWQwMTVkOGZkY2NmNjU4OWEiLCJ1c2VySWQiOiIyMDkyMjY1MzMifQ==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CC2C6802883A4B8EBDBD049A09E3823E_12</vt:lpwstr>
  </property>
</Properties>
</file>