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7B2D6">
      <w:pPr>
        <w:pStyle w:val="31"/>
        <w:widowControl/>
      </w:pPr>
      <w:r>
        <w:t>TDSC 研究标准操作规程（SOP）</w:t>
      </w:r>
    </w:p>
    <w:p w14:paraId="5E2CE608">
      <w:pPr>
        <w:jc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</w:rPr>
        <w:t>SOP01：患者分层工具包</w:t>
      </w:r>
    </w:p>
    <w:p w14:paraId="613EAE9B">
      <w:pPr>
        <w:pStyle w:val="31"/>
        <w:widowControl/>
      </w:pPr>
      <w:r>
        <w:t>Patient Stratification Toolkit</w:t>
      </w:r>
    </w:p>
    <w:p w14:paraId="3B941210">
      <w:pPr>
        <w:rPr>
          <w:rFonts w:hint="default" w:ascii="Times New Roman" w:hAnsi="Times New Roman" w:eastAsia="宋体" w:cs="Times New Roman"/>
          <w:sz w:val="24"/>
          <w:szCs w:val="24"/>
        </w:rPr>
      </w:pP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1"/>
        <w:gridCol w:w="4641"/>
      </w:tblGrid>
      <w:tr w14:paraId="47546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0822CCDA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受控文件编号</w:t>
            </w:r>
          </w:p>
        </w:tc>
        <w:tc>
          <w:tcPr>
            <w:tcW w:w="2500" w:type="pct"/>
          </w:tcPr>
          <w:p w14:paraId="77631226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TDSC-SOP-01</w:t>
            </w:r>
          </w:p>
        </w:tc>
      </w:tr>
      <w:tr w14:paraId="7E627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5A514E39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版本</w:t>
            </w:r>
          </w:p>
        </w:tc>
        <w:tc>
          <w:tcPr>
            <w:tcW w:w="2500" w:type="pct"/>
          </w:tcPr>
          <w:p w14:paraId="ABD2F22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V1.2</w:t>
            </w:r>
          </w:p>
        </w:tc>
      </w:tr>
      <w:tr w14:paraId="402F4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4574795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生效日期</w:t>
            </w:r>
          </w:p>
        </w:tc>
        <w:tc>
          <w:tcPr>
            <w:tcW w:w="2500" w:type="pct"/>
          </w:tcPr>
          <w:p w14:paraId="837692B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2026-03-10</w:t>
            </w:r>
          </w:p>
        </w:tc>
      </w:tr>
      <w:tr w14:paraId="74586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4C3AE8BB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适用研究</w:t>
            </w:r>
          </w:p>
        </w:tc>
        <w:tc>
          <w:tcPr>
            <w:tcW w:w="2500" w:type="pct"/>
          </w:tcPr>
          <w:p w14:paraId="2907D4DC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TDSC（TB-Diabetes Short Course）Study</w:t>
            </w:r>
          </w:p>
        </w:tc>
      </w:tr>
      <w:tr w14:paraId="64789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4C2CDE52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对应研究方案</w:t>
            </w:r>
          </w:p>
        </w:tc>
        <w:tc>
          <w:tcPr>
            <w:tcW w:w="2500" w:type="pct"/>
          </w:tcPr>
          <w:p w14:paraId="4DF8426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TDSC 研究方案 V2.0（2026-02-28）</w:t>
            </w:r>
          </w:p>
        </w:tc>
      </w:tr>
      <w:tr w14:paraId="6377C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656FE842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起草</w:t>
            </w:r>
          </w:p>
        </w:tc>
        <w:tc>
          <w:tcPr>
            <w:tcW w:w="2500" w:type="pct"/>
          </w:tcPr>
          <w:p w14:paraId="4586BA0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____________</w:t>
            </w:r>
          </w:p>
        </w:tc>
      </w:tr>
      <w:tr w14:paraId="380D9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37FE329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审核</w:t>
            </w:r>
          </w:p>
        </w:tc>
        <w:tc>
          <w:tcPr>
            <w:tcW w:w="2500" w:type="pct"/>
          </w:tcPr>
          <w:p w14:paraId="169FB59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____________</w:t>
            </w:r>
          </w:p>
        </w:tc>
      </w:tr>
      <w:tr w14:paraId="14122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0BBE1153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批准</w:t>
            </w:r>
          </w:p>
        </w:tc>
        <w:tc>
          <w:tcPr>
            <w:tcW w:w="2500" w:type="pct"/>
          </w:tcPr>
          <w:p w14:paraId="5C2F563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____________</w:t>
            </w:r>
          </w:p>
        </w:tc>
      </w:tr>
    </w:tbl>
    <w:p w14:paraId="4E3E6BB7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76994229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目的</w:t>
      </w:r>
    </w:p>
    <w:p w14:paraId="1F27AC39">
      <w:pPr>
        <w:pStyle w:val="19"/>
        <w:widowControl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b w:val="0"/>
          <w:sz w:val="24"/>
        </w:rPr>
        <w:t>建立一套可在多中心临床试验中直接执行的肺结核（pulmonary tuberculosis, PTB）患者分层工具包与操作流程，用于：</w:t>
      </w:r>
    </w:p>
    <w:p w14:paraId="34B3AAF7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入组/随机前（Baseline）的风险分层与随机分层因子设定；</w:t>
      </w:r>
    </w:p>
    <w:p w14:paraId="2CAD10DE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治疗开始后的早期反应分层（On-treatment），用于风险提示、动态校正与预设亚组分析；</w:t>
      </w:r>
    </w:p>
    <w:p w14:paraId="231883B7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保证跨中心实验室与影像判读的一致性，降低系统性偏倚。</w:t>
      </w:r>
    </w:p>
    <w:p w14:paraId="728836FA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适用范围</w:t>
      </w:r>
    </w:p>
    <w:p w14:paraId="4409A028">
      <w:pPr>
        <w:pStyle w:val="19"/>
        <w:widowControl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b w:val="0"/>
          <w:sz w:val="24"/>
        </w:rPr>
        <w:t>本SOP适用于TDSC研究（TB-DM人群结核病短程治疗方案研究）及同类以药物治疗为核心的PTB临床试验，尤其适用于：</w:t>
      </w:r>
    </w:p>
    <w:p w14:paraId="01B252E3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分中心Xpert报告格式不一致（Ct值/半定量等级/平台差异）；</w:t>
      </w:r>
    </w:p>
    <w:p w14:paraId="50DF57AE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同时获取Xpert/Ultra与抗酸染色（AFB）结果，需要保守合并判定；</w:t>
      </w:r>
    </w:p>
    <w:p w14:paraId="31E00776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以胸片（CXR）为主要影像分层依据，胸部CT作为辅助信息。</w:t>
      </w:r>
    </w:p>
    <w:p w14:paraId="1E096A0A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术语与缩略语</w:t>
      </w:r>
    </w:p>
    <w:p w14:paraId="2B9B8692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AFB：抗酸杆菌涂片。</w:t>
      </w:r>
    </w:p>
    <w:p w14:paraId="4EF0FB2F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CXR：胸部X线片（胸片）。</w:t>
      </w:r>
    </w:p>
    <w:p w14:paraId="5582D2E3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CT：胸部计算机断层扫描（本SOP仅作为补充记录）。</w:t>
      </w:r>
    </w:p>
    <w:p w14:paraId="713F0985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Ralph score：基于胸片病变范围与空洞情况评估肺结核影像严重程度的评分工具。</w:t>
      </w:r>
    </w:p>
    <w:p w14:paraId="4A1EB4DD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AFB原始分级：指实验室原始报告的抗酸染色分级，可为国内0/1/2/3/4、国内“报告菌数”、国际0/scanty/1+/2+/3+，或“+至++++”等形式。</w:t>
      </w:r>
    </w:p>
    <w:p w14:paraId="7429FD5E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AFBSeverity（2级）：将AFB原始结果折叠为0–2与3–4两档，对应较低/较高涂片菌量。</w:t>
      </w:r>
    </w:p>
    <w:p w14:paraId="A0595EED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Xpert：GeneXpert MTB/RIF；Ultra：GeneXpert MTB/RIF Ultra。</w:t>
      </w:r>
    </w:p>
    <w:p w14:paraId="7BEA0CBC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Ct：循环阈值（cycle threshold）。</w:t>
      </w:r>
    </w:p>
    <w:p w14:paraId="B25E7D5E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Bacteriological Severity（二级）：基于Xpert Ultra Ct值与AFB分级综合判定的痰菌阳性度严重程度（轻/重）。</w:t>
      </w:r>
    </w:p>
    <w:p w14:paraId="B035C7FE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Imaging Severity（二级）：基于Ralph score与空洞有无判定的胸片影像严重程度（轻/重）。</w:t>
      </w:r>
    </w:p>
    <w:p w14:paraId="1887F620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SeverityLayer（二级）：综合痰菌阳性度与胸片影像严重程度后判定的患者分层（轻症/重症）。</w:t>
      </w:r>
    </w:p>
    <w:p w14:paraId="46FB6771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Red flag：高风险提示变量（如最大空洞径&gt;4 cm）。</w:t>
      </w:r>
    </w:p>
    <w:p w14:paraId="6C008B46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PCD（Persistent Clinical Disease）：Week 8时症状仍存在且涂片仍阳性。</w:t>
      </w:r>
    </w:p>
    <w:p w14:paraId="0D6967E4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PPTR（Possible Poor Treatment Response）：研究者怀疑疗效欠佳并考虑调整/延长/重启治疗的情形。</w:t>
      </w:r>
    </w:p>
    <w:p w14:paraId="46684F4A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职责分工</w:t>
      </w:r>
    </w:p>
    <w:p w14:paraId="5A821AFD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主要研究者（PI）：批准分层规则与版本更新；对关键判定争议进行最终裁决。</w:t>
      </w:r>
    </w:p>
    <w:p w14:paraId="04ECB34F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分中心研究医生/CRC：按时间窗完成标本采集、结果录入与缺失补采；执行本SOP的质控触发与追溯。</w:t>
      </w:r>
    </w:p>
    <w:p w14:paraId="2B1B7603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实验室：按统一要求报告检测平台、报告格式与原始结果；对“不一致”情形进行复核。</w:t>
      </w:r>
    </w:p>
    <w:p w14:paraId="076E9863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影像科/中心阅片组：按统一空洞与范围定义进行判读；必要时进行双人阅片与仲裁。</w:t>
      </w:r>
    </w:p>
    <w:p w14:paraId="2607EFB6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数据管理（DM）：在EDC中实现派生变量与逻辑校验；生成分层报表与缺失/异常清单；负责随机前关键分层字段锁定。</w:t>
      </w:r>
    </w:p>
    <w:p w14:paraId="7C0401EA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中心研究临床医生（如设定）：对PPTR病例进行讨论并给出处置建议；协调必要的专家仲裁。</w:t>
      </w:r>
    </w:p>
    <w:p w14:paraId="2F74B6B2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所需资料与工具</w:t>
      </w:r>
    </w:p>
    <w:p w14:paraId="3FBB0E98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实验室：Xpert Ultra结果（优先记录Ct值；如仅报告半定量等级亦需保留原始结果），AFB涂片原始分级〔可为国内0/1/2/3/4、国内“报告菌数”、国际0/scanty/1+/2+/3+，或“+至++++”〕；培养结果（如研究方案要求）。</w:t>
      </w:r>
    </w:p>
    <w:p w14:paraId="90F71F85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影像学：基线CXR（必需，用于计算Ralph score并判定空洞）；胸部CT（可选，作为补充，不作为主分层口径）。</w:t>
      </w:r>
    </w:p>
    <w:p w14:paraId="26B74F72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EDC/eCRF：需包含第10节字段字典所列原始字段与派生字段，并具备逻辑核查与审计追踪。</w:t>
      </w:r>
    </w:p>
    <w:p w14:paraId="B50866BB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统一判读材料：Ralph score评分说明、空洞判读示例、症状清单、质控触发与处理记录表。</w:t>
      </w:r>
    </w:p>
    <w:p w14:paraId="4C2A4D8A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入组时患者分层（Baseline）</w:t>
      </w:r>
    </w:p>
    <w:p w14:paraId="46209715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b/>
        </w:rPr>
      </w:pPr>
      <w:r>
        <w:t>时间窗</w:t>
      </w:r>
    </w:p>
    <w:p w14:paraId="2217B529">
      <w:pPr>
        <w:pStyle w:val="19"/>
        <w:widowControl/>
        <w:rPr>
          <w:rFonts w:ascii="Times New Roman" w:hAnsi="Calibri" w:eastAsia="宋体" w:cs="Times New Roman"/>
          <w:b w:val="0"/>
          <w:sz w:val="24"/>
        </w:rPr>
      </w:pPr>
      <w:r>
        <w:rPr>
          <w:rFonts w:ascii="Times New Roman" w:hAnsi="Calibri" w:eastAsia="宋体" w:cs="Times New Roman"/>
          <w:b w:val="0"/>
          <w:sz w:val="24"/>
        </w:rPr>
        <w:t>基线分层信息建议在首次给药前完成采集。若存在滞后，允许使用首次给药前7天内获得的最近一次结果（以采样日期为准）。</w:t>
      </w:r>
    </w:p>
    <w:p w14:paraId="1D21CEEB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b/>
        </w:rPr>
      </w:pPr>
      <w:r>
        <w:t>痰菌阳性度轴：Xpert Ultra与AFB的统一记录、换算与判定</w:t>
      </w:r>
    </w:p>
    <w:p w14:paraId="0A47AED4">
      <w:pPr>
        <w:pStyle w:val="19"/>
        <w:widowControl/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本SOP采用“重症优先、原始结果留痕”原则：患者分层优先使用Xpert Ultra的Ct值与AFB原始分级；如两者同时存在，则任一指标达到重症阈值即可判定为痰菌阳性度重，不得因另一指标较轻而降级。</w:t>
      </w:r>
    </w:p>
    <w:p w14:paraId="178196F0">
      <w:pPr>
        <w:pStyle w:val="5"/>
        <w:widowControl/>
        <w:numPr>
          <w:ilvl w:val="0"/>
          <w:numId w:val="9"/>
        </w:numPr>
        <w:ind w:left="0" w:leftChars="0" w:firstLine="0" w:firstLineChars="0"/>
        <w:rPr>
          <w:b/>
        </w:rPr>
      </w:pPr>
      <w:r>
        <w:t>记录检测平台与报告格式（必填）</w:t>
      </w:r>
    </w:p>
    <w:p w14:paraId="E4527A9F">
      <w:pPr>
        <w:pStyle w:val="19"/>
        <w:widowControl/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检测平台：优先记录Xpert Ultra；如中心使用Xpert MTB/RIF，也应原样记录平台名称。</w:t>
      </w:r>
    </w:p>
    <w:p w14:paraId="F90F73B6">
      <w:pPr>
        <w:pStyle w:val="19"/>
        <w:widowControl/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报告格式：是否报告Ct值；是否报告半定量等级；AFB是否采用国内或国际分级体系。</w:t>
      </w:r>
    </w:p>
    <w:p w14:paraId="DBF76D62">
      <w:pPr>
        <w:pStyle w:val="19"/>
        <w:widowControl/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原始结果：如有Ct须录入数值；如无Ct则录入半定量等级；AFB需保留原始报告文本。</w:t>
      </w:r>
    </w:p>
    <w:p w14:paraId="1C9266E2">
      <w:pPr>
        <w:pStyle w:val="5"/>
        <w:widowControl/>
        <w:numPr>
          <w:ilvl w:val="0"/>
          <w:numId w:val="9"/>
        </w:numPr>
        <w:ind w:left="0" w:leftChars="0" w:firstLine="0" w:firstLineChars="0"/>
        <w:rPr>
          <w:b/>
        </w:rPr>
      </w:pPr>
      <w:r>
        <w:t>Xpert Ultra Ct值判定规则</w:t>
      </w:r>
    </w:p>
    <w:p w14:paraId="52BDC9DC">
      <w:pPr>
        <w:pStyle w:val="19"/>
        <w:widowControl/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轻度痰菌负荷：Xpert Ultra Ct值＞30。</w:t>
      </w:r>
    </w:p>
    <w:p w14:paraId="0DD6C4AD">
      <w:pPr>
        <w:pStyle w:val="19"/>
        <w:widowControl/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重度痰菌负荷：Xpert Ultra Ct值≤30。</w:t>
      </w:r>
    </w:p>
    <w:p w14:paraId="1FCC1EA5">
      <w:pPr>
        <w:pStyle w:val="19"/>
        <w:widowControl/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如仅有半定量等级而无Ct值，应保留原始结果并提交中心核查；在随机/分层前无法换算或核实时，按保守原则不以“轻症”判定。</w:t>
      </w:r>
    </w:p>
    <w:p w14:paraId="103CC6C9">
      <w:pPr>
        <w:pStyle w:val="5"/>
        <w:widowControl/>
        <w:numPr>
          <w:ilvl w:val="0"/>
          <w:numId w:val="9"/>
        </w:numPr>
        <w:ind w:left="0" w:leftChars="0" w:firstLine="0" w:firstLineChars="0"/>
        <w:rPr>
          <w:b/>
        </w:rPr>
      </w:pPr>
      <w:r>
        <w:t>AFB原始分级、国内外对应关系与本SOP折叠规则</w:t>
      </w:r>
    </w:p>
    <w:p w14:paraId="B50F13CB">
      <w:pPr>
        <w:pStyle w:val="19"/>
        <w:widowControl/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两套抗酸染色分级体系在低菌量区间的切点并不完全一致，而且国内标准还保留了一个“报告菌数（1–8条/300视野）”的过渡层。</w:t>
      </w:r>
    </w:p>
    <w:p w14:paraId="E5CEB159">
      <w:pPr>
        <w:pStyle w:val="19"/>
        <w:widowControl/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若按萋-尼氏染色（Ziehl–Neelsen, ZN）、油镜读片来比较，国内标准为：阴性=300视野未见；报告菌数=1–8条/300视野；1=3–9条/100视野；2=1–9条/10视野；3=1–9条/每视野；4=≥10条/每视野。国际常用WHO/IUATLD体系通常写作：阴性、scanty/rare、1+、2+、3+；其阈值大致为0/100视野、1–9条/100视野、10–99条/100视野、1–10条/每视野、&gt;10条/每视野。国际上的scanty/rare（痕量）大致相当于中国分级体系中的极低度阳性涂片，涵盖中国标准中的“报告菌数”类别以及中国1的一部分；中国的2、3和4则大致分别对应国际标准中的1+、2+和3+。</w:t>
      </w:r>
    </w:p>
    <w:p w14:paraId="3E661218">
      <w:pPr>
        <w:pStyle w:val="19"/>
        <w:widowControl/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在本SOP中，为便于与“轻症/重症”分层衔接，AFB原始结果按二级折叠：</w:t>
      </w:r>
    </w:p>
    <w:p w14:paraId="137C79F3">
      <w:pPr>
        <w:pStyle w:val="19"/>
        <w:widowControl/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国内0–2（大致对应国际0、scanty/rare、1+）归为较低涂片菌量；国内3–4（大致对应国际2+、3+）归为较高涂片菌量。</w:t>
      </w:r>
    </w:p>
    <w:p w14:paraId="CA18B2E8">
      <w:pPr>
        <w:pStyle w:val="19"/>
        <w:widowControl/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若原始报告为“+至++++”，原则上“+、+</w:t>
      </w:r>
      <w:bookmarkStart w:id="0" w:name="_GoBack"/>
      <w:bookmarkEnd w:id="0"/>
      <w:r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+”按较低涂片菌量处理，“+++、++++”按较高涂片菌量处理；如报告为“报告菌数”，归入较低涂片菌量。</w:t>
      </w:r>
    </w:p>
    <w:p w14:paraId="3A2D58EF">
      <w:pPr>
        <w:pStyle w:val="19"/>
        <w:widowControl/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建议在EDC中同时保留AFB原始报告文本、所用分级体系（国内/国际/其他）及折叠后的AFBSeverity。</w:t>
      </w:r>
    </w:p>
    <w:p w14:paraId="3F9B1F58">
      <w:pPr>
        <w:pStyle w:val="5"/>
        <w:widowControl/>
        <w:numPr>
          <w:ilvl w:val="0"/>
          <w:numId w:val="9"/>
        </w:numPr>
        <w:ind w:left="0" w:leftChars="0" w:firstLine="0" w:firstLineChars="0"/>
        <w:rPr>
          <w:b/>
        </w:rPr>
      </w:pPr>
      <w:r>
        <w:t>痰菌阳性度严重程度（Bacteriological Severity）判定</w:t>
      </w:r>
    </w:p>
    <w:p w14:paraId="5599DE7A">
      <w:pPr>
        <w:pStyle w:val="19"/>
        <w:widowControl/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若同时具有Xpert Ultra Ct值和AFB结果：仅当Ct值＞30且AFB为国内0–2（或对应国际0/scanty/1+）时，判定为“痰菌阳性度轻”；任一指标达到Ct值≤30或AFB 3–4（或对应国际2+/3+）时，判定为“痰菌阳性度重”。</w:t>
      </w:r>
    </w:p>
    <w:p w14:paraId="7150D72B">
      <w:pPr>
        <w:pStyle w:val="19"/>
        <w:widowControl/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若仅有一项指标：该指标达到重症阈值时判定为“痰菌阳性度重”；仅当该指标明确满足轻症阈值且无相反重症证据时，方可判定为“痰菌阳性度轻”。</w:t>
      </w:r>
    </w:p>
    <w:p w14:paraId="CA52A087">
      <w:pPr>
        <w:pStyle w:val="19"/>
        <w:widowControl/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若关键细菌学信息缺失、不可判读或存在重大不一致，须在随机/分层前完成复核；未完成前按保守原则不归入轻症。</w:t>
      </w:r>
    </w:p>
    <w:p w14:paraId="91644D52">
      <w:pPr>
        <w:pStyle w:val="19"/>
        <w:widowControl/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示例：Ct=32且AFB=2 → 痰菌阳性度轻；Ct=34但AFB=4 → 痰菌阳性度重；Ct缺失而AFB=3 → 痰菌阳性度重。</w:t>
      </w:r>
    </w:p>
    <w:p w14:paraId="1D18CD1D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b/>
        </w:rPr>
      </w:pPr>
      <w:r>
        <w:t>胸片影像严重程度轴：Ralph score与空洞（以CXR为准）</w:t>
      </w:r>
    </w:p>
    <w:p w14:paraId="44036C8D">
      <w:pPr>
        <w:pStyle w:val="19"/>
        <w:widowControl/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为保证跨中心可比性与全球可推广性，本SOP规定：Baseline分层的影像口径以CXR为主；CT信息仅作补充记录。若CXR不可判读，应优先复拍；无法复拍时提交中心阅片组裁定。</w:t>
      </w:r>
    </w:p>
    <w:p w14:paraId="F8C527FC">
      <w:pPr>
        <w:pStyle w:val="5"/>
        <w:widowControl/>
        <w:numPr>
          <w:ilvl w:val="0"/>
          <w:numId w:val="10"/>
        </w:numPr>
        <w:ind w:left="0" w:leftChars="0" w:firstLine="0" w:firstLineChars="0"/>
        <w:rPr>
          <w:b/>
        </w:rPr>
      </w:pPr>
      <w:r>
        <w:t>CXR判读要素（必填）</w:t>
      </w:r>
    </w:p>
    <w:p w14:paraId="1E603C4C">
      <w:pPr>
        <w:pStyle w:val="19"/>
        <w:widowControl/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Ralph score：记录数值及评分日期。</w:t>
      </w:r>
    </w:p>
    <w:p w14:paraId="1D75DDBB">
      <w:pPr>
        <w:pStyle w:val="19"/>
        <w:widowControl/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空洞（cavity）有无：是/否/不可判读。</w:t>
      </w:r>
    </w:p>
    <w:p w14:paraId="4BBFD09A">
      <w:pPr>
        <w:pStyle w:val="19"/>
        <w:widowControl/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最大空洞径：cm（如多发空洞记录最大者；无空洞则置空）。</w:t>
      </w:r>
    </w:p>
    <w:p w14:paraId="46385871">
      <w:pPr>
        <w:pStyle w:val="19"/>
        <w:widowControl/>
        <w:rPr>
          <w:rFonts w:hint="default"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44C9FF73">
      <w:pPr>
        <w:pStyle w:val="19"/>
        <w:widowControl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为兼容 TDSC 的嵌套影像学子研究，建议在不改变母研究运行规则的前提下，于 EDC 同步结构化采集以下原始字段：PLI 原始分区或总 PLI、空洞数量、最大空洞径、单双侧以及单发/多发。上述字段主要用于发表性研究与增量分析，不替代本 SOP 的实时分层判定。</w:t>
      </w:r>
    </w:p>
    <w:p w14:paraId="969A7B2D">
      <w:pPr>
        <w:pStyle w:val="5"/>
        <w:widowControl/>
        <w:numPr>
          <w:ilvl w:val="0"/>
          <w:numId w:val="10"/>
        </w:numPr>
        <w:ind w:left="0" w:leftChars="0" w:firstLine="0" w:firstLineChars="0"/>
        <w:rPr>
          <w:b/>
        </w:rPr>
      </w:pPr>
      <w:r>
        <w:t>影像严重程度（Imaging Severity）判定规则</w:t>
      </w:r>
    </w:p>
    <w:p w14:paraId="BEA9311D">
      <w:pPr>
        <w:pStyle w:val="19"/>
        <w:widowControl/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影像轻：Ralph score＜30且无肺部空洞。</w:t>
      </w:r>
    </w:p>
    <w:p w14:paraId="A3E1CFE0">
      <w:pPr>
        <w:pStyle w:val="19"/>
        <w:widowControl/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影像重：Ralph score≥30，或存在任何可见肺部空洞。</w:t>
      </w:r>
    </w:p>
    <w:p w14:paraId="0A7F110F">
      <w:pPr>
        <w:pStyle w:val="5"/>
        <w:widowControl/>
        <w:numPr>
          <w:ilvl w:val="0"/>
          <w:numId w:val="10"/>
        </w:numPr>
        <w:ind w:left="0" w:leftChars="0" w:firstLine="0" w:firstLineChars="0"/>
        <w:rPr>
          <w:b/>
        </w:rPr>
      </w:pPr>
      <w:r>
        <w:t>红旗变量（Red flags）</w:t>
      </w:r>
    </w:p>
    <w:p w14:paraId="F50E83FA">
      <w:pPr>
        <w:pStyle w:val="19"/>
        <w:widowControl/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最大空洞径&gt;4 cm：自动标记为“红旗=是”，用于风险提示与加强随访。</w:t>
      </w:r>
    </w:p>
    <w:p w14:paraId="ECB784EA">
      <w:pPr>
        <w:pStyle w:val="19"/>
        <w:widowControl/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影像质量不足、Ralph score缺失或空洞状态不可判读：需在48小时内复拍或补评；无法完成者提交中心阅片组裁定并记录。</w:t>
      </w:r>
    </w:p>
    <w:p w14:paraId="9E6614D5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b/>
        </w:rPr>
      </w:pPr>
      <w:r>
        <w:t>TDSC研究中的使用方式（母研究运行口径）</w:t>
      </w:r>
    </w:p>
    <w:p w14:paraId="2544E13E">
      <w:pPr>
        <w:pStyle w:val="19"/>
        <w:widowControl/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当前 TDSC 母研究的官方基线队列分配工具为专家规则型工具，核心整合两条主轴：痰菌阳性度严重程度与胸片影像严重程度。</w:t>
      </w:r>
    </w:p>
    <w:p w14:paraId="3EAF4895">
      <w:pPr>
        <w:pStyle w:val="19"/>
        <w:widowControl/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本 SOP 中的 Bacteriological Severity、Imaging Severity 与 SeverityLayer 属于母研究运行工具（trial operations tool），用于基线分层、队列分配、随机化实施和 EDC 留痕，其目的在于保证跨中心可复制、可核查、可审计。</w:t>
      </w:r>
    </w:p>
    <w:p w14:paraId="0B5DD7DD">
      <w:pPr>
        <w:pStyle w:val="19"/>
        <w:widowControl/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随机化分层因素统一为：研究中心 + 菌负荷层级 + 影像范围层级 + HbA1c 分层；其具体阈值与映射规则以 Randomization Specification 与 SAP 锁定版本为准。</w:t>
      </w:r>
    </w:p>
    <w:p w14:paraId="7BC1755F">
      <w:pPr>
        <w:pStyle w:val="19"/>
        <w:widowControl/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轻症/重症判定仍依本 SOP 的操作规则执行。HbA1c 不参与轻症/重症定义，也不参与队列B第6月微生物学安全门槛（Hard Gate）判定。</w:t>
      </w:r>
    </w:p>
    <w:p w14:paraId="57FA7F19">
      <w:pPr>
        <w:pStyle w:val="19"/>
        <w:widowControl/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为避免概念混淆，基于 CXR 的嵌套影像学子研究可进一步使用 PLI 与空洞二维框架开展发表性分析，但不替代本 SOP 的实时分层规则。</w:t>
      </w:r>
    </w:p>
    <w:p w14:paraId="217A8E91">
      <w:pPr>
        <w:pStyle w:val="19"/>
        <w:widowControl/>
        <w:numPr>
          <w:ilvl w:val="0"/>
          <w:numId w:val="11"/>
        </w:numPr>
        <w:topLinePunct w:val="0"/>
        <w:ind w:left="0" w:leftChars="0" w:firstLine="0" w:firstLineChars="0"/>
        <w:rPr>
          <w:rFonts w:hint="eastAsia" w:ascii="宋体" w:hAnsi="宋体" w:eastAsia="宋体" w:cs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Calibri" w:eastAsia="宋体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轻症定义（需同时满足所有条件）：</w:t>
      </w:r>
    </w:p>
    <w:p w14:paraId="664C0BB4">
      <w:pPr>
        <w:pStyle w:val="19"/>
        <w:widowControl/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① Xpert Ultra Ct值＞30；如同时有AFB结果，则AFB分级为0–2；② Ralph score＜30；③ 无肺部空洞。</w:t>
      </w:r>
    </w:p>
    <w:p w14:paraId="96B8B91D">
      <w:pPr>
        <w:pStyle w:val="19"/>
        <w:widowControl/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如无AFB结果，但Xpert Ultra Ct值＞30、Ralph score＜30且无肺部空洞，并且无其他重症证据时，可判定为轻症；如关键指标缺失或不可判读，则不得直接归入轻症。</w:t>
      </w:r>
    </w:p>
    <w:p w14:paraId="5EC562B7">
      <w:pPr>
        <w:pStyle w:val="19"/>
        <w:widowControl/>
        <w:numPr>
          <w:ilvl w:val="0"/>
          <w:numId w:val="11"/>
        </w:numPr>
        <w:topLinePunct w:val="0"/>
        <w:ind w:left="0" w:leftChars="0" w:firstLine="0" w:firstLineChars="0"/>
        <w:rPr>
          <w:rFonts w:hint="eastAsia" w:ascii="宋体" w:hAnsi="宋体" w:eastAsia="宋体" w:cs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Calibri" w:eastAsia="宋体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重症定义：满足以下任一条件即可判定为重症</w:t>
      </w:r>
      <w:r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——Xpert Ultra Ct值≤30，或AFB分级3–4，或Ralph score≥30，或肺部有空洞。</w:t>
      </w:r>
    </w:p>
    <w:p w14:paraId="3A9F8E00">
      <w:pPr>
        <w:pStyle w:val="19"/>
        <w:widowControl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如影像/细菌学存在“不可判读”或重大不一致，应在随机/分配前完成复核或提交中心仲裁，并保留原始记录与最终裁定；未完成前按保守原则按重症处理。</w:t>
      </w:r>
    </w:p>
    <w:p w14:paraId="C2A05B29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b/>
        </w:rPr>
      </w:pPr>
      <w:r>
        <w:t>缺失、不一致与保守判定规则</w:t>
      </w:r>
    </w:p>
    <w:p w14:paraId="D04593F5">
      <w:pPr>
        <w:pStyle w:val="19"/>
        <w:widowControl/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为保证轻症/重症分层可复制、可核查，本节规定关键指标缺失、不一致和保守处理的优先级。</w:t>
      </w:r>
    </w:p>
    <w:p w14:paraId="C712A175">
      <w:pPr>
        <w:pStyle w:val="5"/>
        <w:widowControl/>
        <w:numPr>
          <w:ilvl w:val="0"/>
          <w:numId w:val="12"/>
        </w:numPr>
        <w:ind w:left="0" w:leftChars="0" w:firstLine="0" w:firstLineChars="0"/>
        <w:rPr>
          <w:b/>
        </w:rPr>
      </w:pPr>
      <w:r>
        <w:t>细菌学缺失处理</w:t>
      </w:r>
    </w:p>
    <w:p w14:paraId="AC69574F">
      <w:pPr>
        <w:pStyle w:val="19"/>
        <w:widowControl/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若Xpert Ultra Ct值缺失但AFB可得，则依据AFB原始分级先行分层；AFB为3–4者直接判定为重症，AFB为0–2者仅在影像同时满足轻症且无其他重症证据时方可判定为轻症。</w:t>
      </w:r>
    </w:p>
    <w:p w14:paraId="4C022AA6">
      <w:pPr>
        <w:pStyle w:val="19"/>
        <w:widowControl/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若AFB缺失但Xpert Ultra Ct值可得，则依据Ct值先行分层；Ct值≤30者直接判定为重症，Ct值＞30者仅在影像同时满足轻症且无其他重症证据时方可判定为轻症。</w:t>
      </w:r>
    </w:p>
    <w:p w14:paraId="52C33134">
      <w:pPr>
        <w:pStyle w:val="5"/>
        <w:widowControl/>
        <w:numPr>
          <w:ilvl w:val="0"/>
          <w:numId w:val="12"/>
        </w:numPr>
        <w:ind w:left="0" w:leftChars="0" w:firstLine="0" w:firstLineChars="0"/>
        <w:rPr>
          <w:b/>
        </w:rPr>
      </w:pPr>
      <w:r>
        <w:t>影像缺失处理</w:t>
      </w:r>
    </w:p>
    <w:p w14:paraId="1DFED724">
      <w:pPr>
        <w:pStyle w:val="19"/>
        <w:widowControl/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若Ralph score缺失或空洞状态不可判读，应优先在48小时内补做胸片评分/中心阅片；在完成前不得归入轻症。</w:t>
      </w:r>
    </w:p>
    <w:p w14:paraId="35F2DE0D">
      <w:pPr>
        <w:pStyle w:val="5"/>
        <w:widowControl/>
        <w:numPr>
          <w:ilvl w:val="0"/>
          <w:numId w:val="12"/>
        </w:numPr>
        <w:ind w:left="0" w:leftChars="0" w:firstLine="0" w:firstLineChars="0"/>
        <w:rPr>
          <w:b/>
        </w:rPr>
      </w:pPr>
      <w:r>
        <w:t>指标不一致处理</w:t>
      </w:r>
    </w:p>
    <w:p w14:paraId="C196A119">
      <w:pPr>
        <w:pStyle w:val="19"/>
        <w:widowControl/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如出现Ct值＞30但AFB为3–4，或Ralph score＜30但存在空洞等情形，以重症判定优先，同时触发第9节质控复核。</w:t>
      </w:r>
    </w:p>
    <w:p w14:paraId="FA2F82BC">
      <w:pPr>
        <w:pStyle w:val="5"/>
        <w:widowControl/>
        <w:numPr>
          <w:ilvl w:val="0"/>
          <w:numId w:val="12"/>
        </w:numPr>
        <w:ind w:left="0" w:leftChars="0" w:firstLine="0" w:firstLineChars="0"/>
        <w:rPr>
          <w:b/>
        </w:rPr>
      </w:pPr>
      <w:r>
        <w:t>EDC字段（最小必填）</w:t>
      </w:r>
    </w:p>
    <w:p w14:paraId="0152B67D">
      <w:pPr>
        <w:pStyle w:val="19"/>
        <w:widowControl/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Calibri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Xpert Ultra Ct值或半定量等级、AFB原始结果及分级体系、AFBSeverity、Ralph score、空洞有无、最大空洞径、Bacteriological Severity、Imaging Severity、SeverityLayer、缺失/复核原因。</w:t>
      </w:r>
    </w:p>
    <w:p w14:paraId="3F28A94E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治疗开始后的早期反应分层（On-treatment）</w:t>
      </w:r>
    </w:p>
    <w:p w14:paraId="42883A20">
      <w:pPr>
        <w:pStyle w:val="4"/>
        <w:widowControl/>
        <w:numPr>
          <w:ilvl w:val="0"/>
          <w:numId w:val="13"/>
        </w:numPr>
        <w:ind w:left="0" w:leftChars="0" w:firstLine="0" w:firstLineChars="0"/>
        <w:rPr>
          <w:b/>
        </w:rPr>
      </w:pPr>
      <w:r>
        <w:t>关键时间点与窗口期</w:t>
      </w:r>
    </w:p>
    <w:p w14:paraId="2BCD08A9">
      <w:pPr>
        <w:pStyle w:val="19"/>
        <w:widowControl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b w:val="0"/>
          <w:sz w:val="24"/>
        </w:rPr>
        <w:t>推荐以Week 8（第56天）作为统一的早期反应分层节点。允许窗口期：第49-63天（±1周）。若超出窗口期，需记录原因，并在统计分析中进行敏感性处理。</w:t>
      </w:r>
    </w:p>
    <w:p w14:paraId="7F75D669">
      <w:pPr>
        <w:pStyle w:val="4"/>
        <w:widowControl/>
        <w:numPr>
          <w:ilvl w:val="0"/>
          <w:numId w:val="13"/>
        </w:numPr>
        <w:ind w:left="0" w:leftChars="0" w:firstLine="0" w:firstLineChars="0"/>
        <w:rPr>
          <w:b/>
        </w:rPr>
      </w:pPr>
      <w:r>
        <w:t>Week 8需采集的最小数据集</w:t>
      </w:r>
    </w:p>
    <w:p w14:paraId="3AD297B7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临床症状：按附录A症状清单逐项判断“仍存在/已消失”。</w:t>
      </w:r>
    </w:p>
    <w:p w14:paraId="04276493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AFB涂片：阳性/阴性及分级（如有）。</w:t>
      </w:r>
    </w:p>
    <w:p w14:paraId="6F086797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痰培养（如研究方案采用培养触发或作为重要观察指标）：阳性/阴性/污染/缺失。</w:t>
      </w:r>
    </w:p>
    <w:p w14:paraId="1DF6D1C1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Xpert/Ultra（可选）：仅作为辅助反应指标，不作为单独决策阈值。</w:t>
      </w:r>
    </w:p>
    <w:p w14:paraId="21D2E7C6">
      <w:pPr>
        <w:pStyle w:val="4"/>
        <w:widowControl/>
        <w:numPr>
          <w:ilvl w:val="0"/>
          <w:numId w:val="13"/>
        </w:numPr>
        <w:ind w:left="0" w:leftChars="0" w:firstLine="0" w:firstLineChars="0"/>
        <w:rPr>
          <w:b/>
        </w:rPr>
      </w:pPr>
      <w:r>
        <w:t>关键派生指标：PCD（Persistent Clinical Disease）</w:t>
      </w:r>
    </w:p>
    <w:p w14:paraId="7DD58DBD">
      <w:pPr>
        <w:pStyle w:val="19"/>
        <w:widowControl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b w:val="0"/>
          <w:sz w:val="24"/>
        </w:rPr>
        <w:t>PCD定义：Week 8时同时满足：①结核相关症状仍存在；②痰涂片仍阳性。两者缺一不可。PCD用于早期风险提示与预设亚组分析。</w:t>
      </w:r>
    </w:p>
    <w:p w14:paraId="395A0B26">
      <w:pPr>
        <w:pStyle w:val="4"/>
        <w:widowControl/>
        <w:numPr>
          <w:ilvl w:val="0"/>
          <w:numId w:val="13"/>
        </w:numPr>
        <w:ind w:left="0" w:leftChars="0" w:firstLine="0" w:firstLineChars="0"/>
        <w:rPr>
          <w:b/>
        </w:rPr>
      </w:pPr>
      <w:r>
        <w:t>PPTR触发与处置（与研究方案对接）</w:t>
      </w:r>
    </w:p>
    <w:p w14:paraId="1040D304">
      <w:pPr>
        <w:pStyle w:val="19"/>
        <w:widowControl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b w:val="0"/>
          <w:sz w:val="24"/>
        </w:rPr>
        <w:t>当研究者在治疗全过程中任意时刻怀疑受试者出现“抗结核疗效欠佳/治疗反应不良（PPTR）”，或正在考虑任何形式的治疗调整（尤其是将疗程延长至超过随机分配方案、完成疗程后再次启动抗结核治疗、因疗效原因更改方案），应立即启动PPTR评估流程：</w:t>
      </w:r>
    </w:p>
    <w:p w14:paraId="6BDA6597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第一时间联系中心研究临床医生进行病例讨论与处置建议；除紧急情况外，不应在未沟通前擅自延长或更改方案。</w:t>
      </w:r>
    </w:p>
    <w:p w14:paraId="0A3578AA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在患者病情允许的前提下，应尽可能在改变/延长/重启治疗之前完成评估：</w:t>
      </w:r>
    </w:p>
    <w:p w14:paraId="5E5D68EE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— 1周内采集≥3份痰标本（其中≥2份需在改变/延长/重启治疗前采集，且间隔≥4小时，尽量包含1份清晨痰）送研究实验室进行涂片与培养；若培养阳性则开展药敏试验并保存菌株；</w:t>
      </w:r>
    </w:p>
    <w:p w14:paraId="488E4AB4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— 完成胸部影像学评估（CXR）并填写“疗效欠佳”相关CRF；</w:t>
      </w:r>
    </w:p>
    <w:p w14:paraId="3912A650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— 必要时按受试者同意采集血/尿/痰等生物标志物样本。</w:t>
      </w:r>
    </w:p>
    <w:p w14:paraId="13012EE5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若在 Week 8 发现培养未转阴、症状未缓解、PCD 或 PPTR 信号，应作为早期风险提示并触发加强管理、病例讨论或预设亚组标记；但任何 Week 8 指标、PCD 或 PPTR 信号均不直接构成队列B第6月随机资格判定条件。队列B在26周（6个月）随机化前，仅依据《微生物学安全门槛（Hard Gate）评估与随机前资格判定（SOP02）》完成资格判定。</w:t>
      </w:r>
    </w:p>
    <w:p w14:paraId="1BBABC9B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数据录入与派生变量（EDC实现要点）</w:t>
      </w:r>
    </w:p>
    <w:p w14:paraId="04B9C820">
      <w:pPr>
        <w:pStyle w:val="19"/>
        <w:widowControl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b w:val="0"/>
          <w:sz w:val="24"/>
        </w:rPr>
        <w:t>建议在EDC中实现自动派生与逻辑校验，避免人为计算差异。</w:t>
      </w:r>
    </w:p>
    <w:p w14:paraId="1EC436F2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派生变量：AFBSeverity、Bacteriological Severity、Imaging Severity、SeverityLayer、红旗（空洞&gt;4cm）、PCD等。</w:t>
      </w:r>
    </w:p>
    <w:p w14:paraId="2698F716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逻辑校验示例：Ct值＞30但AFB=3或4 → 自动生成质控工单并按重症处理；Ralph score＜30但空洞=是 → 自动提示重症并要求复核；空洞=是但最大空洞径缺失 → 提示补录。</w:t>
      </w:r>
    </w:p>
    <w:p w14:paraId="5F55EE4A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关键分层字段须在随机前锁定；任何版本更新需同步更新EDC派生逻辑与培训材料。</w:t>
      </w:r>
    </w:p>
    <w:p w14:paraId="05954A9B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质量控制（QC）与一致性管理</w:t>
      </w:r>
    </w:p>
    <w:p w14:paraId="0AB42D6B">
      <w:pPr>
        <w:pStyle w:val="4"/>
        <w:widowControl/>
        <w:numPr>
          <w:ilvl w:val="0"/>
          <w:numId w:val="14"/>
        </w:numPr>
        <w:ind w:left="0" w:leftChars="0" w:firstLine="0" w:firstLineChars="0"/>
        <w:rPr>
          <w:b/>
        </w:rPr>
      </w:pPr>
      <w:r>
        <w:t>实验室QC</w:t>
      </w:r>
    </w:p>
    <w:p w14:paraId="1C43C6EE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统一培训：各中心实验室需理解并执行国内外AFB分级对应关系、AFBSeverity折叠规则及Xpert Ultra Ct阈值。</w:t>
      </w:r>
    </w:p>
    <w:p w14:paraId="6CC6BF71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不一致触发复核：如Ct值＞30但AFB为3–4，或仅有半定量等级、无法支持轻症判定，或原始报告与EDC折叠结果不一致等。复核措施可包括重复检测、复采样本、核对标本类型与采样时间。</w:t>
      </w:r>
    </w:p>
    <w:p w14:paraId="2E55BB27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记录与闭环：所有复核均需在EDC中记录触发原因、处理过程与最终结论。</w:t>
      </w:r>
    </w:p>
    <w:p w14:paraId="67DAEC1B">
      <w:pPr>
        <w:pStyle w:val="4"/>
        <w:widowControl/>
        <w:numPr>
          <w:ilvl w:val="0"/>
          <w:numId w:val="14"/>
        </w:numPr>
        <w:ind w:left="0" w:leftChars="0" w:firstLine="0" w:firstLineChars="0"/>
        <w:rPr>
          <w:b/>
        </w:rPr>
      </w:pPr>
      <w:r>
        <w:t>影像QC</w:t>
      </w:r>
    </w:p>
    <w:p w14:paraId="40CB4E4B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中心化阅片（建议）：至少对“Ralph score”“空洞有无”“最大空洞径”进行双人阅片与分歧仲裁。</w:t>
      </w:r>
    </w:p>
    <w:p w14:paraId="7B0072F0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一致性训练：入组前提供标准示例与判读要点；定期抽样复核一致性。</w:t>
      </w:r>
    </w:p>
    <w:p w14:paraId="7EFD318F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不可判读管理：出现不可判读影像时，优先复拍；无法复拍则提交中心阅片组裁定并记录。</w:t>
      </w:r>
    </w:p>
    <w:p w14:paraId="3B9D760B">
      <w:pPr>
        <w:pStyle w:val="4"/>
        <w:widowControl/>
        <w:numPr>
          <w:ilvl w:val="0"/>
          <w:numId w:val="14"/>
        </w:numPr>
        <w:ind w:left="0" w:leftChars="0" w:firstLine="0" w:firstLineChars="0"/>
        <w:rPr>
          <w:b/>
        </w:rPr>
      </w:pPr>
      <w:r>
        <w:t>数据QC</w:t>
      </w:r>
    </w:p>
    <w:p w14:paraId="367D8A59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DM定期生成缺失/异常清单并推动闭环；</w:t>
      </w:r>
    </w:p>
    <w:p w14:paraId="50DBB9D8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随机前关键字段完整性核查（无CXR/Ralph score或无任何细菌学结果原则上不允许随机；关键指标缺失者原则上不得归入轻症）；</w:t>
      </w:r>
    </w:p>
    <w:p w14:paraId="7AAB3BF1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版本变更时进行中心再培训并记录培训完成情况。</w:t>
      </w:r>
    </w:p>
    <w:p w14:paraId="04F48EC4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eCRF/EDC 字段字典（最小必填集）</w:t>
      </w:r>
    </w:p>
    <w:p w14:paraId="46D0DACF">
      <w:pPr>
        <w:pStyle w:val="19"/>
        <w:widowControl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b w:val="0"/>
          <w:sz w:val="24"/>
        </w:rPr>
        <w:t>说明：以下为建议最小必填字段集；各中心可按研究需要扩展。派生字段由EDC自动生成，研究者仅需核对与确认。</w:t>
      </w:r>
    </w:p>
    <w:tbl>
      <w:tblPr>
        <w:tblStyle w:val="3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5"/>
        <w:gridCol w:w="3574"/>
        <w:gridCol w:w="1728"/>
        <w:gridCol w:w="2321"/>
      </w:tblGrid>
      <w:tr w14:paraId="206DE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" w:type="pct"/>
          </w:tcPr>
          <w:p w14:paraId="01646CC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域</w:t>
            </w:r>
          </w:p>
        </w:tc>
        <w:tc>
          <w:tcPr>
            <w:tcW w:w="1925" w:type="pct"/>
          </w:tcPr>
          <w:p w14:paraId="503B3A73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字段（示例）</w:t>
            </w:r>
          </w:p>
        </w:tc>
        <w:tc>
          <w:tcPr>
            <w:tcW w:w="931" w:type="pct"/>
          </w:tcPr>
          <w:p w14:paraId="2645443C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类型/取值</w:t>
            </w:r>
          </w:p>
        </w:tc>
        <w:tc>
          <w:tcPr>
            <w:tcW w:w="1250" w:type="pct"/>
          </w:tcPr>
          <w:p w14:paraId="4ED26D7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备注</w:t>
            </w:r>
          </w:p>
        </w:tc>
      </w:tr>
      <w:tr w14:paraId="1C705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" w:type="pct"/>
          </w:tcPr>
          <w:p w14:paraId="590ED4F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受试者信息</w:t>
            </w:r>
          </w:p>
        </w:tc>
        <w:tc>
          <w:tcPr>
            <w:tcW w:w="1925" w:type="pct"/>
          </w:tcPr>
          <w:p w14:paraId="33231B46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筛选/基线日期；首次给药日期</w:t>
            </w:r>
          </w:p>
        </w:tc>
        <w:tc>
          <w:tcPr>
            <w:tcW w:w="931" w:type="pct"/>
          </w:tcPr>
          <w:p w14:paraId="474AF1E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日期</w:t>
            </w:r>
          </w:p>
        </w:tc>
        <w:tc>
          <w:tcPr>
            <w:tcW w:w="1250" w:type="pct"/>
          </w:tcPr>
          <w:p w14:paraId="0067D99F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用于确定时间窗与派生Week 8/M6节点</w:t>
            </w:r>
          </w:p>
        </w:tc>
      </w:tr>
      <w:tr w14:paraId="1C044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" w:type="pct"/>
          </w:tcPr>
          <w:p w14:paraId="089646A8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细菌学-平台</w:t>
            </w:r>
          </w:p>
        </w:tc>
        <w:tc>
          <w:tcPr>
            <w:tcW w:w="1925" w:type="pct"/>
          </w:tcPr>
          <w:p w14:paraId="79AC863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检测平台（优先Xpert Ultra）；报告格式（Ct/半定量）</w:t>
            </w:r>
          </w:p>
        </w:tc>
        <w:tc>
          <w:tcPr>
            <w:tcW w:w="931" w:type="pct"/>
          </w:tcPr>
          <w:p w14:paraId="78690F6A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枚举</w:t>
            </w:r>
          </w:p>
        </w:tc>
        <w:tc>
          <w:tcPr>
            <w:tcW w:w="1250" w:type="pct"/>
          </w:tcPr>
          <w:p w14:paraId="53CD96A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必填</w:t>
            </w:r>
          </w:p>
        </w:tc>
      </w:tr>
      <w:tr w14:paraId="52C8F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" w:type="pct"/>
          </w:tcPr>
          <w:p w14:paraId="7771D3F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细菌学-原始结果</w:t>
            </w:r>
          </w:p>
        </w:tc>
        <w:tc>
          <w:tcPr>
            <w:tcW w:w="1925" w:type="pct"/>
          </w:tcPr>
          <w:p w14:paraId="B112971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Xpert Ultra Ct值（如有）；半定量等级（高/中/低/极低/trace）</w:t>
            </w:r>
          </w:p>
        </w:tc>
        <w:tc>
          <w:tcPr>
            <w:tcW w:w="931" w:type="pct"/>
          </w:tcPr>
          <w:p w14:paraId="7EAD5E86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数值/枚举</w:t>
            </w:r>
          </w:p>
        </w:tc>
        <w:tc>
          <w:tcPr>
            <w:tcW w:w="1250" w:type="pct"/>
          </w:tcPr>
          <w:p w14:paraId="B6B8DF8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保留原始报告信息</w:t>
            </w:r>
          </w:p>
        </w:tc>
      </w:tr>
      <w:tr w14:paraId="7B4F4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" w:type="pct"/>
          </w:tcPr>
          <w:p w14:paraId="6400A83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细菌学-涂片</w:t>
            </w:r>
          </w:p>
        </w:tc>
        <w:tc>
          <w:tcPr>
            <w:tcW w:w="1925" w:type="pct"/>
          </w:tcPr>
          <w:p w14:paraId="351BE94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AFB原始结果（国内0/1/2/3/4、国内“报告菌数”、国际0/scanty/1+/2+/3+或+至++++）；分级体系；AFBSeverity</w:t>
            </w:r>
          </w:p>
        </w:tc>
        <w:tc>
          <w:tcPr>
            <w:tcW w:w="931" w:type="pct"/>
          </w:tcPr>
          <w:p w14:paraId="9ED1476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文本/枚举</w:t>
            </w:r>
          </w:p>
        </w:tc>
        <w:tc>
          <w:tcPr>
            <w:tcW w:w="1250" w:type="pct"/>
          </w:tcPr>
          <w:p w14:paraId="F850A4F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建议保留原始文本并标明国内/国际体系</w:t>
            </w:r>
          </w:p>
        </w:tc>
      </w:tr>
      <w:tr w14:paraId="03F8C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" w:type="pct"/>
          </w:tcPr>
          <w:p w14:paraId="D3CCCAE4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细菌学-综合判定</w:t>
            </w:r>
          </w:p>
        </w:tc>
        <w:tc>
          <w:tcPr>
            <w:tcW w:w="1925" w:type="pct"/>
          </w:tcPr>
          <w:p w14:paraId="9A3E54C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Xpert Ultra Ct阈值判定（＞30 / ≤30）；Bacteriological Severity（轻/重）；缺失/复核原因</w:t>
            </w:r>
          </w:p>
        </w:tc>
        <w:tc>
          <w:tcPr>
            <w:tcW w:w="931" w:type="pct"/>
          </w:tcPr>
          <w:p w14:paraId="8A7E64B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数值/枚举/文本</w:t>
            </w:r>
          </w:p>
        </w:tc>
        <w:tc>
          <w:tcPr>
            <w:tcW w:w="1250" w:type="pct"/>
          </w:tcPr>
          <w:p w14:paraId="4E37391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随机/分层前锁定</w:t>
            </w:r>
          </w:p>
        </w:tc>
      </w:tr>
      <w:tr w14:paraId="4E66E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" w:type="pct"/>
          </w:tcPr>
          <w:p w14:paraId="630096A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培养（如适用）</w:t>
            </w:r>
          </w:p>
        </w:tc>
        <w:tc>
          <w:tcPr>
            <w:tcW w:w="1925" w:type="pct"/>
          </w:tcPr>
          <w:p w14:paraId="05EAB1A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培养结果：阳性/阴性/污染/缺失；报告日期</w:t>
            </w:r>
          </w:p>
        </w:tc>
        <w:tc>
          <w:tcPr>
            <w:tcW w:w="931" w:type="pct"/>
          </w:tcPr>
          <w:p w14:paraId="4DD24EC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枚举/日期</w:t>
            </w:r>
          </w:p>
        </w:tc>
        <w:tc>
          <w:tcPr>
            <w:tcW w:w="1250" w:type="pct"/>
          </w:tcPr>
          <w:p w14:paraId="2031A77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按研究方案要求执行</w:t>
            </w:r>
          </w:p>
        </w:tc>
      </w:tr>
      <w:tr w14:paraId="39FCC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" w:type="pct"/>
          </w:tcPr>
          <w:p w14:paraId="6B9811B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影像学-原始结果</w:t>
            </w:r>
          </w:p>
        </w:tc>
        <w:tc>
          <w:tcPr>
            <w:tcW w:w="1925" w:type="pct"/>
          </w:tcPr>
          <w:p w14:paraId="647559E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CXR日期；Ralph score；空洞有无；最大空洞径；CT补充记录（如有）</w:t>
            </w:r>
          </w:p>
        </w:tc>
        <w:tc>
          <w:tcPr>
            <w:tcW w:w="931" w:type="pct"/>
          </w:tcPr>
          <w:p w14:paraId="9BDE51C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日期/数值/枚举</w:t>
            </w:r>
          </w:p>
        </w:tc>
        <w:tc>
          <w:tcPr>
            <w:tcW w:w="1250" w:type="pct"/>
          </w:tcPr>
          <w:p w14:paraId="829FC3E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以CXR为主分层口径</w:t>
            </w:r>
          </w:p>
        </w:tc>
      </w:tr>
      <w:tr w14:paraId="1744F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" w:type="pct"/>
          </w:tcPr>
          <w:p w14:paraId="F8D22FC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派生-基线</w:t>
            </w:r>
          </w:p>
        </w:tc>
        <w:tc>
          <w:tcPr>
            <w:tcW w:w="1925" w:type="pct"/>
          </w:tcPr>
          <w:p w14:paraId="B831A15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AFBSeverity；Bacteriological Severity；Imaging Severity；SeverityLayer；红旗（空洞&gt;4cm）</w:t>
            </w:r>
          </w:p>
        </w:tc>
        <w:tc>
          <w:tcPr>
            <w:tcW w:w="931" w:type="pct"/>
          </w:tcPr>
          <w:p w14:paraId="2AF2669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枚举</w:t>
            </w:r>
          </w:p>
        </w:tc>
        <w:tc>
          <w:tcPr>
            <w:tcW w:w="1250" w:type="pct"/>
          </w:tcPr>
          <w:p w14:paraId="5971E4E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由EDC自动派生（随机/分配前锁定）</w:t>
            </w:r>
          </w:p>
        </w:tc>
      </w:tr>
      <w:tr w14:paraId="46262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" w:type="pct"/>
          </w:tcPr>
          <w:p w14:paraId="3FE4664B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Week 8（±1周）</w:t>
            </w:r>
          </w:p>
        </w:tc>
        <w:tc>
          <w:tcPr>
            <w:tcW w:w="1925" w:type="pct"/>
          </w:tcPr>
          <w:p w14:paraId="7F2B0292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症状清单逐项（仍存在/已消失）；AFB折叠分级；培养结果（如适用）；PCD（是/否）</w:t>
            </w:r>
          </w:p>
        </w:tc>
        <w:tc>
          <w:tcPr>
            <w:tcW w:w="931" w:type="pct"/>
          </w:tcPr>
          <w:p w14:paraId="5E01070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枚举</w:t>
            </w:r>
          </w:p>
        </w:tc>
        <w:tc>
          <w:tcPr>
            <w:tcW w:w="1250" w:type="pct"/>
          </w:tcPr>
          <w:p w14:paraId="19B074DE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用于早期反应表型与风险提示</w:t>
            </w:r>
          </w:p>
        </w:tc>
      </w:tr>
      <w:tr w14:paraId="21492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" w:type="pct"/>
          </w:tcPr>
          <w:p w14:paraId="25C08AD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质控标记</w:t>
            </w:r>
          </w:p>
        </w:tc>
        <w:tc>
          <w:tcPr>
            <w:tcW w:w="1925" w:type="pct"/>
          </w:tcPr>
          <w:p w14:paraId="2666356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实验室不一致触发；影像不可判读；关键缺失；窗口外</w:t>
            </w:r>
          </w:p>
        </w:tc>
        <w:tc>
          <w:tcPr>
            <w:tcW w:w="931" w:type="pct"/>
          </w:tcPr>
          <w:p w14:paraId="2DF8743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是/否+原因</w:t>
            </w:r>
          </w:p>
        </w:tc>
        <w:tc>
          <w:tcPr>
            <w:tcW w:w="1250" w:type="pct"/>
          </w:tcPr>
          <w:p w14:paraId="527B1C8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用于追溯与敏感性分析</w:t>
            </w:r>
          </w:p>
        </w:tc>
      </w:tr>
    </w:tbl>
    <w:p w14:paraId="16280146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5CD192C2">
      <w:pPr>
        <w:pStyle w:val="164"/>
        <w:widowControl/>
      </w:pPr>
      <w:r>
        <w:t>附录A：Week 8 结核相关症状清单（建议）</w:t>
      </w:r>
    </w:p>
    <w:p w14:paraId="568C3B7A">
      <w:pPr>
        <w:pStyle w:val="19"/>
        <w:widowControl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b w:val="0"/>
          <w:sz w:val="24"/>
        </w:rPr>
        <w:t>建议采用“逐项评估 + 总体是否仍存在症状（w8_symptom_any）”的方式。以下任一症状仍存在，可记为“是”。</w:t>
      </w:r>
    </w:p>
    <w:p w14:paraId="3548550A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咳嗽/咳痰（与治疗前相比无明显改善或仍影响日常）</w:t>
      </w:r>
    </w:p>
    <w:p w14:paraId="7A8BF795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发热（腋温≥37.3°C或临床判断持续低热）</w:t>
      </w:r>
    </w:p>
    <w:p w14:paraId="3FFF0C4F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盗汗</w:t>
      </w:r>
    </w:p>
    <w:p w14:paraId="5D7B2C7D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胸痛/呼吸困难</w:t>
      </w:r>
    </w:p>
    <w:p w14:paraId="10F07E1B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咯血</w:t>
      </w:r>
    </w:p>
    <w:p w14:paraId="24A72F4C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乏力/体重下降（以临床判断为主）</w:t>
      </w:r>
    </w:p>
    <w:p w14:paraId="34A75726">
      <w:pPr>
        <w:pStyle w:val="164"/>
        <w:widowControl/>
      </w:pPr>
      <w:r>
        <w:t>附录B：Baseline分层决策流程（文字版）</w:t>
      </w:r>
    </w:p>
    <w:p w14:paraId="681DB7D7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1）收集Baseline实验室与影像字段（见第10节）。</w:t>
      </w:r>
    </w:p>
    <w:p w14:paraId="3C9EDC71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2）记录Xpert Ultra Ct值或半定量等级，并保留原始报告。</w:t>
      </w:r>
    </w:p>
    <w:p w14:paraId="00DC23CB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3）记录AFB原始结果、分级体系（国内/国际/其他）并按6.2.3派生AFBSeverity。</w:t>
      </w:r>
    </w:p>
    <w:p w14:paraId="DD22DDD1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4）按6.2.4判定Bacteriological Severity（轻/重）。</w:t>
      </w:r>
    </w:p>
    <w:p w14:paraId="EB3A7449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5）按6.3.2判定Imaging Severity（轻/重），并按6.3.3标记红旗。</w:t>
      </w:r>
    </w:p>
    <w:p w14:paraId="1A21169F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6）按6.4合并判定总体SeverityLayer（轻症/重症）。</w:t>
      </w:r>
    </w:p>
    <w:p w14:paraId="B71313F6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7）在随机系统中使用“研究中心 + 菌负荷层级 + 影像范围层级 + HbA1c 分层”作为随机化分层因素，并在 EDC 中锁定 Bacteriological Severity、Imaging Severity、SeverityLayer 及 HbA1c 分层变量。</w:t>
      </w:r>
    </w:p>
    <w:p w14:paraId="1DD537DB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8）如出现不可判读、关键缺失或指标不一致，按第6.5节和第9节流程处理后方可随机/分配。</w:t>
      </w:r>
    </w:p>
    <w:p w14:paraId="53D31DAC">
      <w:pPr>
        <w:pStyle w:val="164"/>
        <w:widowControl/>
      </w:pPr>
      <w:r>
        <w:t>附录C：常见问题与处理原则（摘选）</w:t>
      </w:r>
    </w:p>
    <w:p w14:paraId="5EA659C5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仅有Xpert半定量、无Ct：须保留原始结果并提交中心核查；在随机/分层前无法确认时，不作为轻症判定的充分依据。</w:t>
      </w:r>
    </w:p>
    <w:p w14:paraId="EBDE340A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Ultra报告trace：应保留原始报告并结合AFB与影像综合判断；如无法排除重症证据，不得仅凭trace/极低结果直接判定为轻症。</w:t>
      </w:r>
    </w:p>
    <w:p w14:paraId="D621B657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Ct值＞30但AFB为3–4：按重症分层，同时触发实验室复核；不得因“疑似异常”而降级。</w:t>
      </w:r>
    </w:p>
    <w:p w14:paraId="A1426DE9">
      <w:pPr>
        <w:pStyle w:val="19"/>
        <w:widowControl/>
        <w:numPr>
          <w:ilvl w:val="0"/>
          <w:numId w:val="3"/>
        </w:numPr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CXR与CT对空洞判读不一致：Baseline分层以CXR为准；CT差异作为补充记录，必要时提交中心阅片仲裁。</w:t>
      </w:r>
    </w:p>
    <w:p w14:paraId="4EEE2426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版本管理与修订记录</w:t>
      </w:r>
    </w:p>
    <w:tbl>
      <w:tblPr>
        <w:tblStyle w:val="3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0"/>
        <w:gridCol w:w="1675"/>
        <w:gridCol w:w="4176"/>
        <w:gridCol w:w="2319"/>
      </w:tblGrid>
      <w:tr w14:paraId="1848D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8" w:type="pct"/>
          </w:tcPr>
          <w:p w14:paraId="6D2E9C98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版本</w:t>
            </w:r>
          </w:p>
        </w:tc>
        <w:tc>
          <w:tcPr>
            <w:tcW w:w="902" w:type="pct"/>
          </w:tcPr>
          <w:p w14:paraId="55168C9E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日期</w:t>
            </w:r>
          </w:p>
        </w:tc>
        <w:tc>
          <w:tcPr>
            <w:tcW w:w="2249" w:type="pct"/>
          </w:tcPr>
          <w:p w14:paraId="7D75A75F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修订说明</w:t>
            </w:r>
          </w:p>
        </w:tc>
        <w:tc>
          <w:tcPr>
            <w:tcW w:w="1249" w:type="pct"/>
          </w:tcPr>
          <w:p w14:paraId="6EC36FFC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批准</w:t>
            </w:r>
          </w:p>
        </w:tc>
      </w:tr>
      <w:tr w14:paraId="72A71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8" w:type="pct"/>
          </w:tcPr>
          <w:p w14:paraId="78FF151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V1.0</w:t>
            </w:r>
          </w:p>
        </w:tc>
        <w:tc>
          <w:tcPr>
            <w:tcW w:w="902" w:type="pct"/>
          </w:tcPr>
          <w:p w14:paraId="4DAF3F7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2026-02-06</w:t>
            </w:r>
          </w:p>
        </w:tc>
        <w:tc>
          <w:tcPr>
            <w:tcW w:w="2249" w:type="pct"/>
          </w:tcPr>
          <w:p w14:paraId="63A17238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首次发布。</w:t>
            </w:r>
          </w:p>
        </w:tc>
        <w:tc>
          <w:tcPr>
            <w:tcW w:w="1249" w:type="pct"/>
          </w:tcPr>
          <w:p w14:paraId="1848C27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_____</w:t>
            </w:r>
          </w:p>
        </w:tc>
      </w:tr>
      <w:tr w14:paraId="6B3D6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8" w:type="pct"/>
          </w:tcPr>
          <w:p w14:paraId="1AC4AA98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V1.1</w:t>
            </w:r>
          </w:p>
        </w:tc>
        <w:tc>
          <w:tcPr>
            <w:tcW w:w="902" w:type="pct"/>
          </w:tcPr>
          <w:p w14:paraId="42A62A3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2026-03-04</w:t>
            </w:r>
          </w:p>
        </w:tc>
        <w:tc>
          <w:tcPr>
            <w:tcW w:w="2249" w:type="pct"/>
          </w:tcPr>
          <w:p w14:paraId="1421331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按研究方案V2.0更新：补充HbA1c分层（6.5）并纳入随机分层/队列归类；修订SmearTier口径（≥1+不再归低负荷）；更新队列B门槛评估的SOP02引用与EDC字段。</w:t>
            </w:r>
          </w:p>
        </w:tc>
        <w:tc>
          <w:tcPr>
            <w:tcW w:w="1249" w:type="pct"/>
          </w:tcPr>
          <w:p w14:paraId="079E238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_____</w:t>
            </w:r>
          </w:p>
        </w:tc>
      </w:tr>
      <w:tr w14:paraId="4C554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8" w:type="pct"/>
          </w:tcPr>
          <w:p w14:paraId="B362766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V1.2</w:t>
            </w:r>
          </w:p>
        </w:tc>
        <w:tc>
          <w:tcPr>
            <w:tcW w:w="902" w:type="pct"/>
          </w:tcPr>
          <w:p w14:paraId="A291522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2026-03-10</w:t>
            </w:r>
          </w:p>
        </w:tc>
        <w:tc>
          <w:tcPr>
            <w:tcW w:w="2249" w:type="pct"/>
          </w:tcPr>
          <w:p w14:paraId="A475866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新增国内外AFB分级对应说明；将患者分层改为基于痰菌阳性度和胸片影像严重程度的轻/重症二级分层；同步更新EDC字段、流程与质控。</w:t>
            </w:r>
          </w:p>
        </w:tc>
        <w:tc>
          <w:tcPr>
            <w:tcW w:w="1249" w:type="pct"/>
          </w:tcPr>
          <w:p w14:paraId="68977F2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_____</w:t>
            </w:r>
          </w:p>
        </w:tc>
      </w:tr>
    </w:tbl>
    <w:p w14:paraId="6CB0BD05">
      <w:pPr>
        <w:rPr>
          <w:rFonts w:hint="default" w:ascii="Times New Roman" w:hAnsi="Times New Roman" w:eastAsia="宋体" w:cs="Times New Roman"/>
          <w:sz w:val="24"/>
          <w:szCs w:val="24"/>
        </w:rPr>
      </w:pPr>
    </w:p>
    <w:sectPr>
      <w:pgSz w:w="12240" w:h="15840"/>
      <w:pgMar w:top="1417" w:right="158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522684"/>
    <w:multiLevelType w:val="singleLevel"/>
    <w:tmpl w:val="A7522684"/>
    <w:lvl w:ilvl="0" w:tentative="0">
      <w:start w:val="1"/>
      <w:numFmt w:val="decimal"/>
      <w:suff w:val="space"/>
      <w:lvlText w:val="6.2.%1"/>
      <w:lvlJc w:val="left"/>
      <w:pPr>
        <w:ind w:left="0" w:firstLine="0"/>
      </w:pPr>
      <w:rPr>
        <w:rFonts w:hint="default"/>
      </w:rPr>
    </w:lvl>
  </w:abstractNum>
  <w:abstractNum w:abstractNumId="1">
    <w:nsid w:val="B1EAD836"/>
    <w:multiLevelType w:val="singleLevel"/>
    <w:tmpl w:val="B1EAD836"/>
    <w:lvl w:ilvl="0" w:tentative="0">
      <w:start w:val="1"/>
      <w:numFmt w:val="decimal"/>
      <w:suff w:val="space"/>
      <w:lvlText w:val="6.%1"/>
      <w:lvlJc w:val="left"/>
      <w:pPr>
        <w:ind w:left="0" w:firstLine="0"/>
      </w:pPr>
      <w:rPr>
        <w:rFonts w:hint="default"/>
      </w:rPr>
    </w:lvl>
  </w:abstractNum>
  <w:abstractNum w:abstractNumId="2">
    <w:nsid w:val="CDD02917"/>
    <w:multiLevelType w:val="singleLevel"/>
    <w:tmpl w:val="CDD02917"/>
    <w:lvl w:ilvl="0" w:tentative="0">
      <w:start w:val="1"/>
      <w:numFmt w:val="decimal"/>
      <w:suff w:val="space"/>
      <w:lvlText w:val="6.3.%1"/>
      <w:lvlJc w:val="left"/>
      <w:pPr>
        <w:ind w:left="0" w:firstLine="0"/>
      </w:pPr>
      <w:rPr>
        <w:rFonts w:hint="default"/>
      </w:rPr>
    </w:lvl>
  </w:abstractNum>
  <w:abstractNum w:abstractNumId="3">
    <w:nsid w:val="CE59C385"/>
    <w:multiLevelType w:val="singleLevel"/>
    <w:tmpl w:val="CE59C385"/>
    <w:lvl w:ilvl="0" w:tentative="0">
      <w:start w:val="1"/>
      <w:numFmt w:val="decimal"/>
      <w:suff w:val="space"/>
      <w:lvlText w:val="7.%1"/>
      <w:lvlJc w:val="left"/>
      <w:pPr>
        <w:ind w:left="0" w:firstLine="0"/>
      </w:pPr>
      <w:rPr>
        <w:rFonts w:hint="default"/>
      </w:rPr>
    </w:lvl>
  </w:abstractNum>
  <w:abstractNum w:abstractNumId="4">
    <w:nsid w:val="00000000"/>
    <w:multiLevelType w:val="singleLevel"/>
    <w:tmpl w:val="00000000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>
    <w:nsid w:val="00000001"/>
    <w:multiLevelType w:val="singleLevel"/>
    <w:tmpl w:val="00000001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>
    <w:nsid w:val="00000002"/>
    <w:multiLevelType w:val="singleLevel"/>
    <w:tmpl w:val="0000000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7">
    <w:nsid w:val="00000003"/>
    <w:multiLevelType w:val="singleLevel"/>
    <w:tmpl w:val="0000000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8">
    <w:nsid w:val="00000004"/>
    <w:multiLevelType w:val="singleLevel"/>
    <w:tmpl w:val="00000004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00000005"/>
    <w:multiLevelType w:val="singleLevel"/>
    <w:tmpl w:val="00000005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1EAB0116"/>
    <w:multiLevelType w:val="singleLevel"/>
    <w:tmpl w:val="1EAB0116"/>
    <w:lvl w:ilvl="0" w:tentative="0">
      <w:start w:val="1"/>
      <w:numFmt w:val="decimal"/>
      <w:suff w:val="space"/>
      <w:lvlText w:val="6.5.%1"/>
      <w:lvlJc w:val="left"/>
      <w:pPr>
        <w:ind w:left="0" w:firstLine="0"/>
      </w:pPr>
      <w:rPr>
        <w:rFonts w:hint="default"/>
      </w:rPr>
    </w:lvl>
  </w:abstractNum>
  <w:abstractNum w:abstractNumId="11">
    <w:nsid w:val="29EABE2F"/>
    <w:multiLevelType w:val="singleLevel"/>
    <w:tmpl w:val="29EABE2F"/>
    <w:lvl w:ilvl="0" w:tentative="0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/>
      </w:rPr>
    </w:lvl>
  </w:abstractNum>
  <w:abstractNum w:abstractNumId="12">
    <w:nsid w:val="49422FF9"/>
    <w:multiLevelType w:val="singleLevel"/>
    <w:tmpl w:val="49422FF9"/>
    <w:lvl w:ilvl="0" w:tentative="0">
      <w:start w:val="1"/>
      <w:numFmt w:val="decimal"/>
      <w:suff w:val="space"/>
      <w:lvlText w:val="9.%1"/>
      <w:lvlJc w:val="left"/>
      <w:pPr>
        <w:ind w:left="0" w:firstLine="0"/>
      </w:pPr>
      <w:rPr>
        <w:rFonts w:hint="default"/>
      </w:rPr>
    </w:lvl>
  </w:abstractNum>
  <w:abstractNum w:abstractNumId="13">
    <w:nsid w:val="55C83E18"/>
    <w:multiLevelType w:val="singleLevel"/>
    <w:tmpl w:val="55C83E18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6"/>
  </w:num>
  <w:num w:numId="5">
    <w:abstractNumId w:val="4"/>
  </w:num>
  <w:num w:numId="6">
    <w:abstractNumId w:val="7"/>
  </w:num>
  <w:num w:numId="7">
    <w:abstractNumId w:val="13"/>
  </w:num>
  <w:num w:numId="8">
    <w:abstractNumId w:val="1"/>
  </w:num>
  <w:num w:numId="9">
    <w:abstractNumId w:val="0"/>
  </w:num>
  <w:num w:numId="10">
    <w:abstractNumId w:val="2"/>
  </w:num>
  <w:num w:numId="11">
    <w:abstractNumId w:val="11"/>
  </w:num>
  <w:num w:numId="12">
    <w:abstractNumId w:val="10"/>
  </w:num>
  <w:num w:numId="13">
    <w:abstractNumId w:val="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6A2DB6"/>
    <w:rsid w:val="11687794"/>
    <w:rsid w:val="12D9220E"/>
    <w:rsid w:val="1C24274C"/>
    <w:rsid w:val="307C20E1"/>
    <w:rsid w:val="37E877C2"/>
    <w:rsid w:val="43345FE1"/>
    <w:rsid w:val="4A8561FD"/>
    <w:rsid w:val="56E00DEB"/>
    <w:rsid w:val="61300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ＭＳ 明朝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99" w:semiHidden="0" w:name="macro"/>
    <w:lsdException w:unhideWhenUsed="0" w:uiPriority="0" w:semiHidden="0" w:name="toa heading"/>
    <w:lsdException w:unhideWhenUsed="0" w:uiPriority="99" w:semiHidden="0" w:name="List"/>
    <w:lsdException w:qFormat="1" w:unhideWhenUsed="0" w:uiPriority="99" w:semiHidden="0" w:name="List Bullet"/>
    <w:lsdException w:qFormat="1" w:unhideWhenUsed="0" w:uiPriority="99" w:semiHidden="0" w:name="List Number"/>
    <w:lsdException w:unhideWhenUsed="0" w:uiPriority="99" w:semiHidden="0" w:name="List 2"/>
    <w:lsdException w:qFormat="1" w:unhideWhenUsed="0" w:uiPriority="99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99" w:semiHidden="0" w:name="List Bullet 2"/>
    <w:lsdException w:unhideWhenUsed="0" w:uiPriority="99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99" w:semiHidden="0" w:name="List Number 2"/>
    <w:lsdException w:qFormat="1" w:unhideWhenUsed="0" w:uiPriority="99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99" w:semiHidden="0" w:name="Body Text"/>
    <w:lsdException w:unhideWhenUsed="0" w:uiPriority="0" w:semiHidden="0" w:name="Body Text Indent"/>
    <w:lsdException w:unhideWhenUsed="0" w:uiPriority="99" w:semiHidden="0" w:name="List Continue"/>
    <w:lsdException w:qFormat="1" w:unhideWhenUsed="0" w:uiPriority="99" w:semiHidden="0" w:name="List Continue 2"/>
    <w:lsdException w:qFormat="1" w:unhideWhenUsed="0" w:uiPriority="99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99" w:semiHidden="0" w:name="Body Text 2"/>
    <w:lsdException w:qFormat="1" w:unhideWhenUsed="0" w:uiPriority="99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="宋体"/>
      <w:sz w:val="22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widowControl/>
      <w:spacing w:before="200" w:after="80" w:line="240" w:lineRule="auto"/>
      <w:ind w:left="0" w:leftChars="0" w:firstLine="0" w:firstLineChars="0"/>
      <w:jc w:val="left"/>
      <w:outlineLvl w:val="0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4">
    <w:name w:val="heading 2"/>
    <w:next w:val="1"/>
    <w:link w:val="139"/>
    <w:qFormat/>
    <w:uiPriority w:val="9"/>
    <w:pPr>
      <w:widowControl/>
      <w:spacing w:before="200" w:after="80" w:line="240" w:lineRule="auto"/>
      <w:ind w:left="0" w:leftChars="0" w:firstLine="0" w:firstLineChars="0"/>
      <w:jc w:val="left"/>
      <w:outlineLvl w:val="1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5">
    <w:name w:val="heading 3"/>
    <w:next w:val="1"/>
    <w:link w:val="140"/>
    <w:qFormat/>
    <w:uiPriority w:val="9"/>
    <w:pPr>
      <w:widowControl/>
      <w:spacing w:before="160" w:after="40" w:line="240" w:lineRule="auto"/>
      <w:ind w:left="0" w:leftChars="0" w:firstLine="0" w:firstLineChars="0"/>
      <w:jc w:val="left"/>
      <w:outlineLvl w:val="2"/>
    </w:pPr>
    <w:rPr>
      <w:rFonts w:ascii="Times New Roman" w:hAnsi="Times New Roman" w:eastAsia="宋体" w:cs="Times New Roman"/>
      <w:b/>
      <w:sz w:val="24"/>
      <w:szCs w:val="22"/>
      <w:lang w:bidi="ar-SA"/>
    </w:rPr>
  </w:style>
  <w:style w:type="paragraph" w:styleId="6">
    <w:name w:val="heading 4"/>
    <w:next w:val="1"/>
    <w:link w:val="150"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5"/>
    <w:next w:val="1"/>
    <w:link w:val="151"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8">
    <w:name w:val="heading 6"/>
    <w:next w:val="1"/>
    <w:link w:val="152"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9">
    <w:name w:val="heading 7"/>
    <w:next w:val="1"/>
    <w:link w:val="153"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10">
    <w:name w:val="heading 8"/>
    <w:next w:val="1"/>
    <w:link w:val="154"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1">
    <w:name w:val="heading 9"/>
    <w:next w:val="1"/>
    <w:link w:val="155"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32">
    <w:name w:val="Default Paragraph Font"/>
    <w:uiPriority w:val="1"/>
  </w:style>
  <w:style w:type="table" w:default="1" w:styleId="3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ＭＳ 明朝" w:cs="宋体"/>
      <w:sz w:val="20"/>
      <w:szCs w:val="20"/>
      <w:lang w:val="en-US" w:eastAsia="en-US" w:bidi="ar-SA"/>
    </w:rPr>
  </w:style>
  <w:style w:type="paragraph" w:styleId="12">
    <w:name w:val="List 3"/>
    <w:basedOn w:val="1"/>
    <w:qFormat/>
    <w:uiPriority w:val="99"/>
    <w:pPr>
      <w:ind w:left="1080" w:hanging="360"/>
      <w:contextualSpacing/>
    </w:pPr>
  </w:style>
  <w:style w:type="paragraph" w:styleId="13">
    <w:name w:val="List Number 2"/>
    <w:basedOn w:val="1"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paragraph" w:styleId="16">
    <w:name w:val="List Bullet"/>
    <w:basedOn w:val="1"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4"/>
    <w:uiPriority w:val="99"/>
    <w:pPr>
      <w:widowControl/>
      <w:spacing w:before="0" w:after="0" w:line="240" w:lineRule="auto"/>
      <w:ind w:firstLine="0"/>
      <w:outlineLvl w:val="9"/>
    </w:pPr>
    <w:rPr>
      <w:rFonts w:ascii="Times New Roman" w:hAnsi="Calibri" w:eastAsia="宋体" w:cs="Times New Roman"/>
      <w:sz w:val="24"/>
    </w:rPr>
  </w:style>
  <w:style w:type="paragraph" w:styleId="20">
    <w:name w:val="List Number 3"/>
    <w:basedOn w:val="1"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iPriority w:val="99"/>
    <w:pPr>
      <w:ind w:left="720" w:hanging="360"/>
      <w:contextualSpacing/>
    </w:pPr>
  </w:style>
  <w:style w:type="paragraph" w:styleId="22">
    <w:name w:val="List Continue"/>
    <w:basedOn w:val="1"/>
    <w:uiPriority w:val="99"/>
    <w:pPr>
      <w:spacing w:after="120"/>
      <w:ind w:left="360"/>
      <w:contextualSpacing/>
    </w:pPr>
  </w:style>
  <w:style w:type="paragraph" w:styleId="23">
    <w:name w:val="List Bullet 2"/>
    <w:basedOn w:val="1"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link w:val="142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27">
    <w:name w:val="List"/>
    <w:basedOn w:val="1"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qFormat/>
    <w:uiPriority w:val="99"/>
    <w:pPr>
      <w:spacing w:after="120" w:line="480" w:lineRule="auto"/>
    </w:pPr>
  </w:style>
  <w:style w:type="paragraph" w:styleId="29">
    <w:name w:val="List Continue 2"/>
    <w:basedOn w:val="1"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qFormat/>
    <w:uiPriority w:val="99"/>
    <w:pPr>
      <w:spacing w:after="120"/>
      <w:ind w:left="1080"/>
      <w:contextualSpacing/>
    </w:pPr>
  </w:style>
  <w:style w:type="paragraph" w:styleId="31">
    <w:name w:val="Title"/>
    <w:next w:val="1"/>
    <w:link w:val="141"/>
    <w:qFormat/>
    <w:uiPriority w:val="10"/>
    <w:pPr>
      <w:widowControl/>
      <w:spacing w:before="240" w:after="120" w:line="240" w:lineRule="auto"/>
      <w:ind w:firstLine="2249" w:firstLineChars="700"/>
      <w:jc w:val="left"/>
      <w:outlineLvl w:val="9"/>
    </w:pPr>
    <w:rPr>
      <w:rFonts w:ascii="Times New Roman" w:hAnsi="Times New Roman" w:eastAsia="宋体" w:cs="Times New Roman"/>
      <w:b/>
      <w:sz w:val="32"/>
      <w:szCs w:val="22"/>
      <w:lang w:bidi="ar-SA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BFBFB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BFBFB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3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3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0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0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5D1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5D1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sz="8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sz="6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sz="8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sz="6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BFBFBF"/>
      </w:tcPr>
    </w:tblStylePr>
    <w:tblStylePr w:type="band1Horz">
      <w:tblPr/>
      <w:tcPr>
        <w:shd w:val="clear" w:color="auto" w:fill="BFBFB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  <w:tcPr>
        <w:shd w:val="clear" w:color="auto" w:fill="EFD3D3"/>
      </w:tcPr>
    </w:tblStylePr>
    <w:tblStylePr w:type="band1Horz">
      <w:tblPr/>
      <w:tcPr>
        <w:shd w:val="clear" w:color="auto" w:fill="EFD3D3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blPr/>
      <w:tcPr>
        <w:shd w:val="clear" w:color="auto" w:fill="D2EAF0"/>
      </w:tcPr>
    </w:tblStylePr>
    <w:tblStylePr w:type="band1Horz">
      <w:tblPr/>
      <w:tcPr>
        <w:shd w:val="clear" w:color="auto" w:fill="D2EAF0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  <w:tcPr>
        <w:shd w:val="clear" w:color="auto" w:fill="FDE5D1"/>
      </w:tcPr>
    </w:tblStylePr>
    <w:tblStylePr w:type="band1Horz">
      <w:tblPr/>
      <w:tcPr>
        <w:shd w:val="clear" w:color="auto" w:fill="FDE5D1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  <w:insideV w:val="single" w:color="3F3F3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  <w:insideV w:val="single" w:color="B4CC8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/>
    </w:tcPr>
    <w:tblStylePr w:type="firstRow">
      <w:rPr>
        <w:b/>
        <w:bCs/>
        <w:color w:val="000000"/>
      </w:rPr>
      <w:tblPr/>
      <w:tcPr>
        <w:shd w:val="clear" w:color="auto" w:fill="E5E5E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/>
      </w:tcPr>
    </w:tblStylePr>
    <w:tblStylePr w:type="nwCell">
      <w:tblPr/>
      <w:tcPr>
        <w:shd w:val="clear" w:color="auto" w:fill="FFFFFF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/>
      </w:tcPr>
    </w:tblStylePr>
    <w:tblStylePr w:type="nwCell">
      <w:tblPr/>
      <w:tcPr>
        <w:shd w:val="clear" w:color="auto" w:fill="FFFFFF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7F7F7F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7F7F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C0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C0DE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60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7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0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9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7F7F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B4D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C0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A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7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shd w:val="clear" w:color="auto" w:fill="CCCCCC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shd w:val="clear" w:color="auto" w:fill="F2DBDB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F83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D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F3730A"/>
      </w:tcPr>
    </w:tblStylePr>
    <w:tblStylePr w:type="lastRow">
      <w:rPr>
        <w:b/>
        <w:bCs/>
        <w:color w:val="F3740B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shd w:val="clear" w:color="auto" w:fill="DAEEF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58EA6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shd w:val="clear" w:color="auto" w:fill="FDE9D9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6091"/>
      </w:tcPr>
    </w:tblStylePr>
    <w:tblStylePr w:type="lastCol">
      <w:rPr>
        <w:color w:val="FFFFFF"/>
      </w:rPr>
      <w:tblPr/>
      <w:tcPr>
        <w:shd w:val="clear" w:color="auto" w:fill="36609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734"/>
      </w:tcPr>
    </w:tblStylePr>
    <w:tblStylePr w:type="lastCol">
      <w:rPr>
        <w:color w:val="FFFFFF"/>
      </w:rPr>
      <w:tblPr/>
      <w:tcPr>
        <w:shd w:val="clear" w:color="auto" w:fill="9437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9"/>
      </w:tcPr>
    </w:tblStylePr>
    <w:tblStylePr w:type="lastCol">
      <w:rPr>
        <w:color w:val="FFFFFF"/>
      </w:rPr>
      <w:tblPr/>
      <w:tcPr>
        <w:shd w:val="clear" w:color="auto" w:fill="E36C0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_e5bfb90a-e954-4a89-9e9a-bfb4c924ca92"/>
    <w:basedOn w:val="132"/>
    <w:link w:val="25"/>
    <w:uiPriority w:val="99"/>
  </w:style>
  <w:style w:type="character" w:customStyle="1" w:styleId="136">
    <w:name w:val="Footer Char_9fc92665-622b-4a64-9eb3-04d791a02f69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="Cambria" w:hAnsi="Cambria" w:eastAsia="ＭＳ 明朝" w:cs="宋体"/>
      <w:sz w:val="22"/>
      <w:szCs w:val="22"/>
      <w:lang w:val="en-US" w:eastAsia="en-US" w:bidi="ar-SA"/>
    </w:rPr>
  </w:style>
  <w:style w:type="character" w:customStyle="1" w:styleId="138">
    <w:name w:val="Heading 1 Char_b57e6bbf-6050-498d-b2c4-f616caf37cad"/>
    <w:basedOn w:val="132"/>
    <w:link w:val="3"/>
    <w:qFormat/>
    <w:uiPriority w:val="9"/>
    <w:rPr>
      <w:rFonts w:ascii="Calibri" w:hAnsi="Calibri" w:eastAsia="MS Gothic" w:cs="宋体"/>
      <w:b/>
      <w:bCs/>
      <w:color w:val="376092"/>
      <w:sz w:val="28"/>
      <w:szCs w:val="28"/>
    </w:rPr>
  </w:style>
  <w:style w:type="character" w:customStyle="1" w:styleId="139">
    <w:name w:val="Heading 2 Char_e24c4726-d7b3-46e2-b08b-102dd88b9ab9"/>
    <w:basedOn w:val="132"/>
    <w:link w:val="4"/>
    <w:qFormat/>
    <w:uiPriority w:val="9"/>
    <w:rPr>
      <w:rFonts w:ascii="Calibri" w:hAnsi="Calibri" w:eastAsia="MS Gothic" w:cs="宋体"/>
      <w:b/>
      <w:bCs/>
      <w:color w:val="4F81BD"/>
      <w:sz w:val="26"/>
      <w:szCs w:val="26"/>
    </w:rPr>
  </w:style>
  <w:style w:type="character" w:customStyle="1" w:styleId="140">
    <w:name w:val="Heading 3 Char_84c03ec5-9864-46fa-a730-d7bfd3ebe44e"/>
    <w:basedOn w:val="132"/>
    <w:link w:val="5"/>
    <w:qFormat/>
    <w:uiPriority w:val="9"/>
    <w:rPr>
      <w:rFonts w:ascii="Calibri" w:hAnsi="Calibri" w:eastAsia="MS Gothic" w:cs="宋体"/>
      <w:b/>
      <w:bCs/>
      <w:color w:val="4F81BD"/>
    </w:rPr>
  </w:style>
  <w:style w:type="character" w:customStyle="1" w:styleId="141">
    <w:name w:val="Title Char_7af7dce7-dcf3-4225-959b-e7080c07c646"/>
    <w:basedOn w:val="132"/>
    <w:link w:val="31"/>
    <w:qFormat/>
    <w:uiPriority w:val="10"/>
    <w:rPr>
      <w:rFonts w:ascii="Calibri" w:hAnsi="Calibri" w:eastAsia="MS Gothic" w:cs="宋体"/>
      <w:color w:val="17375E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="Calibri" w:hAnsi="Calibri" w:eastAsia="MS Gothic" w:cs="宋体"/>
      <w:i/>
      <w:iCs/>
      <w:color w:val="4F81BD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/>
    </w:rPr>
  </w:style>
  <w:style w:type="character" w:customStyle="1" w:styleId="149">
    <w:name w:val="Quote Char_cb41dfb9-41de-4d52-b8bc-09301e80a27d"/>
    <w:basedOn w:val="132"/>
    <w:link w:val="148"/>
    <w:qFormat/>
    <w:uiPriority w:val="29"/>
    <w:rPr>
      <w:i/>
      <w:iCs/>
      <w:color w:val="000000"/>
    </w:rPr>
  </w:style>
  <w:style w:type="character" w:customStyle="1" w:styleId="150">
    <w:name w:val="Heading 4 Char_7ea7e50f-586a-4f01-ab2e-75b0051a04d4"/>
    <w:basedOn w:val="132"/>
    <w:link w:val="6"/>
    <w:qFormat/>
    <w:uiPriority w:val="9"/>
    <w:rPr>
      <w:rFonts w:ascii="Calibri" w:hAnsi="Calibri" w:eastAsia="MS Gothic" w:cs="宋体"/>
      <w:b/>
      <w:bCs/>
      <w:i/>
      <w:iCs/>
      <w:color w:val="4F81BD"/>
    </w:rPr>
  </w:style>
  <w:style w:type="character" w:customStyle="1" w:styleId="151">
    <w:name w:val="Heading 5 Char_5a0e3743-4a4e-444f-b8ac-9acee62a2211"/>
    <w:basedOn w:val="132"/>
    <w:link w:val="7"/>
    <w:qFormat/>
    <w:uiPriority w:val="9"/>
    <w:rPr>
      <w:rFonts w:ascii="Calibri" w:hAnsi="Calibri" w:eastAsia="MS Gothic" w:cs="宋体"/>
      <w:color w:val="254061"/>
    </w:rPr>
  </w:style>
  <w:style w:type="character" w:customStyle="1" w:styleId="152">
    <w:name w:val="Heading 6 Char_12415d56-1c07-4b59-b188-5bf683ca318b"/>
    <w:basedOn w:val="132"/>
    <w:link w:val="8"/>
    <w:qFormat/>
    <w:uiPriority w:val="9"/>
    <w:rPr>
      <w:rFonts w:ascii="Calibri" w:hAnsi="Calibri" w:eastAsia="MS Gothic" w:cs="宋体"/>
      <w:i/>
      <w:iCs/>
      <w:color w:val="254061"/>
    </w:rPr>
  </w:style>
  <w:style w:type="character" w:customStyle="1" w:styleId="153">
    <w:name w:val="Heading 7 Char_e138e0fc-7527-4042-b631-4788dd3df872"/>
    <w:basedOn w:val="132"/>
    <w:link w:val="9"/>
    <w:qFormat/>
    <w:uiPriority w:val="9"/>
    <w:rPr>
      <w:rFonts w:ascii="Calibri" w:hAnsi="Calibri" w:eastAsia="MS Gothic" w:cs="宋体"/>
      <w:i/>
      <w:iCs/>
      <w:color w:val="3F3F3F"/>
    </w:rPr>
  </w:style>
  <w:style w:type="character" w:customStyle="1" w:styleId="154">
    <w:name w:val="Heading 8 Char_021b366a-737d-4e96-9170-4c100a1fa704"/>
    <w:basedOn w:val="132"/>
    <w:link w:val="10"/>
    <w:qFormat/>
    <w:uiPriority w:val="9"/>
    <w:rPr>
      <w:rFonts w:ascii="Calibri" w:hAnsi="Calibri" w:eastAsia="MS Gothic" w:cs="宋体"/>
      <w:color w:val="4F81BD"/>
      <w:sz w:val="20"/>
      <w:szCs w:val="20"/>
    </w:rPr>
  </w:style>
  <w:style w:type="character" w:customStyle="1" w:styleId="155">
    <w:name w:val="Heading 9 Char_b3dda999-5d95-4798-8574-e8a816ab6d4a"/>
    <w:basedOn w:val="132"/>
    <w:link w:val="11"/>
    <w:qFormat/>
    <w:uiPriority w:val="9"/>
    <w:rPr>
      <w:rFonts w:ascii="Calibri" w:hAnsi="Calibri" w:eastAsia="MS Gothic" w:cs="宋体"/>
      <w:i/>
      <w:iCs/>
      <w:color w:val="3F3F3F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7">
    <w:name w:val="Intense Quote Char_81156602-a4a1-4fe5-afc6-4fefe21051f0"/>
    <w:basedOn w:val="132"/>
    <w:link w:val="156"/>
    <w:qFormat/>
    <w:uiPriority w:val="30"/>
    <w:rPr>
      <w:b/>
      <w:bCs/>
      <w:i/>
      <w:iCs/>
      <w:color w:val="4F81BD"/>
    </w:rPr>
  </w:style>
  <w:style w:type="character" w:customStyle="1" w:styleId="158">
    <w:name w:val="Subtle Emphasis_1c5d0e5e-c022-4435-b71f-eafa881f7e3d"/>
    <w:basedOn w:val="132"/>
    <w:qFormat/>
    <w:uiPriority w:val="19"/>
    <w:rPr>
      <w:i/>
      <w:iCs/>
      <w:color w:val="7F7F7F"/>
    </w:rPr>
  </w:style>
  <w:style w:type="character" w:customStyle="1" w:styleId="159">
    <w:name w:val="Intense Emphasis_b60f5aab-b8f3-4390-bc13-8d8e785fbd15"/>
    <w:basedOn w:val="132"/>
    <w:qFormat/>
    <w:uiPriority w:val="21"/>
    <w:rPr>
      <w:b/>
      <w:bCs/>
      <w:i/>
      <w:iCs/>
      <w:color w:val="4F81BD"/>
    </w:rPr>
  </w:style>
  <w:style w:type="character" w:customStyle="1" w:styleId="160">
    <w:name w:val="Subtle Reference_dc98bc4b-b8d8-4e87-8b66-43c726ee7cf7"/>
    <w:basedOn w:val="132"/>
    <w:qFormat/>
    <w:uiPriority w:val="31"/>
    <w:rPr>
      <w:smallCaps/>
      <w:color w:val="C0504D"/>
      <w:u w:val="single"/>
    </w:rPr>
  </w:style>
  <w:style w:type="character" w:customStyle="1" w:styleId="161">
    <w:name w:val="Intense Reference_af665110-7cdb-48c6-a289-53b3d0f78ba7"/>
    <w:basedOn w:val="132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2">
    <w:name w:val="Book Title_817f7347-d0a8-42fa-a89e-dd11e31a8240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_a09b28bc-07ab-4c8d-9d52-ccfe4e5d8982"/>
    <w:basedOn w:val="3"/>
    <w:next w:val="1"/>
    <w:qFormat/>
    <w:uiPriority w:val="39"/>
    <w:pPr>
      <w:outlineLvl w:val="9"/>
    </w:pPr>
  </w:style>
  <w:style w:type="paragraph" w:customStyle="1" w:styleId="164">
    <w:name w:val="附录标题"/>
    <w:next w:val="1"/>
    <w:uiPriority w:val="0"/>
    <w:pPr>
      <w:widowControl/>
      <w:spacing w:before="240" w:after="120" w:line="240" w:lineRule="auto"/>
      <w:jc w:val="left"/>
      <w:outlineLvl w:val="0"/>
    </w:pPr>
    <w:rPr>
      <w:rFonts w:ascii="Times New Roman" w:hAnsi="Times New Roman" w:eastAsia="宋体" w:cs="Times New Roman"/>
      <w:b/>
      <w:sz w:val="32"/>
      <w:szCs w:val="2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6177</Words>
  <Characters>8198</Characters>
  <Paragraphs>258</Paragraphs>
  <TotalTime>44</TotalTime>
  <ScaleCrop>false</ScaleCrop>
  <LinksUpToDate>false</LinksUpToDate>
  <CharactersWithSpaces>8395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任坦坦</cp:lastModifiedBy>
  <dcterms:modified xsi:type="dcterms:W3CDTF">2026-03-13T00:49:44Z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eyJoZGlkIjoiZmVkODE5NWRmODIwMDgyYmEwMmViZmY1NjUzNzVlODIiLCJ1c2VySWQiOiI5NjExNDM1MzcifQ==</vt:lpwstr>
  </property>
  <property fmtid="{D5CDD505-2E9C-101B-9397-08002B2CF9AE}" pid="3" name="KSOProductBuildVer">
    <vt:lpwstr>2052-12.1.0.21171</vt:lpwstr>
  </property>
  <property fmtid="{D5CDD505-2E9C-101B-9397-08002B2CF9AE}" pid="4" name="ICV">
    <vt:lpwstr>6ff622204e95412ab841161ff8d0c6ee_23</vt:lpwstr>
  </property>
</Properties>
</file>