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7B2D6">
      <w:pPr>
        <w:pStyle w:val="31"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TDSC 研究标准操作规程（SOP）</w:t>
      </w:r>
    </w:p>
    <w:p w14:paraId="5E2CE608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</w:rPr>
        <w:t>SOP01：患者分层工具包（V1.3 修订版）</w:t>
      </w:r>
    </w:p>
    <w:p w14:paraId="613EAE9B">
      <w:pPr>
        <w:pStyle w:val="31"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Patient Stratification Toolkit</w:t>
      </w:r>
    </w:p>
    <w:p w14:paraId="3B941210">
      <w:pPr>
        <w:rPr>
          <w:rFonts w:hint="default" w:ascii="Times New Roman" w:hAnsi="Times New Roman" w:eastAsia="宋体" w:cs="Times New Roman"/>
          <w:sz w:val="24"/>
          <w:szCs w:val="24"/>
        </w:rPr>
      </w:pP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1"/>
        <w:gridCol w:w="4641"/>
      </w:tblGrid>
      <w:tr w14:paraId="47546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822CCD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受控文件编号</w:t>
            </w:r>
          </w:p>
        </w:tc>
        <w:tc>
          <w:tcPr>
            <w:tcW w:w="2500" w:type="pct"/>
          </w:tcPr>
          <w:p w14:paraId="7763122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TDSC-SOP-01</w:t>
            </w:r>
          </w:p>
        </w:tc>
      </w:tr>
      <w:tr w14:paraId="7E627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5A514E3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版本</w:t>
            </w:r>
          </w:p>
        </w:tc>
        <w:tc>
          <w:tcPr>
            <w:tcW w:w="2500" w:type="pct"/>
          </w:tcPr>
          <w:p w14:paraId="38B289F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V1.3</w:t>
            </w:r>
          </w:p>
        </w:tc>
      </w:tr>
      <w:tr w14:paraId="402F4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574795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生效日期</w:t>
            </w:r>
          </w:p>
        </w:tc>
        <w:tc>
          <w:tcPr>
            <w:tcW w:w="2500" w:type="pct"/>
          </w:tcPr>
          <w:p w14:paraId="3ACE6A0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2026-03-17</w:t>
            </w:r>
          </w:p>
        </w:tc>
      </w:tr>
      <w:tr w14:paraId="74586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C3AE8B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适用研究</w:t>
            </w:r>
          </w:p>
        </w:tc>
        <w:tc>
          <w:tcPr>
            <w:tcW w:w="2500" w:type="pct"/>
          </w:tcPr>
          <w:p w14:paraId="2907D4D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TDSC（TB-Diabetes Short Course）Study</w:t>
            </w:r>
          </w:p>
        </w:tc>
      </w:tr>
      <w:tr w14:paraId="64789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C2CDE5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对应研究方案</w:t>
            </w:r>
          </w:p>
        </w:tc>
        <w:tc>
          <w:tcPr>
            <w:tcW w:w="2500" w:type="pct"/>
          </w:tcPr>
          <w:p w14:paraId="4DF8426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TDSC 研究方案 V2.0（2026-02-28）</w:t>
            </w:r>
          </w:p>
        </w:tc>
      </w:tr>
      <w:tr w14:paraId="6377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56FE84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起草</w:t>
            </w:r>
          </w:p>
        </w:tc>
        <w:tc>
          <w:tcPr>
            <w:tcW w:w="2500" w:type="pct"/>
          </w:tcPr>
          <w:p w14:paraId="4586BA0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____________</w:t>
            </w:r>
          </w:p>
        </w:tc>
      </w:tr>
      <w:tr w14:paraId="380D9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7FE329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审核</w:t>
            </w:r>
          </w:p>
        </w:tc>
        <w:tc>
          <w:tcPr>
            <w:tcW w:w="2500" w:type="pct"/>
          </w:tcPr>
          <w:p w14:paraId="169FB59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____________</w:t>
            </w:r>
          </w:p>
        </w:tc>
      </w:tr>
      <w:tr w14:paraId="14122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BBE115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批准</w:t>
            </w:r>
          </w:p>
        </w:tc>
        <w:tc>
          <w:tcPr>
            <w:tcW w:w="2500" w:type="pct"/>
          </w:tcPr>
          <w:p w14:paraId="5C2F563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____________</w:t>
            </w:r>
          </w:p>
        </w:tc>
      </w:tr>
    </w:tbl>
    <w:p w14:paraId="4E3E6BB7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7699422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目的</w:t>
      </w:r>
    </w:p>
    <w:p w14:paraId="1F27AC39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建立一套可在多中心临床试验中直接执行的肺结核（pulmonary tuberculosis, PTB）患者分层工具包与操作流程，用于：</w:t>
      </w:r>
    </w:p>
    <w:p w14:paraId="34B3AAF7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入组/随机前（Baseline）的风险分层与随机分层因子设定；</w:t>
      </w:r>
    </w:p>
    <w:p w14:paraId="2CAD10DE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治疗开始后的早期反应分层（On-treatment），用于风险提示、动态校正与预设亚组分析；</w:t>
      </w:r>
    </w:p>
    <w:p w14:paraId="231883B7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保证跨中心实验室与影像判读的一致性，降低系统性偏倚。</w:t>
      </w:r>
    </w:p>
    <w:p w14:paraId="728836F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适用范围</w:t>
      </w:r>
    </w:p>
    <w:p w14:paraId="4409A028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本SOP适用于TDSC研究（TB-DM人群结核病短程治疗方案研究）及同类以药物治疗为核心的PTB临床试验，尤其适用于：</w:t>
      </w:r>
    </w:p>
    <w:p w14:paraId="01B252E3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分中心Xpert报告格式不一致（Ct值/半定量等级/平台差异）；</w:t>
      </w:r>
    </w:p>
    <w:p w14:paraId="50DF57AE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同时获取Xpert/Ultra与抗酸染色（AFB）结果，需要保守合并判定；</w:t>
      </w:r>
    </w:p>
    <w:p w14:paraId="31E00776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以胸片（CXR）为主要影像分层依据，胸部CT作为辅助信息。</w:t>
      </w:r>
    </w:p>
    <w:p w14:paraId="1E096A0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术语与缩略语</w:t>
      </w:r>
    </w:p>
    <w:p w14:paraId="2B9B8692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AFB：抗酸杆菌涂片。</w:t>
      </w:r>
    </w:p>
    <w:p w14:paraId="4EF0FB2F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CXR：胸部X线片（胸片）。</w:t>
      </w:r>
    </w:p>
    <w:p w14:paraId="5582D2E3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CT：胸部计算机断层扫描（本SOP仅作为补充记录）。</w:t>
      </w:r>
    </w:p>
    <w:p w14:paraId="713F0985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Ralph score：基于胸片病变范围与空洞情况评估肺结核影像严重程度的评分工具。</w:t>
      </w:r>
    </w:p>
    <w:p w14:paraId="4A1EB4DD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AFB原始分级：指实验室原始报告的抗酸染色分级，可为国内0/1/2/3/4、国内“报告菌数”、国际0/scanty/1+/2+/3+，或“+至++++”等形式。</w:t>
      </w:r>
    </w:p>
    <w:p w14:paraId="7429FD5E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AFBSeverity（三级）：将AFB原始结果折叠为S1（阴性/报告菌数/scanty）、S2（1+）与S3（≥2+）三级，对应较低、边界及较高涂片菌量。</w:t>
      </w:r>
    </w:p>
    <w:p w14:paraId="A0595EED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Xpert：GeneXpert MTB/RIF；Ultra：GeneXpert MTB/RIF Ultra。</w:t>
      </w:r>
    </w:p>
    <w:p w14:paraId="7BEA0CBC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Ct：循环阈值（cycle threshold）。</w:t>
      </w:r>
    </w:p>
    <w:p w14:paraId="B25E7D5E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Bacteriological Severity（三级）：基于Xpert/Xpert Ultra平台特异性分子负荷与AFB三级分级综合判定的细菌学严重程度（低/中/高）。</w:t>
      </w:r>
    </w:p>
    <w:p w14:paraId="B035C7FE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Imaging Severity（三级）：基于Ralph score与空洞特征判定的胸片影像严重程度（轻/中/重）。</w:t>
      </w:r>
    </w:p>
    <w:p w14:paraId="1887F620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SeverityLayer（运行分层）：综合细菌学与影像学结果后判定为轻症、轻症扩展层或中重度；母研究正式两分类时，可按预设规则将轻症扩展层并入轻症或中重度。</w:t>
      </w:r>
    </w:p>
    <w:p w14:paraId="46FB6771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Red flag：高风险提示变量（如最大空洞径&gt;4 cm）。</w:t>
      </w:r>
    </w:p>
    <w:p w14:paraId="6C008B46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PCD（Persistent Clinical Disease）：Week 8时症状仍存在且涂片仍阳性。</w:t>
      </w:r>
    </w:p>
    <w:p w14:paraId="0D6967E4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PPTR（Possible Poor Treatment Response）：研究者怀疑疗效欠佳并考虑调整/延长/重启治疗的情形。</w:t>
      </w:r>
    </w:p>
    <w:p w14:paraId="46684F4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职责分工</w:t>
      </w:r>
    </w:p>
    <w:p w14:paraId="5A821AFD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主要研究者（PI）：批准分层规则与版本更新；对关键判定争议进行最终裁决。</w:t>
      </w:r>
    </w:p>
    <w:p w14:paraId="04ECB34F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分中心研究医生/CRC：按时间窗完成标本采集、结果录入与缺失补采；执行本SOP的质控触发与追溯。</w:t>
      </w:r>
    </w:p>
    <w:p w14:paraId="2B1B7603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实验室：按统一要求报告检测平台、报告格式与原始结果；对“不一致”情形进行复核。</w:t>
      </w:r>
    </w:p>
    <w:p w14:paraId="076E9863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影像科/中心阅片组：按统一空洞与范围定义进行判读；必要时进行双人阅片与仲裁。</w:t>
      </w:r>
    </w:p>
    <w:p w14:paraId="2607EFB6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数据管理（DM）：在EDC中实现派生变量与逻辑校验；生成分层报表与缺失/异常清单；负责随机前关键分层字段锁定。</w:t>
      </w:r>
    </w:p>
    <w:p w14:paraId="7C0401EA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中心研究临床医生（如设定）：对PPTR病例进行讨论并给出处置建议；协调必要的专家仲裁。</w:t>
      </w:r>
    </w:p>
    <w:p w14:paraId="2F74B6B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所需资料与工具</w:t>
      </w:r>
    </w:p>
    <w:p w14:paraId="3FBB0E98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实验室：Xpert Ultra结果（优先记录Ct值；如仅报告半定量等级亦需保留原始结果），AFB涂片原始分级〔可为国内0/1/2/3/4、国内“报告菌数”、国际0/scanty/1+/2+/3+，或“+至++++”〕；培养结果（如研究方案要求）。</w:t>
      </w:r>
    </w:p>
    <w:p w14:paraId="90F71F85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影像学：基线CXR（必需，用于计算Ralph score并判定空洞）；胸部CT（可选，作为补充，不作为主分层口径）。</w:t>
      </w:r>
    </w:p>
    <w:p w14:paraId="26B74F72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EDC/eCRF：需包含第10节字段字典所列原始字段与派生字段，并具备逻辑核查与审计追踪。</w:t>
      </w:r>
    </w:p>
    <w:p w14:paraId="B50866BB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统一判读材料：Ralph score评分说明、空洞判读示例、症状清单、质控触发与处理记录表。</w:t>
      </w:r>
    </w:p>
    <w:p w14:paraId="4C2A4D8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入组时患者分层（Baseline）</w:t>
      </w:r>
    </w:p>
    <w:p w14:paraId="46209715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时间窗</w:t>
      </w:r>
    </w:p>
    <w:p w14:paraId="2217B529">
      <w:pPr>
        <w:pStyle w:val="19"/>
        <w:widowControl/>
        <w:rPr>
          <w:rFonts w:hint="default" w:ascii="Times New Roman" w:hAnsi="Times New Roman" w:eastAsia="宋体" w:cs="Times New Roman"/>
          <w:b w:val="0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基线分层信息建议在首次给药前完成采集。若存在滞后，允许使用首次给药前7天内获得的最近一次结果（以采样日期为准）。</w:t>
      </w:r>
    </w:p>
    <w:p w14:paraId="1D21CEEB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痰菌阳性度轴：Xpert/Xpert Ultra与AFB的统一记录、换算与判定</w:t>
      </w:r>
    </w:p>
    <w:p w14:paraId="0A47AED4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本SOP采用“平台特异解释、原始结果留痕、重症信号优先但允许边界层综合判定”的原则：患者分层优先使用Xpert/Xpert Ultra原始报告（Ct值或半定量等级）与AFB原始分级；如同时存在多个指标，应先在各自平台内完成低/中/高分层，再进入综合判定，避免将Xpert与Ultra的Ct值直接视为可互换。</w:t>
      </w:r>
    </w:p>
    <w:p w14:paraId="178196F0">
      <w:pPr>
        <w:pStyle w:val="5"/>
        <w:widowControl/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记录检测平台与报告格式（必填）</w:t>
      </w:r>
    </w:p>
    <w:p w14:paraId="E4527A9F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检测平台：可记录Xpert MTB/RIF Ultra或Xpert MTB/RIF；必须原样记录平台名称，不得在EDC中以统一Ct阈值替代平台信息。</w:t>
      </w:r>
    </w:p>
    <w:p w14:paraId="F90F73B6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报告格式：是否报告Ct值；是否报告半定量等级；AFB是否采用国内或国际分级体系。</w:t>
      </w:r>
    </w:p>
    <w:p w14:paraId="DBF76D62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原始结果：如有Ct须录入数值；如无Ct则录入半定量等级；AFB需保留原始报告文本。</w:t>
      </w:r>
    </w:p>
    <w:p w14:paraId="1C9266E2">
      <w:pPr>
        <w:pStyle w:val="5"/>
        <w:widowControl/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Xpert/Xpert Ultra分子负荷判定规则</w:t>
      </w:r>
    </w:p>
    <w:p w14:paraId="52BDC9DC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若使用Xpert MTB/RIF：very low，或Ct＞28，判定为低分子负荷（B1）；low，或22＜Ct≤28，判定为中分子负荷（B2）；medium/high，或Ct≤22，判定为高分子负荷（B3）。</w:t>
      </w:r>
    </w:p>
    <w:p w14:paraId="0DD6C4AD">
      <w:pPr>
        <w:pStyle w:val="19"/>
        <w:widowControl/>
        <w:rPr>
          <w:rFonts w:hint="eastAsia" w:ascii="Times New Roman" w:hAnsi="Times New Roman" w:eastAsia="宋体" w:cs="Times New Roman"/>
          <w:b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若使用Xpert MTB/RIF Ultra：trace或very low判定为低分子负荷（B1）；low判定为中分子负荷（B2）；medium/high判定为高分子负荷（B3）。</w:t>
      </w:r>
      <w:r>
        <w:rPr>
          <w:rFonts w:hint="eastAsia" w:hAnsi="Times New Roman" w:cs="Times New Roman"/>
          <w:lang w:val="en-US" w:eastAsia="zh-CN"/>
        </w:rPr>
        <w:t>注意，对于 Xpert MTB/RIF Ultra，Cepheid 的官方说明书只明确列出结果等级为：high、medium、low、very low、trace，并没有像原始 Xpert 那样公开写出每一档固定对应的 Ct 区间。</w:t>
      </w:r>
      <w:bookmarkStart w:id="0" w:name="_GoBack"/>
      <w:bookmarkEnd w:id="0"/>
    </w:p>
    <w:p w14:paraId="1FCC1EA5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如仅有半定量等级而无Ct值，应优先按该平台的半定量等级直接分层并保留原始结果；在随机/分层前无法确认平台或结果真实性时，不可直接判定为轻症，但可暂列待复核。</w:t>
      </w:r>
    </w:p>
    <w:p w14:paraId="103CC6C9">
      <w:pPr>
        <w:pStyle w:val="5"/>
        <w:widowControl/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AFB原始分级、国内外对应关系与本SOP折叠规则</w:t>
      </w:r>
    </w:p>
    <w:p w14:paraId="B50F13CB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两套抗酸染色分级体系在低菌量区间的切点并不完全一致，而且国内标准还保留了一个“报告菌数（1–8条/300视野）”的过渡层。</w:t>
      </w:r>
    </w:p>
    <w:p w14:paraId="E5CEB159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若按萋-尼氏染色（Ziehl–Neelsen, ZN）、油镜读片来比较，国内标准为：阴性=300视野未见；报告菌数=1–8条/300视野；1=3–9条/100视野；2=1–9条/10视野；3=1–9条/每视野；4=≥10条/每视野。国际常用WHO/IUATLD体系通常写作：阴性、scanty/rare、1+、2+、3+；其阈值大致为0/100视野、1–9条/100视野、10–99条/100视野、1–10条/每视野、&gt;10条/每视野。国际上的scanty/rare（痕量）大致相当于中国分级体系中的极低度阳性涂片，涵盖中国标准中的“报告菌数”类别以及中国1的一部分；中国的2、3和4则大致分别对应国际标准中的1+、2+和3+。</w:t>
      </w:r>
    </w:p>
    <w:p w14:paraId="3E661218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在本SOP中，为便于与“轻症/中重度”分层衔接，AFB原始结果按三级折叠：</w:t>
      </w:r>
    </w:p>
    <w:p w14:paraId="137C79F3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S1：阴性、报告菌数、scanty/rare；S2：1+；S3：≥2+（国内3–4大致对应国际2+/3+）。</w:t>
      </w:r>
    </w:p>
    <w:p w14:paraId="CA18B2E8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若原始报告为“+至++++”，原则上“+”归入S2，“++至++++”归入S3；如报告为“报告菌数”，归入S1。建议在EDC中同时保留AFB原始报告文本、所用分级体系（国内/国际/其他）及折叠后的AFB</w:t>
      </w:r>
      <w:r>
        <w:rPr>
          <w:rFonts w:hint="eastAsia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Severity。</w:t>
      </w:r>
    </w:p>
    <w:p w14:paraId="3A2D58EF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建议在EDC中同时保留AFB原始报告文本、所用分级体系（国内/国际/其他）及折叠后的AFBSeverity。</w:t>
      </w:r>
    </w:p>
    <w:p w14:paraId="3F9B1F58">
      <w:pPr>
        <w:pStyle w:val="5"/>
        <w:widowControl/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细菌学严重程度（Bacteriological Severity）判定</w:t>
      </w:r>
    </w:p>
    <w:p w14:paraId="5599DE7A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若同时具有分子结果与AFB结果：当分子负荷为B1且AFB为S1时，判定为“细菌学低”；当分子负荷为B3或AFB为S3时，判定为“细菌学高”；其余情形（如B2，或B1+S2）判定为“细菌学中间”。</w:t>
      </w:r>
    </w:p>
    <w:p w14:paraId="7150D72B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若仅有一项指标：该指标为高层级时判定为“细菌学高”；该指标为低层级时可判定为“细菌学低（待影像确认）”；该指标为中间层级时判定为“细菌学中间”。</w:t>
      </w:r>
    </w:p>
    <w:p w14:paraId="CA52A087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若关键细菌学信息缺失、不可判读或存在重大不一致，须在随机/分层前完成复核；未完成前不得直接判定为明确轻症，但可保留为“待综合判定/边界层”。</w:t>
      </w:r>
    </w:p>
    <w:p w14:paraId="91644D52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示例：Ultra trace且AFB阴性 → 细菌学低；Xpert low且AFB阴性 → 细菌学中间；Xpert Ct=31但AFB 1+ → 细菌学中间；Ultra medium且AFB阴性 → 细菌学高。</w:t>
      </w:r>
    </w:p>
    <w:p w14:paraId="1D18CD1D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胸片影像严重程度轴：Ralph score与空洞（以CXR为准）</w:t>
      </w:r>
    </w:p>
    <w:p w14:paraId="44036C8D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为保证跨中心可比性与全球可推广性，本SOP规定：Baseline分层的影像口径以CXR为主；CT信息仅作补充记录。若CXR不可判读，应优先复拍；无法复拍时提交中心阅片组裁定。</w:t>
      </w:r>
    </w:p>
    <w:p w14:paraId="F8C527FC">
      <w:pPr>
        <w:pStyle w:val="5"/>
        <w:widowControl/>
        <w:numPr>
          <w:ilvl w:val="0"/>
          <w:numId w:val="10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CXR判读要素（必填）</w:t>
      </w:r>
    </w:p>
    <w:p w14:paraId="1E603C4C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Ralph score：记录数值及评分日期。</w:t>
      </w:r>
    </w:p>
    <w:p w14:paraId="1D75DDBB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空洞（cavity）有无：是/否/不可判读。</w:t>
      </w:r>
    </w:p>
    <w:p w14:paraId="4BBFD09A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最大空洞径：cm（如多发空洞记录最大者；无空洞则置空）。</w:t>
      </w:r>
    </w:p>
    <w:p w14:paraId="46385871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4C9FF73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为兼容 TDSC 的嵌套影像学子研究，建议在不改变母研究运行规则的前提下，于 EDC 同步结构化采集以下原始字段：PLI 原始分区或总 PLI、空洞数量、最大空洞径、单双侧以及单发/多发。上述字段主要用于发表性研究与增量分析，不替代本 SOP 的实时分层判定。</w:t>
      </w:r>
    </w:p>
    <w:p w14:paraId="969A7B2D">
      <w:pPr>
        <w:pStyle w:val="5"/>
        <w:widowControl/>
        <w:numPr>
          <w:ilvl w:val="0"/>
          <w:numId w:val="10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影像严重程度（Imaging Severity）判定规则</w:t>
      </w:r>
    </w:p>
    <w:p w14:paraId="BEA9311D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影像轻（I1）：</w:t>
      </w:r>
      <w:r>
        <w:rPr>
          <w:rFonts w:hint="eastAsia" w:hAnsi="Times New Roman" w:cs="Times New Roman"/>
          <w:lang w:eastAsia="zh-CN"/>
        </w:rPr>
        <w:t>Ralph score＜50</w:t>
      </w:r>
      <w:r>
        <w:rPr>
          <w:rFonts w:hint="default" w:ascii="Times New Roman" w:hAnsi="Times New Roman" w:eastAsia="宋体" w:cs="Times New Roman"/>
        </w:rPr>
        <w:t>且无肺部空洞。</w:t>
      </w:r>
    </w:p>
    <w:p w14:paraId="A3E1CFE0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影像中间（I2）：</w:t>
      </w:r>
      <w:r>
        <w:rPr>
          <w:rFonts w:hint="eastAsia" w:hAnsi="Times New Roman" w:cs="Times New Roman"/>
          <w:lang w:eastAsia="zh-CN"/>
        </w:rPr>
        <w:t>Ralph score＜50</w:t>
      </w:r>
      <w:r>
        <w:rPr>
          <w:rFonts w:hint="default" w:ascii="Times New Roman" w:hAnsi="Times New Roman" w:eastAsia="宋体" w:cs="Times New Roman"/>
        </w:rPr>
        <w:t>，但存在单发、小型或边界不清空洞（建议最大径＜2 cm），经阅片后认为总体病变仍偏局限。</w:t>
      </w:r>
    </w:p>
    <w:p w14:paraId="0A7F110F">
      <w:pPr>
        <w:pStyle w:val="5"/>
        <w:widowControl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影像重（I3）：</w:t>
      </w:r>
      <w:r>
        <w:rPr>
          <w:rFonts w:hint="eastAsia" w:cs="Times New Roman"/>
          <w:lang w:eastAsia="zh-CN"/>
        </w:rPr>
        <w:t>Ralph score≥50</w:t>
      </w:r>
      <w:r>
        <w:rPr>
          <w:rFonts w:hint="default" w:ascii="Times New Roman" w:hAnsi="Times New Roman" w:eastAsia="宋体" w:cs="Times New Roman"/>
        </w:rPr>
        <w:t>，或存在明确空洞（尤其多发、较大或结构破坏明显者）。</w:t>
      </w:r>
    </w:p>
    <w:p w14:paraId="F50E83FA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红旗变量（Red flags）：最大空洞径&gt;4 cm、双侧广泛受累、进行性破坏征象等应自动标记为“红旗=是”，用于风险提示与加强随访。</w:t>
      </w:r>
    </w:p>
    <w:p w14:paraId="ECB784EA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影像质量不足、Ralph score缺失或空洞状态不可判读：需在48小时内复拍或补评；无法完成者提交中心阅片组裁定并记录。对于小空洞/可疑空洞，优先进入I2而非直接按I3处理。</w:t>
      </w:r>
    </w:p>
    <w:p w14:paraId="9E6614D5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TDSC研究中的使用方式（母研究运行口径）</w:t>
      </w:r>
    </w:p>
    <w:p w14:paraId="2544E13E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当前 TDSC 母研究的官方基线队列分配工具为专家规则型工具，核心整合两条主轴：痰菌阳性度严重程度与胸片影像严重程度。</w:t>
      </w:r>
    </w:p>
    <w:p w14:paraId="3EAF4895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本SOP中的Bacteriological Severity、Imaging Severity与SeverityLayer属于母研究运行工具（trial operations tool），用于基线分层、队列分配、随机化实施和EDC留痕，其目的在于保证跨中心可复制、可审核，同时兼顾研究可招募性，不追求将所有灰区患者一律压入中重度。</w:t>
      </w:r>
    </w:p>
    <w:p w14:paraId="0B5DD7DD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随机化分层因素统一为：研究中心 + 菌负荷层级 + 影像范围层级 + HbA1c 分层；其具体阈值与映射规则以 Randomization Specification 与 SAP 锁定版本为准。若母研究正式仅使用两分类，则建议将“轻症扩展层”预先映射为轻症并在敏感性分析中单列评估。</w:t>
      </w:r>
    </w:p>
    <w:p w14:paraId="7BC1755F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轻症/中重度判定依本SOP的操作规则执行。HbA1c不参与轻症/中重度定义，也不参与队列B第6月微生物学安全门槛（Hard Gate）判定。</w:t>
      </w:r>
    </w:p>
    <w:p w14:paraId="57FA7F19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为避免概念混淆，基于 CXR 的嵌套影像学子研究可进一步使用 PLI 与空洞二维框架开展发表性分析，但不替代本 SOP 的实时分层规则。</w:t>
      </w:r>
    </w:p>
    <w:p w14:paraId="217A8E91">
      <w:pPr>
        <w:pStyle w:val="19"/>
        <w:widowControl/>
        <w:numPr>
          <w:ilvl w:val="0"/>
          <w:numId w:val="11"/>
        </w:numPr>
        <w:topLinePunct w:val="0"/>
        <w:ind w:left="0" w:leftChars="0" w:firstLine="0" w:firstLineChars="0"/>
        <w:rPr>
          <w:rFonts w:hint="default" w:ascii="Times New Roman" w:hAnsi="Times New Roman" w:eastAsia="宋体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轻症定义（definite mild）：需同时满足以下条件：</w:t>
      </w:r>
    </w:p>
    <w:p w14:paraId="664C0BB4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① 细菌学为低层级（B1+S1，或仅有单一低层级证据且无相反高危证据）；② 影像为I1；③ 无红旗变量；④ 无其他明确中重度证据。</w:t>
      </w:r>
    </w:p>
    <w:p w14:paraId="96B8B91D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轻症扩展层（expanded mild）：总体偏轻，但允许存在1个边界项。例如：B2+S1+I1；B1+S2+I1；B1+S1+I2。轻症扩展层可进入轻症路径，但须在EDC中单独标记，并在统计分析中开展敏感性分析。</w:t>
      </w:r>
    </w:p>
    <w:p w14:paraId="5EC562B7">
      <w:pPr>
        <w:pStyle w:val="19"/>
        <w:widowControl/>
        <w:numPr>
          <w:ilvl w:val="0"/>
          <w:numId w:val="11"/>
        </w:numPr>
        <w:topLinePunct w:val="0"/>
        <w:ind w:left="0" w:leftChars="0" w:firstLine="0" w:firstLineChars="0"/>
        <w:rPr>
          <w:rFonts w:hint="default" w:ascii="Times New Roman" w:hAnsi="Times New Roman" w:eastAsia="宋体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中重度定义：满足以下任一条件即可判定为中重度——细菌学高层级（B3或S3），或影像为I3，或存在明确红旗变量。对于不满足明确轻症且边界项超过1项者，亦归入中重度。</w:t>
      </w:r>
    </w:p>
    <w:p w14:paraId="3A9F8E00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如影像/细菌学存在“不可判读”或重大不一致，应在随机/分配前完成复核或提交中心仲裁，并保留原始记录与最终裁定；未完成前可暂列待判，不直接进入明确轻症。</w:t>
      </w:r>
    </w:p>
    <w:p w14:paraId="C2A05B29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缺失、不一致与保守判定规则</w:t>
      </w:r>
    </w:p>
    <w:p w14:paraId="D04593F5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为保证分层可复制、可核查且不因规则过严显著影响招募，本节规定关键指标缺失、不一致和保守处理的优先级，并允许符合条件的边界病例进入“轻症扩展层”。</w:t>
      </w:r>
    </w:p>
    <w:p w14:paraId="C712A175">
      <w:pPr>
        <w:pStyle w:val="5"/>
        <w:widowControl/>
        <w:numPr>
          <w:ilvl w:val="0"/>
          <w:numId w:val="12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细菌学缺失处理</w:t>
      </w:r>
    </w:p>
    <w:p w14:paraId="AC69574F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若分子结果缺失但AFB可得，则依据AFB先行分层；AFB为S3者直接判定为中重度，AFB为S1者仅在影像为I1且无红旗时可进入轻症扩展层，AFB为S2者进入待综合判定。</w:t>
      </w:r>
    </w:p>
    <w:p w14:paraId="4C022AA6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若AFB缺失但分子结果可得，则依据平台特异的分子负荷先行分层；B3者直接判定为中重度，B1者在影像为I1且无红旗时可进入轻症扩展层，B2者进入待综合判定。</w:t>
      </w:r>
    </w:p>
    <w:p w14:paraId="52C33134">
      <w:pPr>
        <w:pStyle w:val="5"/>
        <w:widowControl/>
        <w:numPr>
          <w:ilvl w:val="0"/>
          <w:numId w:val="12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影像缺失处理</w:t>
      </w:r>
    </w:p>
    <w:p w14:paraId="1DFED724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若Ralph score缺失或空洞状态不可判读，应优先在48小时内补做胸片评分/中心阅片；在完成前不得判定为明确轻症，但可暂列待判。</w:t>
      </w:r>
    </w:p>
    <w:p w14:paraId="35F2DE0D">
      <w:pPr>
        <w:pStyle w:val="5"/>
        <w:widowControl/>
        <w:numPr>
          <w:ilvl w:val="0"/>
          <w:numId w:val="12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指标不一致处理</w:t>
      </w:r>
    </w:p>
    <w:p w14:paraId="C196A119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如出现B1但AFB为S3，或</w:t>
      </w:r>
      <w:r>
        <w:rPr>
          <w:rFonts w:hint="eastAsia" w:hAnsi="Times New Roman" w:cs="Times New Roman"/>
          <w:lang w:eastAsia="zh-CN"/>
        </w:rPr>
        <w:t>Ralph score＜50</w:t>
      </w:r>
      <w:r>
        <w:rPr>
          <w:rFonts w:hint="default" w:ascii="Times New Roman" w:hAnsi="Times New Roman" w:eastAsia="宋体" w:cs="Times New Roman"/>
        </w:rPr>
        <w:t>但存在明确多发/大空洞等情形，以中重度判定优先，同时触发第9节质控复核。若仅为单一边界项（如B2或I2），不直接按中重度处理。</w:t>
      </w:r>
    </w:p>
    <w:p w14:paraId="FA2F82BC">
      <w:pPr>
        <w:pStyle w:val="5"/>
        <w:widowControl/>
        <w:numPr>
          <w:ilvl w:val="0"/>
          <w:numId w:val="12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EDC字段（最小必填）</w:t>
      </w:r>
    </w:p>
    <w:p w14:paraId="0152B67D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检测平台、Ct值或半定量等级、AFB原始结果及分级体系、AFBSeverity（S1/S2/S3）、分子负荷层级（B1/B2/B3）、Ralph score、空洞有无、最大空洞径、Bacteriological Severity、Imaging Severity、SeverityLayer、轻症扩展层标记、红旗标记、缺失/复核原因。</w:t>
      </w:r>
    </w:p>
    <w:p w14:paraId="3F28A94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治疗开始后的早期反应分层（On-treatment）</w:t>
      </w:r>
    </w:p>
    <w:p w14:paraId="42883A20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关键时间点与窗口期</w:t>
      </w:r>
    </w:p>
    <w:p w14:paraId="2BCD08A9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推荐以Week 8（第56天）作为统一的早期反应分层节点。允许窗口期：第49-63天（±1周）。若超出窗口期，需记录原因，并在统计分析中进行敏感性处理。</w:t>
      </w:r>
    </w:p>
    <w:p w14:paraId="7F75D669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Week 8需采集的最小数据集</w:t>
      </w:r>
    </w:p>
    <w:p w14:paraId="3AD297B7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临床症状：按附录A症状清单逐项判断“仍存在/已消失”。</w:t>
      </w:r>
    </w:p>
    <w:p w14:paraId="04276493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AFB涂片：阳性/阴性及分级（如有）。</w:t>
      </w:r>
    </w:p>
    <w:p w14:paraId="6F086797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痰培养（如研究方案采用培养触发或作为重要观察指标）：阳性/阴性/污染/缺失。</w:t>
      </w:r>
    </w:p>
    <w:p w14:paraId="1DF6D1C1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Xpert/Ultra（可选）：仅作为辅助反应指标，不作为单独决策阈值。</w:t>
      </w:r>
    </w:p>
    <w:p w14:paraId="21D2E7C6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关键派生指标：PCD（Persistent Clinical Disease）</w:t>
      </w:r>
    </w:p>
    <w:p w14:paraId="7DD58DBD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PCD定义：Week 8时同时满足：①结核相关症状仍存在；②痰涂片仍阳性。两者缺一不可。PCD用于早期风险提示与预设亚组分析。</w:t>
      </w:r>
    </w:p>
    <w:p w14:paraId="395A0B26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PPTR触发与处置（与研究方案对接）</w:t>
      </w:r>
    </w:p>
    <w:p w14:paraId="1040D304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当研究者在治疗全过程中任意时刻怀疑受试者出现“抗结核疗效欠佳/治疗反应不良（PPTR）”，或正在考虑任何形式的治疗调整（尤其是将疗程延长至超过随机分配方案、完成疗程后再次启动抗结核治疗、因疗效原因更改方案），应立即启动PPTR评估流程：</w:t>
      </w:r>
    </w:p>
    <w:p w14:paraId="6BDA6597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第一时间联系中心研究临床医生进行病例讨论与处置建议；除紧急情况外，不应在未沟通前擅自延长或更改方案。</w:t>
      </w:r>
    </w:p>
    <w:p w14:paraId="0A3578AA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在患者病情允许的前提下，应尽可能在改变/延长/重启治疗之前完成评估：</w:t>
      </w:r>
    </w:p>
    <w:p w14:paraId="5E5D68EE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— 1周内采集≥3份痰标本（其中≥2份需在改变/延长/重启治疗前采集，且间隔≥4小时，尽量包含1份清晨痰）送研究实验室进行涂片与培养；若培养阳性则开展药敏试验并保存菌株；</w:t>
      </w:r>
    </w:p>
    <w:p w14:paraId="488E4AB4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— 完成胸部影像学评估（CXR）并填写“疗效欠佳”相关CRF；</w:t>
      </w:r>
    </w:p>
    <w:p w14:paraId="3912A650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— 必要时按受试者同意采集血/尿/痰等生物标志物样本。</w:t>
      </w:r>
    </w:p>
    <w:p w14:paraId="13012EE5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若在 Week 8 发现培养未转阴、症状未缓解、PCD 或 PPTR 信号，应作为早期风险提示并触发加强管理、病例讨论或预设亚组标记；但任何 Week 8 指标、PCD 或 PPTR 信号均不直接构成队列B第6月随机资格判定条件。队列B在26周（6个月）随机化前，仅依据《微生物学安全门槛（Hard Gate）评估与随机前资格判定（SOP02）》完成资格判定。</w:t>
      </w:r>
    </w:p>
    <w:p w14:paraId="1BBABC9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数据录入与派生变量（EDC实现要点）</w:t>
      </w:r>
    </w:p>
    <w:p w14:paraId="04B9C820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建议在EDC中实现自动派生与逻辑校验，避免人为计算差异。</w:t>
      </w:r>
    </w:p>
    <w:p w14:paraId="1EC436F2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派生变量：AFBSeverity（S1/S2/S3）、分子负荷层级（B1/B2/B3）、Bacteriological Severity（低/中/高）、Imaging Severity（I1/I2/I3）、SeverityLayer（轻症/轻症扩展层/中重度）、红旗、PCD等。</w:t>
      </w:r>
    </w:p>
    <w:p w14:paraId="2698F716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逻辑校验示例：B1但AFB=S3 → 自动生成质控工单并按中重度处理；</w:t>
      </w:r>
      <w:r>
        <w:rPr>
          <w:rFonts w:hint="eastAsia" w:hAnsi="Times New Roman" w:cs="Times New Roman"/>
          <w:lang w:eastAsia="zh-CN"/>
        </w:rPr>
        <w:t>Ralph score＜50</w:t>
      </w:r>
      <w:r>
        <w:rPr>
          <w:rFonts w:hint="default" w:ascii="Times New Roman" w:hAnsi="Times New Roman" w:eastAsia="宋体" w:cs="Times New Roman"/>
        </w:rPr>
        <w:t>但空洞=是 → 自动提示进入I2或I3并要求复核；空洞=是但最大空洞径缺失 → 提示补录；轻症扩展层病例自动打标。</w:t>
      </w:r>
    </w:p>
    <w:p w14:paraId="5F55EE4A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关键分层字段须在随机前锁定；任何版本更新需同步更新EDC派生逻辑与培训材料。</w:t>
      </w:r>
    </w:p>
    <w:p w14:paraId="05954A9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质量控制（QC）与一致性管理</w:t>
      </w:r>
    </w:p>
    <w:p w14:paraId="0AB42D6B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实验室QC</w:t>
      </w:r>
    </w:p>
    <w:p w14:paraId="1C43C6EE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统一培训：各中心实验室需理解并执行国内外AFB分级对应关系、AFBSeverity三级折叠规则及Xpert/Xpert Ultra平台特异的分子负荷分层规则。</w:t>
      </w:r>
    </w:p>
    <w:p w14:paraId="6CC6BF71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不一致触发复核：如低分子负荷但AFB为S3、仅有半定量等级且平台不明、原始报告与EDC折叠结果不一致，或边界病例累计过多等。复核措施可包括重复检测、复采样本、核对标本类型与采样时间。</w:t>
      </w:r>
    </w:p>
    <w:p w14:paraId="2E55BB27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记录与闭环：所有复核均需在EDC中记录触发原因、处理过程与最终结论。</w:t>
      </w:r>
    </w:p>
    <w:p w14:paraId="67DAEC1B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影像QC</w:t>
      </w:r>
    </w:p>
    <w:p w14:paraId="40CB4E4B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中心化阅片（建议）：至少对“Ralph score”“空洞有无”“最大空洞径”进行双人阅片与分歧仲裁。</w:t>
      </w:r>
    </w:p>
    <w:p w14:paraId="7B0072F0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一致性训练：入组前提供标准示例与判读要点；定期抽样复核一致性。</w:t>
      </w:r>
    </w:p>
    <w:p w14:paraId="7EFD318F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不可判读管理：出现不可判读影像时，优先复拍；无法复拍则提交中心阅片组裁定并记录。</w:t>
      </w:r>
    </w:p>
    <w:p w14:paraId="3B9D760B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数据QC</w:t>
      </w:r>
    </w:p>
    <w:p w14:paraId="367D8A59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DM定期生成缺失/异常清单并推动闭环；</w:t>
      </w:r>
    </w:p>
    <w:p w14:paraId="50DBB9D8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随机前关键字段完整性核查（无CXR/Ralph score或无任何细菌学结果原则上不允许随机；关键指标缺失者原则上不得进入明确轻症，但可暂列待判或轻症扩展层）；</w:t>
      </w:r>
    </w:p>
    <w:p w14:paraId="7AAB3BF1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运行期比例监测：完成前50例、100例、200例基线分层后，由DM与统计团队开展盲态运行监测，评估轻症/中重度比例。若轻症比例持续低于25%或高于70%，应启动预设的规则回顾与版本修订评估，但不得基于结局数据调整阈值。</w:t>
      </w:r>
    </w:p>
    <w:p w14:paraId="04F48EC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eCRF/EDC 字段字典（最小必填集）</w:t>
      </w:r>
    </w:p>
    <w:p w14:paraId="46D0DACF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说明：以下为建议最小必填字段集；各中心可按研究需要扩展。派生字段由EDC自动生成，研究者仅需核对与确认。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3574"/>
        <w:gridCol w:w="1728"/>
        <w:gridCol w:w="2321"/>
      </w:tblGrid>
      <w:tr w14:paraId="206DE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01646CC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域</w:t>
            </w:r>
          </w:p>
        </w:tc>
        <w:tc>
          <w:tcPr>
            <w:tcW w:w="1925" w:type="pct"/>
          </w:tcPr>
          <w:p w14:paraId="503B3A7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字段（示例）</w:t>
            </w:r>
          </w:p>
        </w:tc>
        <w:tc>
          <w:tcPr>
            <w:tcW w:w="931" w:type="pct"/>
          </w:tcPr>
          <w:p w14:paraId="2645443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类型/取值</w:t>
            </w:r>
          </w:p>
        </w:tc>
        <w:tc>
          <w:tcPr>
            <w:tcW w:w="1250" w:type="pct"/>
          </w:tcPr>
          <w:p w14:paraId="4ED26D7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备注</w:t>
            </w:r>
          </w:p>
        </w:tc>
      </w:tr>
      <w:tr w14:paraId="1C705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590ED4F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受试者信息</w:t>
            </w:r>
          </w:p>
        </w:tc>
        <w:tc>
          <w:tcPr>
            <w:tcW w:w="1925" w:type="pct"/>
          </w:tcPr>
          <w:p w14:paraId="33231B4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筛选/基线日期；首次给药日期</w:t>
            </w:r>
          </w:p>
        </w:tc>
        <w:tc>
          <w:tcPr>
            <w:tcW w:w="931" w:type="pct"/>
          </w:tcPr>
          <w:p w14:paraId="474AF1E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日期</w:t>
            </w:r>
          </w:p>
        </w:tc>
        <w:tc>
          <w:tcPr>
            <w:tcW w:w="1250" w:type="pct"/>
          </w:tcPr>
          <w:p w14:paraId="0067D99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用于确定时间窗与派生Week 8/M6节点</w:t>
            </w:r>
          </w:p>
        </w:tc>
      </w:tr>
      <w:tr w14:paraId="1C044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089646A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细菌学-平台</w:t>
            </w:r>
          </w:p>
        </w:tc>
        <w:tc>
          <w:tcPr>
            <w:tcW w:w="1925" w:type="pct"/>
          </w:tcPr>
          <w:p w14:paraId="79AC863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检测平台（优先Xpert Ultra）；报告格式（Ct/半定量）</w:t>
            </w:r>
          </w:p>
        </w:tc>
        <w:tc>
          <w:tcPr>
            <w:tcW w:w="931" w:type="pct"/>
          </w:tcPr>
          <w:p w14:paraId="78690F6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枚举</w:t>
            </w:r>
          </w:p>
        </w:tc>
        <w:tc>
          <w:tcPr>
            <w:tcW w:w="1250" w:type="pct"/>
          </w:tcPr>
          <w:p w14:paraId="53CD96A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必填</w:t>
            </w:r>
          </w:p>
        </w:tc>
      </w:tr>
      <w:tr w14:paraId="52C8F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7771D3F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细菌学-原始结果</w:t>
            </w:r>
          </w:p>
        </w:tc>
        <w:tc>
          <w:tcPr>
            <w:tcW w:w="1925" w:type="pct"/>
          </w:tcPr>
          <w:p w14:paraId="71CBD03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Xpert/Ultra Ct值（如有）；半定量等级（high/medium/low/very low/trace）</w:t>
            </w:r>
          </w:p>
        </w:tc>
        <w:tc>
          <w:tcPr>
            <w:tcW w:w="931" w:type="pct"/>
          </w:tcPr>
          <w:p w14:paraId="2526C0D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数值/枚举</w:t>
            </w:r>
          </w:p>
        </w:tc>
        <w:tc>
          <w:tcPr>
            <w:tcW w:w="1250" w:type="pct"/>
          </w:tcPr>
          <w:p w14:paraId="5EA8223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保留原始报告信息；平台特异解释</w:t>
            </w:r>
          </w:p>
        </w:tc>
      </w:tr>
      <w:tr w14:paraId="7B4F4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6400A83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细菌学-涂片</w:t>
            </w:r>
          </w:p>
        </w:tc>
        <w:tc>
          <w:tcPr>
            <w:tcW w:w="1925" w:type="pct"/>
          </w:tcPr>
          <w:p w14:paraId="351BE94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AFB原始结果（国内0/1/2/3/4、国内“报告菌数”、国际0/scanty/1+/2+/3+或+至++++）；分级体系；AFBSeverity</w:t>
            </w:r>
          </w:p>
        </w:tc>
        <w:tc>
          <w:tcPr>
            <w:tcW w:w="931" w:type="pct"/>
          </w:tcPr>
          <w:p w14:paraId="9ED1476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文本/枚举</w:t>
            </w:r>
          </w:p>
        </w:tc>
        <w:tc>
          <w:tcPr>
            <w:tcW w:w="1250" w:type="pct"/>
          </w:tcPr>
          <w:p w14:paraId="F850A4F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建议保留原始文本并标明国内/国际体系</w:t>
            </w:r>
          </w:p>
        </w:tc>
      </w:tr>
      <w:tr w14:paraId="03F8C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D3CCCAE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细菌学-综合判定</w:t>
            </w:r>
          </w:p>
        </w:tc>
        <w:tc>
          <w:tcPr>
            <w:tcW w:w="1925" w:type="pct"/>
          </w:tcPr>
          <w:p w14:paraId="56A972E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分子负荷层级（B1/B2/B3）；AFBSeverity（S1/S2/S3）；Bacteriological Severity</w:t>
            </w:r>
          </w:p>
        </w:tc>
        <w:tc>
          <w:tcPr>
            <w:tcW w:w="931" w:type="pct"/>
          </w:tcPr>
          <w:p w14:paraId="1A5112E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枚举/文本</w:t>
            </w:r>
          </w:p>
        </w:tc>
        <w:tc>
          <w:tcPr>
            <w:tcW w:w="1250" w:type="pct"/>
          </w:tcPr>
          <w:p w14:paraId="3A3EB54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随机/分层前锁定；不得将Xpert与Ultra Ct直接等同</w:t>
            </w:r>
          </w:p>
        </w:tc>
      </w:tr>
      <w:tr w14:paraId="4E66E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630096A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培养（如适用）</w:t>
            </w:r>
          </w:p>
        </w:tc>
        <w:tc>
          <w:tcPr>
            <w:tcW w:w="1925" w:type="pct"/>
          </w:tcPr>
          <w:p w14:paraId="05EAB1A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培养结果：阳性/阴性/污染/缺失；报告日期</w:t>
            </w:r>
          </w:p>
        </w:tc>
        <w:tc>
          <w:tcPr>
            <w:tcW w:w="931" w:type="pct"/>
          </w:tcPr>
          <w:p w14:paraId="4DD24EC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枚举/日期</w:t>
            </w:r>
          </w:p>
        </w:tc>
        <w:tc>
          <w:tcPr>
            <w:tcW w:w="1250" w:type="pct"/>
          </w:tcPr>
          <w:p w14:paraId="2031A77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按研究方案要求执行</w:t>
            </w:r>
          </w:p>
        </w:tc>
      </w:tr>
      <w:tr w14:paraId="39FCC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6B9811B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影像学-原始结果</w:t>
            </w:r>
          </w:p>
        </w:tc>
        <w:tc>
          <w:tcPr>
            <w:tcW w:w="1925" w:type="pct"/>
          </w:tcPr>
          <w:p w14:paraId="647559E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CXR日期；Ralph score；空洞有无；最大空洞径；CT补充记录（如有）</w:t>
            </w:r>
          </w:p>
        </w:tc>
        <w:tc>
          <w:tcPr>
            <w:tcW w:w="931" w:type="pct"/>
          </w:tcPr>
          <w:p w14:paraId="9BDE51C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日期/数值/枚举</w:t>
            </w:r>
          </w:p>
        </w:tc>
        <w:tc>
          <w:tcPr>
            <w:tcW w:w="1250" w:type="pct"/>
          </w:tcPr>
          <w:p w14:paraId="829FC3E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以CXR为主分层口径</w:t>
            </w:r>
          </w:p>
        </w:tc>
      </w:tr>
      <w:tr w14:paraId="1744F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F8D22FC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派生-基线</w:t>
            </w:r>
          </w:p>
        </w:tc>
        <w:tc>
          <w:tcPr>
            <w:tcW w:w="1925" w:type="pct"/>
          </w:tcPr>
          <w:p w14:paraId="4C631EA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AFB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</w:rPr>
              <w:t>Severity；分子负荷层级；Bacteriological Severity；Imaging Severity；SeverityLayer；轻症扩展层标记；红旗</w:t>
            </w:r>
          </w:p>
        </w:tc>
        <w:tc>
          <w:tcPr>
            <w:tcW w:w="931" w:type="pct"/>
          </w:tcPr>
          <w:p w14:paraId="208188D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枚举</w:t>
            </w:r>
          </w:p>
        </w:tc>
        <w:tc>
          <w:tcPr>
            <w:tcW w:w="1250" w:type="pct"/>
          </w:tcPr>
          <w:p w14:paraId="3A63FC4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由EDC自动派生（随机/分配前锁定）</w:t>
            </w:r>
          </w:p>
        </w:tc>
      </w:tr>
      <w:tr w14:paraId="46262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3FE4664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Week 8（±1周）</w:t>
            </w:r>
          </w:p>
        </w:tc>
        <w:tc>
          <w:tcPr>
            <w:tcW w:w="1925" w:type="pct"/>
          </w:tcPr>
          <w:p w14:paraId="7F2B029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症状清单逐项（仍存在/已消失）；AFB折叠分级；培养结果（如适用）；PCD（是/否）</w:t>
            </w:r>
          </w:p>
        </w:tc>
        <w:tc>
          <w:tcPr>
            <w:tcW w:w="931" w:type="pct"/>
          </w:tcPr>
          <w:p w14:paraId="5E01070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枚举</w:t>
            </w:r>
          </w:p>
        </w:tc>
        <w:tc>
          <w:tcPr>
            <w:tcW w:w="1250" w:type="pct"/>
          </w:tcPr>
          <w:p w14:paraId="19B074D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用于早期反应表型与风险提示</w:t>
            </w:r>
          </w:p>
        </w:tc>
      </w:tr>
      <w:tr w14:paraId="21492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25C08AD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质控标记</w:t>
            </w:r>
          </w:p>
        </w:tc>
        <w:tc>
          <w:tcPr>
            <w:tcW w:w="1925" w:type="pct"/>
          </w:tcPr>
          <w:p w14:paraId="2666356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实验室不一致触发；影像不可判读；关键缺失；窗口外</w:t>
            </w:r>
          </w:p>
        </w:tc>
        <w:tc>
          <w:tcPr>
            <w:tcW w:w="931" w:type="pct"/>
          </w:tcPr>
          <w:p w14:paraId="2DF8743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是/否+原因</w:t>
            </w:r>
          </w:p>
        </w:tc>
        <w:tc>
          <w:tcPr>
            <w:tcW w:w="1250" w:type="pct"/>
          </w:tcPr>
          <w:p w14:paraId="527B1C8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用于追溯与敏感性分析</w:t>
            </w:r>
          </w:p>
        </w:tc>
      </w:tr>
    </w:tbl>
    <w:p w14:paraId="16280146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CD192C2">
      <w:pPr>
        <w:pStyle w:val="164"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附录A：Week 8 结核相关症状清单（建议）</w:t>
      </w:r>
    </w:p>
    <w:p w14:paraId="568C3B7A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建议采用“逐项评估 + 总体是否仍存在症状（w8_symptom_any）”的方式。以下任一症状仍存在，可记为“是”。</w:t>
      </w:r>
    </w:p>
    <w:p w14:paraId="3548550A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咳嗽/咳痰（与治疗前相比无明显改善或仍影响日常）</w:t>
      </w:r>
    </w:p>
    <w:p w14:paraId="7A8BF795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发热（腋温≥37.3°C或临床判断持续低热）</w:t>
      </w:r>
    </w:p>
    <w:p w14:paraId="3FFF0C4F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盗汗</w:t>
      </w:r>
    </w:p>
    <w:p w14:paraId="5D7B2C7D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胸痛/呼吸困难</w:t>
      </w:r>
    </w:p>
    <w:p w14:paraId="10F07E1B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咯血</w:t>
      </w:r>
    </w:p>
    <w:p w14:paraId="24A72F4C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乏力/体重下降（以临床判断为主）</w:t>
      </w:r>
    </w:p>
    <w:p w14:paraId="34A75726">
      <w:pPr>
        <w:pStyle w:val="164"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附录B：Baseline分层决策流程（文字版）</w:t>
      </w:r>
    </w:p>
    <w:p w14:paraId="681DB7D7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1）收集Baseline实验室与影像字段（见第10节）。</w:t>
      </w:r>
    </w:p>
    <w:p w14:paraId="3C9EDC71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2）记录检测平台（Xpert或Ultra）、Ct值或半定量等级，并保留原始报告。</w:t>
      </w:r>
    </w:p>
    <w:p w14:paraId="00DC23CB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3）记录AFB原始结果、分级体系（国内/国际/其他）并按6.2.3派生AFBSeverity（S1/S2/S3）。</w:t>
      </w:r>
    </w:p>
    <w:p w14:paraId="DD22DDD1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4）按6.2.4判定Bacteriological Severity（低/中/高）及分子负荷层级（B1/B2/B3）。</w:t>
      </w:r>
    </w:p>
    <w:p w14:paraId="EB3A7449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5）按6.3.2判定Imaging Severity（I1/I2/I3），并按6.3.3标记红旗。</w:t>
      </w:r>
    </w:p>
    <w:p w14:paraId="1A21169F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6）按6.4合并判定总体SeverityLayer（轻症/轻症扩展层/中重度）。</w:t>
      </w:r>
    </w:p>
    <w:p w14:paraId="B71313F6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7）在随机系统中使用“研究中心 + 菌负荷层级 + 影像范围层级 + HbA1c 分层”作为随机化分层因素，并在EDC中锁定分层变量；如母研究正式使用两分类，轻症扩展层的映射规则须预先锁定。</w:t>
      </w:r>
    </w:p>
    <w:p w14:paraId="1DD537DB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8）如出现不可判读、关键缺失或指标不一致，按第6.5节和第9节流程处理后方可随机/分配。</w:t>
      </w:r>
    </w:p>
    <w:p w14:paraId="53D31DAC">
      <w:pPr>
        <w:pStyle w:val="164"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附录C：常见问题与处理原则（摘选）</w:t>
      </w:r>
    </w:p>
    <w:p w14:paraId="5EA659C5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仅有Xpert/Ultra半定量、无Ct：须保留原始结果；可按对应平台半定量等级直接进入B1/B2/B3分层，不必因无Ct而一律排除轻症。</w:t>
      </w:r>
    </w:p>
    <w:p w14:paraId="EBDE340A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Ultra报告trace：应保留原始报告并结合AFB与影像综合判断；若AFB为S1且影像为I1，可进入轻症或轻症扩展层；如存在相反高危证据，则不得归入轻症。</w:t>
      </w:r>
    </w:p>
    <w:p w14:paraId="D621B657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低分子负荷但AFB为S3：按中重度分层，同时触发实验室复核；不得因“疑似异常”而降级。</w:t>
      </w:r>
    </w:p>
    <w:p w14:paraId="A1426DE9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CXR与CT对空洞判读不一致：Baseline分层以CXR为准；CT差异作为补充记录。对于小型/可疑空洞，优先提交中心阅片仲裁并考虑归入I2。</w:t>
      </w:r>
    </w:p>
    <w:p w14:paraId="4EEE242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版本管理与修订记录</w:t>
      </w:r>
    </w:p>
    <w:tbl>
      <w:tblPr>
        <w:tblStyle w:val="3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1675"/>
        <w:gridCol w:w="4176"/>
        <w:gridCol w:w="2319"/>
      </w:tblGrid>
      <w:tr w14:paraId="1848D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pct"/>
          </w:tcPr>
          <w:p w14:paraId="6D2E9C9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版本</w:t>
            </w:r>
          </w:p>
        </w:tc>
        <w:tc>
          <w:tcPr>
            <w:tcW w:w="902" w:type="pct"/>
          </w:tcPr>
          <w:p w14:paraId="55168C9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日期</w:t>
            </w:r>
          </w:p>
        </w:tc>
        <w:tc>
          <w:tcPr>
            <w:tcW w:w="2249" w:type="pct"/>
          </w:tcPr>
          <w:p w14:paraId="7D75A75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修订说明</w:t>
            </w:r>
          </w:p>
        </w:tc>
        <w:tc>
          <w:tcPr>
            <w:tcW w:w="1249" w:type="pct"/>
          </w:tcPr>
          <w:p w14:paraId="6EC36FF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批准</w:t>
            </w:r>
          </w:p>
        </w:tc>
      </w:tr>
      <w:tr w14:paraId="72A71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pct"/>
          </w:tcPr>
          <w:p w14:paraId="78FF151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V1.0</w:t>
            </w:r>
          </w:p>
        </w:tc>
        <w:tc>
          <w:tcPr>
            <w:tcW w:w="902" w:type="pct"/>
          </w:tcPr>
          <w:p w14:paraId="4DAF3F7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2026-02-06</w:t>
            </w:r>
          </w:p>
        </w:tc>
        <w:tc>
          <w:tcPr>
            <w:tcW w:w="2249" w:type="pct"/>
          </w:tcPr>
          <w:p w14:paraId="63A1723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首次发布。</w:t>
            </w:r>
          </w:p>
        </w:tc>
        <w:tc>
          <w:tcPr>
            <w:tcW w:w="1249" w:type="pct"/>
          </w:tcPr>
          <w:p w14:paraId="1848C27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</w:t>
            </w:r>
          </w:p>
        </w:tc>
      </w:tr>
      <w:tr w14:paraId="6B3D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pct"/>
          </w:tcPr>
          <w:p w14:paraId="1AC4AA9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V1.1</w:t>
            </w:r>
          </w:p>
        </w:tc>
        <w:tc>
          <w:tcPr>
            <w:tcW w:w="902" w:type="pct"/>
          </w:tcPr>
          <w:p w14:paraId="42A62A3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2026-03-04</w:t>
            </w:r>
          </w:p>
        </w:tc>
        <w:tc>
          <w:tcPr>
            <w:tcW w:w="2249" w:type="pct"/>
          </w:tcPr>
          <w:p w14:paraId="1421331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按研究方案V2.0更新：补充HbA1c分层（6.5）并纳入随机分层/队列归类；修订SmearTier口径（≥1+不再归低负荷）；更新队列B门槛评估的SOP02引用与EDC字段。</w:t>
            </w:r>
          </w:p>
        </w:tc>
        <w:tc>
          <w:tcPr>
            <w:tcW w:w="1249" w:type="pct"/>
          </w:tcPr>
          <w:p w14:paraId="079E238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</w:t>
            </w:r>
          </w:p>
        </w:tc>
      </w:tr>
      <w:tr w14:paraId="4C554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pct"/>
          </w:tcPr>
          <w:p w14:paraId="B362766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V1.2</w:t>
            </w:r>
          </w:p>
        </w:tc>
        <w:tc>
          <w:tcPr>
            <w:tcW w:w="902" w:type="pct"/>
          </w:tcPr>
          <w:p w14:paraId="A291522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2026-03-10</w:t>
            </w:r>
          </w:p>
        </w:tc>
        <w:tc>
          <w:tcPr>
            <w:tcW w:w="2249" w:type="pct"/>
          </w:tcPr>
          <w:p w14:paraId="A475866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新增国内外AFB分级对应说明；将患者分层改为基于痰菌阳性度和胸片影像严重程度的轻/重症二级分层；同步更新EDC字段、流程与质控。</w:t>
            </w:r>
          </w:p>
        </w:tc>
        <w:tc>
          <w:tcPr>
            <w:tcW w:w="1249" w:type="pct"/>
          </w:tcPr>
          <w:p w14:paraId="68977F2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_____</w:t>
            </w:r>
          </w:p>
        </w:tc>
      </w:tr>
      <w:tr w14:paraId="31267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</w:tcPr>
          <w:p w14:paraId="2668BFF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V1.3</w:t>
            </w:r>
          </w:p>
        </w:tc>
        <w:tc>
          <w:tcPr>
            <w:tcW w:w="1675" w:type="dxa"/>
          </w:tcPr>
          <w:p w14:paraId="34E8B83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2026-03-17</w:t>
            </w:r>
          </w:p>
        </w:tc>
        <w:tc>
          <w:tcPr>
            <w:tcW w:w="4176" w:type="dxa"/>
          </w:tcPr>
          <w:p w14:paraId="497B55E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依据多中心混用Xpert/Ultra的讨论，改为平台特异三级细菌学分层；新增影像中间层与“轻症扩展层”；补充运行期轻症比例监测机制，以兼顾安全性与可招募性。</w:t>
            </w:r>
          </w:p>
        </w:tc>
        <w:tc>
          <w:tcPr>
            <w:tcW w:w="2319" w:type="dxa"/>
          </w:tcPr>
          <w:p w14:paraId="17C1F02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_____</w:t>
            </w:r>
          </w:p>
        </w:tc>
      </w:tr>
    </w:tbl>
    <w:p w14:paraId="6CB0BD05">
      <w:pPr>
        <w:rPr>
          <w:rFonts w:hint="default" w:ascii="Times New Roman" w:hAnsi="Times New Roman" w:eastAsia="宋体" w:cs="Times New Roman"/>
          <w:sz w:val="24"/>
          <w:szCs w:val="24"/>
        </w:rPr>
      </w:pP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522684"/>
    <w:multiLevelType w:val="singleLevel"/>
    <w:tmpl w:val="A7522684"/>
    <w:lvl w:ilvl="0" w:tentative="0">
      <w:start w:val="1"/>
      <w:numFmt w:val="decimal"/>
      <w:suff w:val="space"/>
      <w:lvlText w:val="6.2.%1"/>
      <w:lvlJc w:val="left"/>
      <w:pPr>
        <w:ind w:left="0" w:firstLine="0"/>
      </w:pPr>
      <w:rPr>
        <w:rFonts w:hint="default"/>
      </w:rPr>
    </w:lvl>
  </w:abstractNum>
  <w:abstractNum w:abstractNumId="1">
    <w:nsid w:val="B1EAD836"/>
    <w:multiLevelType w:val="singleLevel"/>
    <w:tmpl w:val="B1EAD836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2">
    <w:nsid w:val="CDD02917"/>
    <w:multiLevelType w:val="singleLevel"/>
    <w:tmpl w:val="CDD02917"/>
    <w:lvl w:ilvl="0" w:tentative="0">
      <w:start w:val="1"/>
      <w:numFmt w:val="decimal"/>
      <w:suff w:val="space"/>
      <w:lvlText w:val="6.3.%1"/>
      <w:lvlJc w:val="left"/>
      <w:pPr>
        <w:ind w:left="0" w:firstLine="0"/>
      </w:pPr>
      <w:rPr>
        <w:rFonts w:hint="default"/>
      </w:rPr>
    </w:lvl>
  </w:abstractNum>
  <w:abstractNum w:abstractNumId="3">
    <w:nsid w:val="CE59C385"/>
    <w:multiLevelType w:val="singleLevel"/>
    <w:tmpl w:val="CE59C385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4">
    <w:nsid w:val="00000000"/>
    <w:multiLevelType w:val="singleLevel"/>
    <w:tmpl w:val="00000000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00000001"/>
    <w:multiLevelType w:val="singleLevel"/>
    <w:tmpl w:val="00000001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00000002"/>
    <w:multiLevelType w:val="singleLevel"/>
    <w:tmpl w:val="0000000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00000003"/>
    <w:multiLevelType w:val="singleLevel"/>
    <w:tmpl w:val="0000000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00000004"/>
    <w:multiLevelType w:val="singleLevel"/>
    <w:tmpl w:val="00000004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00000005"/>
    <w:multiLevelType w:val="singleLevel"/>
    <w:tmpl w:val="00000005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1EAB0116"/>
    <w:multiLevelType w:val="singleLevel"/>
    <w:tmpl w:val="1EAB0116"/>
    <w:lvl w:ilvl="0" w:tentative="0">
      <w:start w:val="1"/>
      <w:numFmt w:val="decimal"/>
      <w:suff w:val="space"/>
      <w:lvlText w:val="6.5.%1"/>
      <w:lvlJc w:val="left"/>
      <w:pPr>
        <w:ind w:left="0" w:firstLine="0"/>
      </w:pPr>
      <w:rPr>
        <w:rFonts w:hint="default"/>
      </w:rPr>
    </w:lvl>
  </w:abstractNum>
  <w:abstractNum w:abstractNumId="11">
    <w:nsid w:val="29EABE2F"/>
    <w:multiLevelType w:val="singleLevel"/>
    <w:tmpl w:val="29EABE2F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12">
    <w:nsid w:val="49422FF9"/>
    <w:multiLevelType w:val="singleLevel"/>
    <w:tmpl w:val="49422FF9"/>
    <w:lvl w:ilvl="0" w:tentative="0">
      <w:start w:val="1"/>
      <w:numFmt w:val="decimal"/>
      <w:suff w:val="space"/>
      <w:lvlText w:val="9.%1"/>
      <w:lvlJc w:val="left"/>
      <w:pPr>
        <w:ind w:left="0" w:firstLine="0"/>
      </w:pPr>
      <w:rPr>
        <w:rFonts w:hint="default"/>
      </w:rPr>
    </w:lvl>
  </w:abstractNum>
  <w:abstractNum w:abstractNumId="13">
    <w:nsid w:val="55C83E18"/>
    <w:multiLevelType w:val="singleLevel"/>
    <w:tmpl w:val="55C83E1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13"/>
  </w:num>
  <w:num w:numId="8">
    <w:abstractNumId w:val="1"/>
  </w:num>
  <w:num w:numId="9">
    <w:abstractNumId w:val="0"/>
  </w:num>
  <w:num w:numId="10">
    <w:abstractNumId w:val="2"/>
  </w:num>
  <w:num w:numId="11">
    <w:abstractNumId w:val="11"/>
  </w:num>
  <w:num w:numId="12">
    <w:abstractNumId w:val="10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A2DB6"/>
    <w:rsid w:val="11687794"/>
    <w:rsid w:val="12D9220E"/>
    <w:rsid w:val="1C24274C"/>
    <w:rsid w:val="2D81246E"/>
    <w:rsid w:val="2EBC43DC"/>
    <w:rsid w:val="307C20E1"/>
    <w:rsid w:val="34EA02E5"/>
    <w:rsid w:val="37E877C2"/>
    <w:rsid w:val="43345FE1"/>
    <w:rsid w:val="4A8561FD"/>
    <w:rsid w:val="50D13F4A"/>
    <w:rsid w:val="54B27BEE"/>
    <w:rsid w:val="56E00DEB"/>
    <w:rsid w:val="584C5969"/>
    <w:rsid w:val="5C0A5ADC"/>
    <w:rsid w:val="61300818"/>
    <w:rsid w:val="6259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0" w:semiHidden="0" w:name="Body Text Indent"/>
    <w:lsdException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="宋体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/>
      <w:spacing w:before="200" w:after="80" w:line="240" w:lineRule="auto"/>
      <w:ind w:left="0" w:leftChars="0" w:firstLine="0" w:firstLineChars="0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qFormat/>
    <w:uiPriority w:val="9"/>
    <w:pPr>
      <w:widowControl/>
      <w:spacing w:before="200" w:after="80" w:line="240" w:lineRule="auto"/>
      <w:ind w:left="0" w:leftChars="0" w:firstLine="0" w:firstLineChars="0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qFormat/>
    <w:uiPriority w:val="9"/>
    <w:pPr>
      <w:widowControl/>
      <w:spacing w:before="160" w:after="40" w:line="240" w:lineRule="auto"/>
      <w:ind w:left="0" w:leftChars="0" w:firstLine="0" w:firstLineChars="0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qFormat/>
    <w:uiPriority w:val="1"/>
  </w:style>
  <w:style w:type="table" w:default="1" w:styleId="3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宋体"/>
      <w:sz w:val="20"/>
      <w:szCs w:val="20"/>
      <w:lang w:val="en-US" w:eastAsia="en-US" w:bidi="ar-SA"/>
    </w:rPr>
  </w:style>
  <w:style w:type="paragraph" w:styleId="12">
    <w:name w:val="List 3"/>
    <w:basedOn w:val="1"/>
    <w:qFormat/>
    <w:uiPriority w:val="99"/>
    <w:pPr>
      <w:ind w:left="1080" w:hanging="360"/>
      <w:contextualSpacing/>
    </w:pPr>
  </w:style>
  <w:style w:type="paragraph" w:styleId="13">
    <w:name w:val="List Number 2"/>
    <w:basedOn w:val="1"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iPriority w:val="99"/>
    <w:pPr>
      <w:widowControl/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iPriority w:val="99"/>
    <w:pPr>
      <w:ind w:left="720" w:hanging="360"/>
      <w:contextualSpacing/>
    </w:pPr>
  </w:style>
  <w:style w:type="paragraph" w:styleId="22">
    <w:name w:val="List Continue"/>
    <w:basedOn w:val="1"/>
    <w:uiPriority w:val="99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qFormat/>
    <w:uiPriority w:val="99"/>
    <w:pPr>
      <w:spacing w:after="120" w:line="480" w:lineRule="auto"/>
    </w:pPr>
  </w:style>
  <w:style w:type="paragraph" w:styleId="29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widowControl/>
      <w:spacing w:before="240" w:after="120" w:line="240" w:lineRule="auto"/>
      <w:ind w:firstLine="2249" w:firstLineChars="700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7F7F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C0DE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F83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D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3730A"/>
      </w:tcPr>
    </w:tblStylePr>
    <w:tblStylePr w:type="lastRow">
      <w:rPr>
        <w:b/>
        <w:bCs/>
        <w:color w:val="F3740B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58EA6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_e5bfb90a-e954-4a89-9e9a-bfb4c924ca92"/>
    <w:basedOn w:val="132"/>
    <w:link w:val="25"/>
    <w:qFormat/>
    <w:uiPriority w:val="99"/>
  </w:style>
  <w:style w:type="character" w:customStyle="1" w:styleId="136">
    <w:name w:val="Footer Char_9fc92665-622b-4a64-9eb3-04d791a02f69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character" w:customStyle="1" w:styleId="138">
    <w:name w:val="Heading 1 Char_b57e6bbf-6050-498d-b2c4-f616caf37cad"/>
    <w:basedOn w:val="132"/>
    <w:link w:val="3"/>
    <w:qFormat/>
    <w:uiPriority w:val="9"/>
    <w:rPr>
      <w:rFonts w:ascii="Calibri" w:hAnsi="Calibri" w:eastAsia="MS Gothic" w:cs="宋体"/>
      <w:b/>
      <w:bCs/>
      <w:color w:val="376092"/>
      <w:sz w:val="28"/>
      <w:szCs w:val="28"/>
    </w:rPr>
  </w:style>
  <w:style w:type="character" w:customStyle="1" w:styleId="139">
    <w:name w:val="Heading 2 Char_e24c4726-d7b3-46e2-b08b-102dd88b9ab9"/>
    <w:basedOn w:val="132"/>
    <w:link w:val="4"/>
    <w:qFormat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0">
    <w:name w:val="Heading 3 Char_84c03ec5-9864-46fa-a730-d7bfd3ebe44e"/>
    <w:basedOn w:val="132"/>
    <w:link w:val="5"/>
    <w:qFormat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1">
    <w:name w:val="Title Char_7af7dce7-dcf3-4225-959b-e7080c07c646"/>
    <w:basedOn w:val="132"/>
    <w:link w:val="31"/>
    <w:qFormat/>
    <w:uiPriority w:val="10"/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cb41dfb9-41de-4d52-b8bc-09301e80a27d"/>
    <w:basedOn w:val="132"/>
    <w:link w:val="148"/>
    <w:qFormat/>
    <w:uiPriority w:val="29"/>
    <w:rPr>
      <w:i/>
      <w:iCs/>
      <w:color w:val="000000"/>
    </w:rPr>
  </w:style>
  <w:style w:type="character" w:customStyle="1" w:styleId="150">
    <w:name w:val="Heading 4 Char_7ea7e50f-586a-4f01-ab2e-75b0051a04d4"/>
    <w:basedOn w:val="132"/>
    <w:link w:val="6"/>
    <w:qFormat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1">
    <w:name w:val="Heading 5 Char_5a0e3743-4a4e-444f-b8ac-9acee62a2211"/>
    <w:basedOn w:val="132"/>
    <w:link w:val="7"/>
    <w:qFormat/>
    <w:uiPriority w:val="9"/>
    <w:rPr>
      <w:rFonts w:ascii="Calibri" w:hAnsi="Calibri" w:eastAsia="MS Gothic" w:cs="宋体"/>
      <w:color w:val="254061"/>
    </w:rPr>
  </w:style>
  <w:style w:type="character" w:customStyle="1" w:styleId="152">
    <w:name w:val="Heading 6 Char_12415d56-1c07-4b59-b188-5bf683ca318b"/>
    <w:basedOn w:val="132"/>
    <w:link w:val="8"/>
    <w:qFormat/>
    <w:uiPriority w:val="9"/>
    <w:rPr>
      <w:rFonts w:ascii="Calibri" w:hAnsi="Calibri" w:eastAsia="MS Gothic" w:cs="宋体"/>
      <w:i/>
      <w:iCs/>
      <w:color w:val="254061"/>
    </w:rPr>
  </w:style>
  <w:style w:type="character" w:customStyle="1" w:styleId="153">
    <w:name w:val="Heading 7 Char_e138e0fc-7527-4042-b631-4788dd3df872"/>
    <w:basedOn w:val="132"/>
    <w:link w:val="9"/>
    <w:qFormat/>
    <w:uiPriority w:val="9"/>
    <w:rPr>
      <w:rFonts w:ascii="Calibri" w:hAnsi="Calibri" w:eastAsia="MS Gothic" w:cs="宋体"/>
      <w:i/>
      <w:iCs/>
      <w:color w:val="3F3F3F"/>
    </w:rPr>
  </w:style>
  <w:style w:type="character" w:customStyle="1" w:styleId="154">
    <w:name w:val="Heading 8 Char_021b366a-737d-4e96-9170-4c100a1fa704"/>
    <w:basedOn w:val="132"/>
    <w:link w:val="10"/>
    <w:qFormat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5">
    <w:name w:val="Heading 9 Char_b3dda999-5d95-4798-8574-e8a816ab6d4a"/>
    <w:basedOn w:val="132"/>
    <w:link w:val="11"/>
    <w:qFormat/>
    <w:uiPriority w:val="9"/>
    <w:rPr>
      <w:rFonts w:ascii="Calibri" w:hAnsi="Calibri" w:eastAsia="MS Gothic" w:cs="宋体"/>
      <w:i/>
      <w:iCs/>
      <w:color w:val="3F3F3F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81156602-a4a1-4fe5-afc6-4fefe21051f0"/>
    <w:basedOn w:val="132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_1c5d0e5e-c022-4435-b71f-eafa881f7e3d"/>
    <w:basedOn w:val="132"/>
    <w:qFormat/>
    <w:uiPriority w:val="19"/>
    <w:rPr>
      <w:i/>
      <w:iCs/>
      <w:color w:val="7F7F7F"/>
    </w:rPr>
  </w:style>
  <w:style w:type="character" w:customStyle="1" w:styleId="159">
    <w:name w:val="Intense Emphasis_b60f5aab-b8f3-4390-bc13-8d8e785fbd15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_dc98bc4b-b8d8-4e87-8b66-43c726ee7cf7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_af665110-7cdb-48c6-a289-53b3d0f78ba7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_817f7347-d0a8-42fa-a89e-dd11e31a8240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_a09b28bc-07ab-4c8d-9d52-ccfe4e5d8982"/>
    <w:basedOn w:val="3"/>
    <w:next w:val="1"/>
    <w:qFormat/>
    <w:uiPriority w:val="39"/>
    <w:pPr>
      <w:outlineLvl w:val="9"/>
    </w:pPr>
  </w:style>
  <w:style w:type="paragraph" w:customStyle="1" w:styleId="164">
    <w:name w:val="附录标题"/>
    <w:next w:val="1"/>
    <w:qFormat/>
    <w:uiPriority w:val="0"/>
    <w:pPr>
      <w:widowControl/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7108</Words>
  <Characters>9316</Characters>
  <Paragraphs>258</Paragraphs>
  <TotalTime>58</TotalTime>
  <ScaleCrop>false</ScaleCrop>
  <LinksUpToDate>false</LinksUpToDate>
  <CharactersWithSpaces>9484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付亮</cp:lastModifiedBy>
  <dcterms:modified xsi:type="dcterms:W3CDTF">2026-03-20T12:38:18Z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eyJoZGlkIjoiZTY1YTEzNzUzNjc3OTdhYTczZDYyMDcwZjdjMDcyY2UiLCJ1c2VySWQiOiIyMDkyMjY1MzMifQ==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CF90E7FDC2BB45BEADF5C349A39FB577_13</vt:lpwstr>
  </property>
</Properties>
</file>