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TDSC 研究标准操作规程（SOP）</w:t>
      </w:r>
    </w:p>
    <w:p>
      <w:pPr>
        <w:jc w:val="center"/>
      </w:pPr>
      <w:r>
        <w:rPr>
          <w:b/>
          <w:sz w:val="32"/>
        </w:rPr>
        <w:t>SOP02：队列B微生物学安全门槛（Hard Gate）评估与M6随机化资格判定</w:t>
      </w:r>
    </w:p>
    <w:p>
      <w:pPr>
        <w:jc w:val="center"/>
      </w:pPr>
      <w:r>
        <w:rPr>
          <w:b w:val="0"/>
          <w:sz w:val="24"/>
        </w:rPr>
        <w:t>Microbiological Hard Gate Assessment and Randomization Eligibility at Month 6 (Cohort B)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受控文件编号</w:t>
            </w:r>
          </w:p>
        </w:tc>
        <w:tc>
          <w:tcPr>
            <w:tcW w:type="dxa" w:w="4320"/>
          </w:tcPr>
          <w:p>
            <w:r>
              <w:t>TDSC-SOP-02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V1.1</w:t>
            </w:r>
          </w:p>
        </w:tc>
      </w:tr>
      <w:tr>
        <w:tc>
          <w:tcPr>
            <w:tcW w:type="dxa" w:w="4320"/>
          </w:tcPr>
          <w:p>
            <w:r>
              <w:t>生效日期</w:t>
            </w:r>
          </w:p>
        </w:tc>
        <w:tc>
          <w:tcPr>
            <w:tcW w:type="dxa" w:w="4320"/>
          </w:tcPr>
          <w:p>
            <w:r>
              <w:t>2026-03-04</w:t>
            </w:r>
          </w:p>
        </w:tc>
      </w:tr>
      <w:tr>
        <w:tc>
          <w:tcPr>
            <w:tcW w:type="dxa" w:w="4320"/>
          </w:tcPr>
          <w:p>
            <w:r>
              <w:t>适用研究</w:t>
            </w:r>
          </w:p>
        </w:tc>
        <w:tc>
          <w:tcPr>
            <w:tcW w:type="dxa" w:w="4320"/>
          </w:tcPr>
          <w:p>
            <w:r>
              <w:t>TDSC（TB-Diabetes Short Course）Study</w:t>
            </w:r>
          </w:p>
        </w:tc>
      </w:tr>
      <w:tr>
        <w:tc>
          <w:tcPr>
            <w:tcW w:type="dxa" w:w="4320"/>
          </w:tcPr>
          <w:p>
            <w:r>
              <w:t>对应研究方案</w:t>
            </w:r>
          </w:p>
        </w:tc>
        <w:tc>
          <w:tcPr>
            <w:tcW w:type="dxa" w:w="4320"/>
          </w:tcPr>
          <w:p>
            <w:r>
              <w:t>TDSC 研究方案 V2.0（2026-02-28）</w:t>
            </w:r>
          </w:p>
        </w:tc>
      </w:tr>
      <w:tr>
        <w:tc>
          <w:tcPr>
            <w:tcW w:type="dxa" w:w="4320"/>
          </w:tcPr>
          <w:p>
            <w:r>
              <w:t>起草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审核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批准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/>
    <w:p>
      <w:pPr>
        <w:pStyle w:val="Heading1"/>
      </w:pPr>
      <w:r>
        <w:t>1. 目的</w:t>
      </w:r>
    </w:p>
    <w:p>
      <w:r>
        <w:t>规范TDSC研究中队列B在M6（W24，D168±7）随机化前的“微生物学安全门槛（Hard Gate）”评估流程、操作学定义与可核查留痕，确保跨中心一致执行。</w:t>
      </w:r>
    </w:p>
    <w:p>
      <w:pPr>
        <w:pStyle w:val="Heading1"/>
      </w:pPr>
      <w:r>
        <w:t>2. 适用范围</w:t>
      </w:r>
    </w:p>
    <w:p>
      <w:pPr>
        <w:pStyle w:val="ListBullet"/>
      </w:pPr>
      <w:r>
        <w:t>适用于所有入组至队列B的受试者，在M6随机化前进行资格判定。</w:t>
      </w:r>
    </w:p>
    <w:p>
      <w:pPr>
        <w:pStyle w:val="ListBullet"/>
      </w:pPr>
      <w:r>
        <w:t>本SOP仅规定Hard Gate（仅微生物学）作为随机化资格条件；TB22、影像学、临床评分等如按方案收集，均不用于资格判定（可作为探索性/支持性数据，遵循相应SOP与信息防火墙要求）。</w:t>
      </w:r>
    </w:p>
    <w:p>
      <w:pPr>
        <w:pStyle w:val="ListBullet"/>
      </w:pPr>
      <w:r>
        <w:t>默认采取保守原则：关键微生物学结果不可得/不可评价 → 不进入随机化。</w:t>
      </w:r>
    </w:p>
    <w:p>
      <w:pPr>
        <w:pStyle w:val="Heading1"/>
      </w:pPr>
      <w:r>
        <w:t>3. 术语与缩略语</w:t>
      </w:r>
    </w:p>
    <w:p>
      <w:pPr>
        <w:pStyle w:val="ListBullet"/>
      </w:pPr>
      <w:r>
        <w:t>M6决策点：队列B治疗开始后第24周访视（W24，D168±7）。</w:t>
      </w:r>
    </w:p>
    <w:p>
      <w:pPr>
        <w:pStyle w:val="ListBullet"/>
      </w:pPr>
      <w:r>
        <w:t>Hard Gate（微生物学安全门槛）：用于M6随机化前资格判定的唯一门槛标准（见第6节）。</w:t>
      </w:r>
    </w:p>
    <w:p>
      <w:pPr>
        <w:pStyle w:val="ListBullet"/>
      </w:pPr>
      <w:r>
        <w:t>培养结果（Culture）：以痰培养为主（液体/固体培养均可），以“标本采集日期”为时间基准。</w:t>
      </w:r>
    </w:p>
    <w:p>
      <w:pPr>
        <w:pStyle w:val="ListBullet"/>
      </w:pPr>
      <w:r>
        <w:t>污染/无效：实验室报告为污染、无效或无法判读，需要按本SOP尽快补采。</w:t>
      </w:r>
    </w:p>
    <w:p>
      <w:pPr>
        <w:pStyle w:val="ListBullet"/>
      </w:pPr>
      <w:r>
        <w:t>晚到结果（Late-arriving result）：标本在随机化前采集，但培养结果在随机化后返回。</w:t>
      </w:r>
    </w:p>
    <w:p>
      <w:pPr>
        <w:pStyle w:val="Heading1"/>
      </w:pPr>
      <w:r>
        <w:t>4. 职责分工</w:t>
      </w:r>
    </w:p>
    <w:p>
      <w:pPr>
        <w:pStyle w:val="ListBullet"/>
      </w:pPr>
      <w:r>
        <w:t>研究医师/PI：确认Hard Gate资格结论并签字；对异常/晚到结果启动临床处置与记录。</w:t>
      </w:r>
    </w:p>
    <w:p>
      <w:pPr>
        <w:pStyle w:val="ListBullet"/>
      </w:pPr>
      <w:r>
        <w:t>CRC：组织M6前关键标本采集与结果追踪；核对源文件与eCRF一致性；收集与归档证据链。</w:t>
      </w:r>
    </w:p>
    <w:p>
      <w:pPr>
        <w:pStyle w:val="ListBullet"/>
      </w:pPr>
      <w:r>
        <w:t>实验室：按统一方法学出具培养报告（含方法/平台/日期）；对污染/无效尽快反馈并协助补采。</w:t>
      </w:r>
    </w:p>
    <w:p>
      <w:pPr>
        <w:pStyle w:val="ListBullet"/>
      </w:pPr>
      <w:r>
        <w:t>数据管理（DM）：在EDC中实现Hard Gate字段、逻辑校验与锁定；输出缺失/异常清单供中心整改。</w:t>
      </w:r>
    </w:p>
    <w:p>
      <w:pPr>
        <w:pStyle w:val="Heading1"/>
      </w:pPr>
      <w:r>
        <w:t>5. 所需资料与数据来源</w:t>
      </w:r>
    </w:p>
    <w:p>
      <w:pPr>
        <w:pStyle w:val="ListBullet"/>
      </w:pPr>
      <w:r>
        <w:t>痰培养源文件：报告单/检验系统截图（必须包含标本采集日期、报告日期、培养方法或平台、结果判定）。</w:t>
      </w:r>
    </w:p>
    <w:p>
      <w:pPr>
        <w:pStyle w:val="ListBullet"/>
      </w:pPr>
      <w:r>
        <w:t>实验室台账/标本流转记录（如有）：用于核对采集日期与结果追溯。</w:t>
      </w:r>
    </w:p>
    <w:p>
      <w:pPr>
        <w:pStyle w:val="ListBullet"/>
      </w:pPr>
      <w:r>
        <w:t>eCRF/EDC记录：培养结果字段、Hard Gate判定字段、缺失/污染处理记录与PI签字日期。</w:t>
      </w:r>
    </w:p>
    <w:p>
      <w:pPr>
        <w:pStyle w:val="Heading1"/>
      </w:pPr>
      <w:r>
        <w:t>6. Hard Gate 操作学定义（唯一资格条件）</w:t>
      </w:r>
    </w:p>
    <w:p>
      <w:r>
        <w:t>队列B受试者满足以下全部条件，方可进入M6随机化：</w:t>
      </w:r>
    </w:p>
    <w:p>
      <w:pPr>
        <w:pStyle w:val="ListBullet"/>
      </w:pPr>
      <w:r>
        <w:t>在M6访视前4个月内（含）获得 ≥2 次培养阴性结果；两次阴性标本采集日期间隔 ≥7天。</w:t>
      </w:r>
    </w:p>
    <w:p>
      <w:pPr>
        <w:pStyle w:val="ListBullet"/>
      </w:pPr>
      <w:r>
        <w:t>从M4开始至M6随机化前不得出现培养阳性（含随机化前采集但结果晚到的阳性）。</w:t>
      </w:r>
    </w:p>
    <w:p>
      <w:pPr>
        <w:pStyle w:val="ListBullet"/>
      </w:pPr>
      <w:r>
        <w:t>污染/无效需尽快补采并在允许窗口内获得可评价结果；若无法获得可评价培养结果（unassessable），则视为未达标，不进入随机化（保守）。</w:t>
      </w:r>
    </w:p>
    <w:p>
      <w:pPr>
        <w:pStyle w:val="Heading1"/>
      </w:pPr>
      <w:r>
        <w:t>7. 评估时点、窗口期与最低采样要求</w:t>
      </w:r>
    </w:p>
    <w:p>
      <w:pPr>
        <w:pStyle w:val="ListBullet"/>
      </w:pPr>
      <w:r>
        <w:t>M6目标访视：W24（D168±7）。</w:t>
      </w:r>
    </w:p>
    <w:p>
      <w:pPr>
        <w:pStyle w:val="ListBullet"/>
      </w:pPr>
      <w:r>
        <w:t>Hard Gate评估窗口：以M6访视日期为锚点向前回溯4个月（以标本采集日期计算）。</w:t>
      </w:r>
    </w:p>
    <w:p>
      <w:pPr>
        <w:pStyle w:val="ListBullet"/>
      </w:pPr>
      <w:r>
        <w:t>建议最小采样：M4–M6期间至少每月1次痰培养，以降低M6前结果缺失风险（具体采样频率以研究方案与随访表为准）。</w:t>
      </w:r>
    </w:p>
    <w:p>
      <w:pPr>
        <w:pStyle w:val="Heading1"/>
      </w:pPr>
      <w:r>
        <w:t>8. 操作流程</w:t>
      </w:r>
    </w:p>
    <w:p>
      <w:pPr>
        <w:pStyle w:val="Heading2"/>
      </w:pPr>
      <w:r>
        <w:t>8.1 结果核对与资格判定（步骤）</w:t>
      </w:r>
    </w:p>
    <w:p>
      <w:pPr>
        <w:pStyle w:val="ListBullet"/>
      </w:pPr>
      <w:r>
        <w:t>步骤1：CRC在M6访视前核对M4–M6期间已完成的培养采样与预计出报告时间，必要时提前提醒补采。</w:t>
      </w:r>
    </w:p>
    <w:p>
      <w:pPr>
        <w:pStyle w:val="ListBullet"/>
      </w:pPr>
      <w:r>
        <w:t>步骤2：收集并核对培养源文件，确认每条结果的标本采集日期、报告日期、培养方法与结果（阴性/阳性/污染/无效）。</w:t>
      </w:r>
    </w:p>
    <w:p>
      <w:pPr>
        <w:pStyle w:val="ListBullet"/>
      </w:pPr>
      <w:r>
        <w:t>步骤3：在EDC中录入培养结果与关键日期，EDC自动计算阴性次数与间隔并提示是否满足“≥2次阴性且间隔≥7天”。</w:t>
      </w:r>
    </w:p>
    <w:p>
      <w:pPr>
        <w:pStyle w:val="ListBullet"/>
      </w:pPr>
      <w:r>
        <w:t>步骤4：核查M4至随机化前是否出现任何培养阳性（包括随机化前采集、随机化后回报的阳性）。如有 → 未达标。</w:t>
      </w:r>
    </w:p>
    <w:p>
      <w:pPr>
        <w:pStyle w:val="ListBullet"/>
      </w:pPr>
      <w:r>
        <w:t>步骤5：PI复核Hard Gate结论并签字锁定；仅在Hard Gate=达标且字段锁定后方可触发随机化。</w:t>
      </w:r>
    </w:p>
    <w:p>
      <w:pPr>
        <w:pStyle w:val="Heading2"/>
      </w:pPr>
      <w:r>
        <w:t>8.2 污染/无效/缺失处理</w:t>
      </w:r>
    </w:p>
    <w:p>
      <w:pPr>
        <w:pStyle w:val="ListBullet"/>
      </w:pPr>
      <w:r>
        <w:t>污染/无效：实验室一经报告，应在最短时间内补采（建议48–72小时内完成）并记录原因与纠正措施。</w:t>
      </w:r>
    </w:p>
    <w:p>
      <w:pPr>
        <w:pStyle w:val="ListBullet"/>
      </w:pPr>
      <w:r>
        <w:t>缺失：若关键培养在窗口期内无法获得可评价结果，Hard Gate按未达标处理（不随机），并记录缺失原因与CAPA。</w:t>
      </w:r>
    </w:p>
    <w:p>
      <w:pPr>
        <w:pStyle w:val="ListBullet"/>
      </w:pPr>
      <w:r>
        <w:t>若受试者治疗中断/临床恶化：优先补做微生物学评估并按研究方案记录事件与处置。</w:t>
      </w:r>
    </w:p>
    <w:p>
      <w:pPr>
        <w:pStyle w:val="Heading2"/>
      </w:pPr>
      <w:r>
        <w:t>8.3 晚到结果（Late-arriving results）处理</w:t>
      </w:r>
    </w:p>
    <w:p>
      <w:pPr>
        <w:pStyle w:val="ListBullet"/>
      </w:pPr>
      <w:r>
        <w:t>定义：标本在随机化前采集，但结果在随机化后返回。</w:t>
      </w:r>
    </w:p>
    <w:p>
      <w:pPr>
        <w:pStyle w:val="ListBullet"/>
      </w:pPr>
      <w:r>
        <w:t>若晚到结果为阴性：不影响既定Hard Gate结论；补充录入并归档。</w:t>
      </w:r>
    </w:p>
    <w:p>
      <w:pPr>
        <w:pStyle w:val="ListBullet"/>
      </w:pPr>
      <w:r>
        <w:t>若晚到结果为阳性：立即通知PI进行临床复评与补采；按研究方案/偏差管理SOP记录为“随机化后发现随机化前阳性”的重要偏差情形，并按数据管理要求更新EDC（分析按ITT原则执行）。</w:t>
      </w:r>
    </w:p>
    <w:p>
      <w:pPr>
        <w:pStyle w:val="ListBullet"/>
      </w:pPr>
      <w:r>
        <w:t>必要时按研究治理结构要求向DSMB/项目管理组报告（以研究方案与治理SOP为准）。</w:t>
      </w:r>
    </w:p>
    <w:p>
      <w:pPr>
        <w:pStyle w:val="Heading1"/>
      </w:pPr>
      <w:r>
        <w:t>9. 决策输出与随机化触发</w:t>
      </w:r>
    </w:p>
    <w:p>
      <w:pPr>
        <w:pStyle w:val="ListBullet"/>
      </w:pPr>
      <w:r>
        <w:t>Hard Gate=达标：允许进入M6随机化（6个月停药 vs 继续至9个月）。</w:t>
      </w:r>
    </w:p>
    <w:p>
      <w:pPr>
        <w:pStyle w:val="ListBullet"/>
      </w:pPr>
      <w:r>
        <w:t>Hard Gate=未达标：不进入随机化；继续完成既定治疗路径并按随访表继续随访（具体路径按研究方案执行）。</w:t>
      </w:r>
    </w:p>
    <w:p>
      <w:pPr>
        <w:pStyle w:val="ListBullet"/>
      </w:pPr>
      <w:r>
        <w:t>所有资格结论须在eCRF/EDC中可追溯：含证据来源、关键日期、PI签字与锁定时间。</w:t>
      </w:r>
    </w:p>
    <w:p>
      <w:pPr>
        <w:pStyle w:val="Heading1"/>
      </w:pPr>
      <w:r>
        <w:t>10. 记录、归档与追溯要求</w:t>
      </w:r>
    </w:p>
    <w:p>
      <w:pPr>
        <w:pStyle w:val="ListBullet"/>
      </w:pPr>
      <w:r>
        <w:t>源文件归档：培养报告单/系统截图、标本流转记录（如有）、补采记录与说明。</w:t>
      </w:r>
    </w:p>
    <w:p>
      <w:pPr>
        <w:pStyle w:val="ListBullet"/>
      </w:pPr>
      <w:r>
        <w:t>EDC字段：培养结果（含采集/报告日期、方法）、Hard Gate结论（达标/未达标）、缺失/污染原因、PI签字日期与锁定标记。</w:t>
      </w:r>
    </w:p>
    <w:p>
      <w:pPr>
        <w:pStyle w:val="ListBullet"/>
      </w:pPr>
      <w:r>
        <w:t>所有更正须保留审计追踪（audit trail），不得覆盖原始信息。</w:t>
      </w:r>
    </w:p>
    <w:p>
      <w:pPr>
        <w:pStyle w:val="Heading1"/>
      </w:pPr>
      <w:r>
        <w:t>11. 培训与质控</w:t>
      </w:r>
    </w:p>
    <w:p>
      <w:pPr>
        <w:pStyle w:val="ListBullet"/>
      </w:pPr>
      <w:r>
        <w:t>研究启动培训：统一Hard Gate定义、日期口径（以采集日期为准）、污染/缺失处理与随机化触发条件。</w:t>
      </w:r>
    </w:p>
    <w:p>
      <w:pPr>
        <w:pStyle w:val="ListBullet"/>
      </w:pPr>
      <w:r>
        <w:t>实验室质控：统一报告要素（方法/平台/采集日期/报告日期/结果）；定期抽查一致性。</w:t>
      </w:r>
    </w:p>
    <w:p>
      <w:pPr>
        <w:pStyle w:val="ListBullet"/>
      </w:pPr>
      <w:r>
        <w:t>数据质控：DM定期输出Hard Gate相关缺失/异常清单；中心整改并闭环记录（CAPA）。</w:t>
      </w:r>
    </w:p>
    <w:p>
      <w:pPr>
        <w:pStyle w:val="Heading1"/>
      </w:pPr>
      <w:r>
        <w:t>附录A：Hard Gate 核对清单（Checklist）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完成/备注</w:t>
            </w:r>
          </w:p>
        </w:tc>
      </w:tr>
      <w:tr>
        <w:tc>
          <w:tcPr>
            <w:tcW w:type="dxa" w:w="4320"/>
          </w:tcPr>
          <w:p>
            <w:r>
              <w:t>M6访视日期（W24，D168±7）已确认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M6前4个月内培养结果已收集并归档（含采集日期/报告日期/方法）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满足≥2次培养阴性且间隔≥7天（以采集日期计算）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M4至随机化前无培养阳性（含晚到结果核查）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污染/无效已补采且获得可评价结果；或已按未达标处理并说明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Hard Gate结论已在EDC录入并锁定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PI签字完成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12. 版本管理与修订记录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修订说明</w:t>
            </w:r>
          </w:p>
        </w:tc>
        <w:tc>
          <w:tcPr>
            <w:tcW w:type="dxa" w:w="2160"/>
          </w:tcPr>
          <w:p>
            <w:r>
              <w:t>批准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2026-02-06</w:t>
            </w:r>
          </w:p>
        </w:tc>
        <w:tc>
          <w:tcPr>
            <w:tcW w:type="dxa" w:w="2160"/>
          </w:tcPr>
          <w:p>
            <w:r>
              <w:t>首次发布：M6决策点工具包（包含多维度评估）。</w:t>
            </w:r>
          </w:p>
        </w:tc>
        <w:tc>
          <w:tcPr>
            <w:tcW w:type="dxa" w:w="2160"/>
          </w:tcPr>
          <w:p>
            <w:r>
              <w:t>_____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2026-03-04</w:t>
            </w:r>
          </w:p>
        </w:tc>
        <w:tc>
          <w:tcPr>
            <w:tcW w:type="dxa" w:w="2160"/>
          </w:tcPr>
          <w:p>
            <w:r>
              <w:t>与研究方案V2.0对齐：将队列B M6随机前资格判定统一为“仅微生物学Hard Gate”；补充晚到结果处理、缺失/污染保守规则与核对清单。</w:t>
            </w:r>
          </w:p>
        </w:tc>
        <w:tc>
          <w:tcPr>
            <w:tcW w:type="dxa" w:w="2160"/>
          </w:tcPr>
          <w:p>
            <w:r>
              <w:t>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