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C06C3">
      <w:pPr>
        <w:jc w:val="center"/>
        <w:rPr>
          <w:rFonts w:hint="default" w:eastAsia="宋体"/>
          <w:lang w:val="en-US" w:eastAsia="zh-CN"/>
        </w:rPr>
      </w:pPr>
      <w:r>
        <w:rPr>
          <w:b/>
          <w:sz w:val="32"/>
        </w:rPr>
        <w:t>TDSC Study SOP</w:t>
      </w:r>
      <w:r>
        <w:rPr>
          <w:rFonts w:hint="eastAsia"/>
          <w:b/>
          <w:sz w:val="32"/>
          <w:lang w:val="en-US" w:eastAsia="zh-CN"/>
        </w:rPr>
        <w:t>04</w:t>
      </w:r>
    </w:p>
    <w:p w14:paraId="7D80D5E5">
      <w:pPr>
        <w:jc w:val="center"/>
      </w:pPr>
      <w:r>
        <w:rPr>
          <w:i/>
          <w:sz w:val="22"/>
        </w:rPr>
        <w:t>筛选与知情同意流程（含再同意、撤回同意、脆弱人群）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996F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18CBC64">
            <w:pPr>
              <w:spacing w:after="0" w:line="240" w:lineRule="auto"/>
            </w:pPr>
            <w:r>
              <w:t>研究简称</w:t>
            </w:r>
          </w:p>
        </w:tc>
        <w:tc>
          <w:tcPr>
            <w:tcW w:w="2340" w:type="dxa"/>
          </w:tcPr>
          <w:p w14:paraId="02890625">
            <w:pPr>
              <w:spacing w:after="0" w:line="240" w:lineRule="auto"/>
            </w:pPr>
            <w:r>
              <w:t>TDSC Study</w:t>
            </w:r>
          </w:p>
        </w:tc>
        <w:tc>
          <w:tcPr>
            <w:tcW w:w="2340" w:type="dxa"/>
          </w:tcPr>
          <w:p w14:paraId="1F717C43">
            <w:pPr>
              <w:spacing w:after="0" w:line="240" w:lineRule="auto"/>
            </w:pPr>
            <w:r>
              <w:t>SOP编号</w:t>
            </w:r>
          </w:p>
        </w:tc>
        <w:tc>
          <w:tcPr>
            <w:tcW w:w="2340" w:type="dxa"/>
          </w:tcPr>
          <w:p w14:paraId="41956EAB">
            <w:pPr>
              <w:spacing w:after="0" w:line="240" w:lineRule="auto"/>
              <w:rPr>
                <w:rFonts w:hint="default" w:eastAsia="宋体"/>
                <w:lang w:val="en-US" w:eastAsia="zh-CN"/>
              </w:rPr>
            </w:pPr>
            <w:r>
              <w:t>SOP</w:t>
            </w:r>
            <w:r>
              <w:rPr>
                <w:rFonts w:hint="eastAsia"/>
                <w:lang w:val="en-US" w:eastAsia="zh-CN"/>
              </w:rPr>
              <w:t>04</w:t>
            </w:r>
            <w:bookmarkStart w:id="0" w:name="_GoBack"/>
            <w:bookmarkEnd w:id="0"/>
          </w:p>
        </w:tc>
      </w:tr>
      <w:tr w14:paraId="1F5F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45ADDE9B">
            <w:pPr>
              <w:spacing w:after="0" w:line="240" w:lineRule="auto"/>
            </w:pPr>
            <w:r>
              <w:t>SOP标题</w:t>
            </w:r>
          </w:p>
        </w:tc>
        <w:tc>
          <w:tcPr>
            <w:tcW w:w="2340" w:type="dxa"/>
          </w:tcPr>
          <w:p w14:paraId="757007E3">
            <w:pPr>
              <w:spacing w:after="0" w:line="240" w:lineRule="auto"/>
            </w:pPr>
            <w:r>
              <w:t>筛选与知情同意流程（含再同意、撤回同意、脆弱人群）</w:t>
            </w:r>
          </w:p>
        </w:tc>
        <w:tc>
          <w:tcPr>
            <w:tcW w:w="2340" w:type="dxa"/>
          </w:tcPr>
          <w:p w14:paraId="29BA4A69">
            <w:pPr>
              <w:spacing w:after="0" w:line="240" w:lineRule="auto"/>
            </w:pPr>
            <w:r>
              <w:t>版本</w:t>
            </w:r>
          </w:p>
        </w:tc>
        <w:tc>
          <w:tcPr>
            <w:tcW w:w="2340" w:type="dxa"/>
          </w:tcPr>
          <w:p w14:paraId="0E8E39FF">
            <w:pPr>
              <w:spacing w:after="0" w:line="240" w:lineRule="auto"/>
            </w:pPr>
            <w:r>
              <w:t>V1.1</w:t>
            </w:r>
          </w:p>
        </w:tc>
      </w:tr>
      <w:tr w14:paraId="23FE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56D41B7">
            <w:pPr>
              <w:spacing w:after="0" w:line="240" w:lineRule="auto"/>
            </w:pPr>
            <w:r>
              <w:t>生效日期</w:t>
            </w:r>
          </w:p>
        </w:tc>
        <w:tc>
          <w:tcPr>
            <w:tcW w:w="2340" w:type="dxa"/>
          </w:tcPr>
          <w:p w14:paraId="256801F2">
            <w:pPr>
              <w:spacing w:after="0" w:line="240" w:lineRule="auto"/>
            </w:pPr>
            <w:r>
              <w:t>2026-02-07</w:t>
            </w:r>
          </w:p>
        </w:tc>
        <w:tc>
          <w:tcPr>
            <w:tcW w:w="2340" w:type="dxa"/>
          </w:tcPr>
          <w:p w14:paraId="5D1779FB">
            <w:pPr>
              <w:spacing w:after="0" w:line="240" w:lineRule="auto"/>
            </w:pPr>
            <w:r>
              <w:t>替代版本</w:t>
            </w:r>
          </w:p>
        </w:tc>
        <w:tc>
          <w:tcPr>
            <w:tcW w:w="2340" w:type="dxa"/>
          </w:tcPr>
          <w:p w14:paraId="0C773BA1">
            <w:pPr>
              <w:spacing w:after="0" w:line="240" w:lineRule="auto"/>
            </w:pPr>
            <w:r>
              <w:t>无</w:t>
            </w:r>
          </w:p>
        </w:tc>
      </w:tr>
      <w:tr w14:paraId="4C20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84A57A0">
            <w:pPr>
              <w:spacing w:after="0" w:line="240" w:lineRule="auto"/>
            </w:pPr>
            <w:r>
              <w:t>适用范围</w:t>
            </w:r>
          </w:p>
        </w:tc>
        <w:tc>
          <w:tcPr>
            <w:tcW w:w="2340" w:type="dxa"/>
          </w:tcPr>
          <w:p w14:paraId="1BD32568">
            <w:pPr>
              <w:spacing w:after="0" w:line="240" w:lineRule="auto"/>
            </w:pPr>
            <w:r>
              <w:t>所有参研中心/研究团队成员</w:t>
            </w:r>
          </w:p>
        </w:tc>
        <w:tc>
          <w:tcPr>
            <w:tcW w:w="2340" w:type="dxa"/>
          </w:tcPr>
          <w:p w14:paraId="71749390">
            <w:pPr>
              <w:spacing w:after="0" w:line="240" w:lineRule="auto"/>
            </w:pPr>
            <w:r>
              <w:t>保密级别</w:t>
            </w:r>
          </w:p>
        </w:tc>
        <w:tc>
          <w:tcPr>
            <w:tcW w:w="2340" w:type="dxa"/>
          </w:tcPr>
          <w:p w14:paraId="5C8151A4">
            <w:pPr>
              <w:spacing w:after="0" w:line="240" w:lineRule="auto"/>
            </w:pPr>
            <w:r>
              <w:t>内部使用</w:t>
            </w:r>
          </w:p>
        </w:tc>
      </w:tr>
      <w:tr w14:paraId="578E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584C61F">
            <w:pPr>
              <w:spacing w:after="0" w:line="240" w:lineRule="auto"/>
            </w:pPr>
            <w:r>
              <w:t>起草</w:t>
            </w:r>
          </w:p>
        </w:tc>
        <w:tc>
          <w:tcPr>
            <w:tcW w:w="2340" w:type="dxa"/>
          </w:tcPr>
          <w:p w14:paraId="157BCAF6">
            <w:pPr>
              <w:spacing w:after="0" w:line="240" w:lineRule="auto"/>
            </w:pPr>
            <w:r>
              <w:t>（待填）</w:t>
            </w:r>
          </w:p>
        </w:tc>
        <w:tc>
          <w:tcPr>
            <w:tcW w:w="2340" w:type="dxa"/>
          </w:tcPr>
          <w:p w14:paraId="41A37C2A">
            <w:pPr>
              <w:spacing w:after="0" w:line="240" w:lineRule="auto"/>
            </w:pPr>
            <w:r>
              <w:t>复核</w:t>
            </w:r>
          </w:p>
        </w:tc>
        <w:tc>
          <w:tcPr>
            <w:tcW w:w="2340" w:type="dxa"/>
          </w:tcPr>
          <w:p w14:paraId="4F88945E">
            <w:pPr>
              <w:spacing w:after="0" w:line="240" w:lineRule="auto"/>
            </w:pPr>
            <w:r>
              <w:t>（待填）</w:t>
            </w:r>
          </w:p>
        </w:tc>
      </w:tr>
      <w:tr w14:paraId="2166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1B8E608">
            <w:pPr>
              <w:spacing w:after="0" w:line="240" w:lineRule="auto"/>
            </w:pPr>
            <w:r>
              <w:t>批准</w:t>
            </w:r>
          </w:p>
        </w:tc>
        <w:tc>
          <w:tcPr>
            <w:tcW w:w="2340" w:type="dxa"/>
          </w:tcPr>
          <w:p w14:paraId="027EAB8F">
            <w:pPr>
              <w:spacing w:after="0" w:line="240" w:lineRule="auto"/>
            </w:pPr>
            <w:r>
              <w:t>（待填）</w:t>
            </w:r>
          </w:p>
        </w:tc>
        <w:tc>
          <w:tcPr>
            <w:tcW w:w="2340" w:type="dxa"/>
          </w:tcPr>
          <w:p w14:paraId="31CE5A40">
            <w:pPr>
              <w:spacing w:after="0" w:line="240" w:lineRule="auto"/>
            </w:pPr>
            <w:r>
              <w:t>关联文件</w:t>
            </w:r>
          </w:p>
        </w:tc>
        <w:tc>
          <w:tcPr>
            <w:tcW w:w="2340" w:type="dxa"/>
          </w:tcPr>
          <w:p w14:paraId="1C7A2F34">
            <w:pPr>
              <w:spacing w:after="0" w:line="240" w:lineRule="auto"/>
            </w:pPr>
            <w:r>
              <w:t>TDSC Study Protocol V2.0 (2026-02-28) / TDSC研究方案 V2.0（2026-02-28）</w:t>
            </w:r>
          </w:p>
        </w:tc>
      </w:tr>
    </w:tbl>
    <w:p w14:paraId="5EEAAC30"/>
    <w:p w14:paraId="538F077F">
      <w:pPr>
        <w:pStyle w:val="3"/>
      </w:pPr>
      <w:r>
        <w:t>1. 目的</w:t>
      </w:r>
    </w:p>
    <w:p w14:paraId="1D1997A7">
      <w:r>
        <w:t>规范TDSC研究受试者从初筛到正式入组前的筛选与知情同意获取流程，确保：</w:t>
      </w:r>
      <w:r>
        <w:br w:type="textWrapping"/>
      </w:r>
      <w:r>
        <w:t>（1）在任何研究特定程序实施前完成充分、可追溯的书面知情同意；</w:t>
      </w:r>
      <w:r>
        <w:br w:type="textWrapping"/>
      </w:r>
      <w:r>
        <w:t>（2）在方案变更或新风险信息出现时，能够及时、合规地进行再同意；</w:t>
      </w:r>
      <w:r>
        <w:br w:type="textWrapping"/>
      </w:r>
      <w:r>
        <w:t>（3）受试者撤回同意或退出研究时，研究团队能够按方案与法规要求进行处置与记录；</w:t>
      </w:r>
      <w:r>
        <w:br w:type="textWrapping"/>
      </w:r>
      <w:r>
        <w:t>（4）对脆弱人群实施额外保护措施，降低胁迫/不当影响风险。</w:t>
      </w:r>
    </w:p>
    <w:p w14:paraId="1F377EA6">
      <w:pPr>
        <w:pStyle w:val="3"/>
      </w:pPr>
      <w:r>
        <w:t>2. 适用范围</w:t>
      </w:r>
    </w:p>
    <w:p w14:paraId="2C631BBA">
      <w:r>
        <w:t>适用于TDSC研究所有参研中心的研究医生、研究护士、CRC、监查员及其他参与受试者招募、筛选、知情同意获取与文件归档的人员。</w:t>
      </w:r>
    </w:p>
    <w:p w14:paraId="7660A3B9">
      <w:pPr>
        <w:pStyle w:val="3"/>
      </w:pPr>
      <w:r>
        <w:t>3. 参考文件</w:t>
      </w:r>
    </w:p>
    <w:p w14:paraId="27A3027F">
      <w:pPr>
        <w:ind w:left="397" w:hanging="198"/>
        <w:jc w:val="left"/>
      </w:pPr>
      <w:r>
        <w:t>• TDSC Study Protocol V2.0 (2026-02-28) / TDSC研究方案 V2.0（2026-02-28）：筛选流程与知情同意（含任何研究相关程序前同意原则）；停止研究治疗与退出研究（撤回同意、失访）；失访预防与随访保留策略（含被动追溯的合规边界）。</w:t>
      </w:r>
    </w:p>
    <w:p w14:paraId="52202EBD">
      <w:pPr>
        <w:ind w:left="397" w:hanging="198"/>
        <w:jc w:val="left"/>
      </w:pPr>
      <w:r>
        <w:t>• 各中心伦理委员会批准文件及最新版知情同意书(ICF)/受试者信息说明(PIS)。</w:t>
      </w:r>
    </w:p>
    <w:p w14:paraId="51A898C5">
      <w:pPr>
        <w:ind w:left="397" w:hanging="198"/>
        <w:jc w:val="left"/>
      </w:pPr>
      <w:r>
        <w:t>• 适用的GCP与当地法律法规（以各中心伦理委员会/机构政策为准）。</w:t>
      </w:r>
    </w:p>
    <w:p w14:paraId="4362F322">
      <w:pPr>
        <w:ind w:left="397" w:hanging="198"/>
        <w:jc w:val="left"/>
      </w:pPr>
      <w:r>
        <w:t>• 研究授权分工表(Delegation Log)与培训记录(Training Log)。</w:t>
      </w:r>
    </w:p>
    <w:p w14:paraId="4F63238B">
      <w:pPr>
        <w:pStyle w:val="3"/>
      </w:pPr>
      <w:r>
        <w:t>4. 术语与缩写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7806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ED1DDE0">
            <w:pPr>
              <w:spacing w:after="0" w:line="240" w:lineRule="auto"/>
            </w:pPr>
            <w:r>
              <w:t>术语/缩写</w:t>
            </w:r>
          </w:p>
        </w:tc>
        <w:tc>
          <w:tcPr>
            <w:tcW w:w="6236" w:type="dxa"/>
          </w:tcPr>
          <w:p w14:paraId="6350E391">
            <w:pPr>
              <w:spacing w:after="0" w:line="240" w:lineRule="auto"/>
            </w:pPr>
            <w:r>
              <w:t>说明</w:t>
            </w:r>
          </w:p>
        </w:tc>
      </w:tr>
      <w:tr w14:paraId="18C0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1FD1760">
            <w:pPr>
              <w:spacing w:after="0" w:line="240" w:lineRule="auto"/>
            </w:pPr>
            <w:r>
              <w:t>ICF</w:t>
            </w:r>
          </w:p>
        </w:tc>
        <w:tc>
          <w:tcPr>
            <w:tcW w:w="6236" w:type="dxa"/>
          </w:tcPr>
          <w:p w14:paraId="503A23E6">
            <w:pPr>
              <w:spacing w:after="0" w:line="240" w:lineRule="auto"/>
            </w:pPr>
            <w:r>
              <w:t>Informed Consent Form，知情同意书（含签名页）。</w:t>
            </w:r>
          </w:p>
        </w:tc>
      </w:tr>
      <w:tr w14:paraId="0076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522AD97">
            <w:pPr>
              <w:spacing w:after="0" w:line="240" w:lineRule="auto"/>
            </w:pPr>
            <w:r>
              <w:t>PIS</w:t>
            </w:r>
          </w:p>
        </w:tc>
        <w:tc>
          <w:tcPr>
            <w:tcW w:w="6236" w:type="dxa"/>
          </w:tcPr>
          <w:p w14:paraId="7D57CC53">
            <w:pPr>
              <w:spacing w:after="0" w:line="240" w:lineRule="auto"/>
            </w:pPr>
            <w:r>
              <w:t>Participant Information Sheet，受试者信息说明。</w:t>
            </w:r>
          </w:p>
        </w:tc>
      </w:tr>
      <w:tr w14:paraId="632F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4BFD6AE">
            <w:pPr>
              <w:spacing w:after="0" w:line="240" w:lineRule="auto"/>
            </w:pPr>
            <w:r>
              <w:t>IEC/IRB</w:t>
            </w:r>
          </w:p>
        </w:tc>
        <w:tc>
          <w:tcPr>
            <w:tcW w:w="6236" w:type="dxa"/>
          </w:tcPr>
          <w:p w14:paraId="09F4687B">
            <w:pPr>
              <w:spacing w:after="0" w:line="240" w:lineRule="auto"/>
            </w:pPr>
            <w:r>
              <w:t>伦理委员会/机构审查委员会。</w:t>
            </w:r>
          </w:p>
        </w:tc>
      </w:tr>
      <w:tr w14:paraId="4248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6987690">
            <w:pPr>
              <w:spacing w:after="0" w:line="240" w:lineRule="auto"/>
            </w:pPr>
            <w:r>
              <w:t>LAR</w:t>
            </w:r>
          </w:p>
        </w:tc>
        <w:tc>
          <w:tcPr>
            <w:tcW w:w="6236" w:type="dxa"/>
          </w:tcPr>
          <w:p w14:paraId="181FADF6">
            <w:pPr>
              <w:spacing w:after="0" w:line="240" w:lineRule="auto"/>
            </w:pPr>
            <w:r>
              <w:t>Legally Authorized Representative，法定代理人。</w:t>
            </w:r>
          </w:p>
        </w:tc>
      </w:tr>
      <w:tr w14:paraId="06235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734CB53">
            <w:pPr>
              <w:spacing w:after="0" w:line="240" w:lineRule="auto"/>
            </w:pPr>
            <w:r>
              <w:t>再同意(Re-consent)</w:t>
            </w:r>
          </w:p>
        </w:tc>
        <w:tc>
          <w:tcPr>
            <w:tcW w:w="6236" w:type="dxa"/>
          </w:tcPr>
          <w:p w14:paraId="69ED47C5">
            <w:pPr>
              <w:spacing w:after="0" w:line="240" w:lineRule="auto"/>
            </w:pPr>
            <w:r>
              <w:t>在方案或风险信息变化时重新获取受试者（或LAR）同意。</w:t>
            </w:r>
          </w:p>
        </w:tc>
      </w:tr>
      <w:tr w14:paraId="00A46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20BF098E">
            <w:pPr>
              <w:spacing w:after="0" w:line="240" w:lineRule="auto"/>
            </w:pPr>
            <w:r>
              <w:t>脆弱人群(Vulnerable participants)</w:t>
            </w:r>
          </w:p>
        </w:tc>
        <w:tc>
          <w:tcPr>
            <w:tcW w:w="6236" w:type="dxa"/>
          </w:tcPr>
          <w:p w14:paraId="3DCC882C">
            <w:pPr>
              <w:spacing w:after="0" w:line="240" w:lineRule="auto"/>
            </w:pPr>
            <w:r>
              <w:t>更易受胁迫/不当影响或理解能力受限的人群。</w:t>
            </w:r>
          </w:p>
        </w:tc>
      </w:tr>
    </w:tbl>
    <w:p w14:paraId="25BC8B83"/>
    <w:p w14:paraId="00EACDE5">
      <w:pPr>
        <w:pStyle w:val="3"/>
      </w:pPr>
      <w:r>
        <w:t>5. 职责分工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058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19AB8DB">
            <w:pPr>
              <w:spacing w:after="0" w:line="240" w:lineRule="auto"/>
            </w:pPr>
            <w:r>
              <w:t>角色</w:t>
            </w:r>
          </w:p>
        </w:tc>
        <w:tc>
          <w:tcPr>
            <w:tcW w:w="6803" w:type="dxa"/>
          </w:tcPr>
          <w:p w14:paraId="40451E5B">
            <w:pPr>
              <w:spacing w:after="0" w:line="240" w:lineRule="auto"/>
            </w:pPr>
            <w:r>
              <w:t>关键职责（与本SOP相关）</w:t>
            </w:r>
          </w:p>
        </w:tc>
      </w:tr>
      <w:tr w14:paraId="1000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49C844C">
            <w:pPr>
              <w:spacing w:after="0" w:line="240" w:lineRule="auto"/>
            </w:pPr>
            <w:r>
              <w:t>PI/分中心负责人</w:t>
            </w:r>
          </w:p>
        </w:tc>
        <w:tc>
          <w:tcPr>
            <w:tcW w:w="6803" w:type="dxa"/>
          </w:tcPr>
          <w:p w14:paraId="785ED4CC">
            <w:pPr>
              <w:spacing w:after="0" w:line="240" w:lineRule="auto"/>
            </w:pPr>
            <w:r>
              <w:t>确保本中心知情同意流程符合方案与伦理批准；审核并签署必要记录；处理重大偏差与投诉。</w:t>
            </w:r>
          </w:p>
        </w:tc>
      </w:tr>
      <w:tr w14:paraId="3B12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55710D1">
            <w:pPr>
              <w:spacing w:after="0" w:line="240" w:lineRule="auto"/>
            </w:pPr>
            <w:r>
              <w:t>研究医生（含Sub-I）</w:t>
            </w:r>
          </w:p>
        </w:tc>
        <w:tc>
          <w:tcPr>
            <w:tcW w:w="6803" w:type="dxa"/>
          </w:tcPr>
          <w:p w14:paraId="38D7CC6B">
            <w:pPr>
              <w:spacing w:after="0" w:line="240" w:lineRule="auto"/>
            </w:pPr>
            <w:r>
              <w:t>实施沟通与知情同意获取；评估理解与决策能力；判定是否需要LAR/见证人/翻译。</w:t>
            </w:r>
          </w:p>
        </w:tc>
      </w:tr>
      <w:tr w14:paraId="4A89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70BABFB">
            <w:pPr>
              <w:spacing w:after="0" w:line="240" w:lineRule="auto"/>
            </w:pPr>
            <w:r>
              <w:t>研究护士/CRC</w:t>
            </w:r>
          </w:p>
        </w:tc>
        <w:tc>
          <w:tcPr>
            <w:tcW w:w="6803" w:type="dxa"/>
          </w:tcPr>
          <w:p w14:paraId="2E9F029C">
            <w:pPr>
              <w:spacing w:after="0" w:line="240" w:lineRule="auto"/>
            </w:pPr>
            <w:r>
              <w:t>安排流程、准备文件、核对版本、归档原件、提供受试者副本；维护筛选日志与追踪再同意。</w:t>
            </w:r>
          </w:p>
        </w:tc>
      </w:tr>
      <w:tr w14:paraId="2B52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424BB19">
            <w:pPr>
              <w:spacing w:after="0" w:line="240" w:lineRule="auto"/>
            </w:pPr>
            <w:r>
              <w:t>独立见证人/翻译</w:t>
            </w:r>
          </w:p>
        </w:tc>
        <w:tc>
          <w:tcPr>
            <w:tcW w:w="6803" w:type="dxa"/>
          </w:tcPr>
          <w:p w14:paraId="720AE88C">
            <w:pPr>
              <w:spacing w:after="0" w:line="240" w:lineRule="auto"/>
            </w:pPr>
            <w:r>
              <w:t>在受试者文盲/语言障碍等情况下见证沟通或提供口译，并在ICF上签字确认。</w:t>
            </w:r>
          </w:p>
        </w:tc>
      </w:tr>
      <w:tr w14:paraId="4988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5B2D7E6">
            <w:pPr>
              <w:spacing w:after="0" w:line="240" w:lineRule="auto"/>
            </w:pPr>
            <w:r>
              <w:t>CRA/监查员</w:t>
            </w:r>
          </w:p>
        </w:tc>
        <w:tc>
          <w:tcPr>
            <w:tcW w:w="6803" w:type="dxa"/>
          </w:tcPr>
          <w:p w14:paraId="30195F3B">
            <w:pPr>
              <w:spacing w:after="0" w:line="240" w:lineRule="auto"/>
            </w:pPr>
            <w:r>
              <w:t>按监查计划核查知情同意合规性与可追溯性，提出整改建议。</w:t>
            </w:r>
          </w:p>
        </w:tc>
      </w:tr>
    </w:tbl>
    <w:p w14:paraId="12C76034"/>
    <w:p w14:paraId="42452F4D">
      <w:pPr>
        <w:pStyle w:val="3"/>
      </w:pPr>
      <w:r>
        <w:t>6. 关键原则（必须遵守）</w:t>
      </w:r>
    </w:p>
    <w:p w14:paraId="07179BB3">
      <w:pPr>
        <w:ind w:left="397" w:hanging="198"/>
        <w:jc w:val="left"/>
      </w:pPr>
      <w:r>
        <w:t>• 在进行任何研究相关程序前必须完成书面知情同意（包括为研究目的增加的采样/检查、研究专用生物标志物采集、随机化等）。允许在常规诊疗中已完成的检查/检验结果用于预筛选或资格判定，但不得因研究目的而额外增加检查或采样。</w:t>
      </w:r>
    </w:p>
    <w:p w14:paraId="6DDD502F">
      <w:pPr>
        <w:ind w:left="397" w:hanging="198"/>
        <w:jc w:val="left"/>
      </w:pPr>
      <w:r>
        <w:t>• 必须使用伦理批准的最新版知情同意书/受试者信息说明(ICF/PIS)（含版本号与批准日期/章）。</w:t>
      </w:r>
    </w:p>
    <w:p w14:paraId="20DD02F0">
      <w:pPr>
        <w:ind w:left="397" w:hanging="198"/>
        <w:jc w:val="left"/>
      </w:pPr>
      <w:r>
        <w:t>• 沟通应以受试者可理解的语言进行，建议采用“复述确认法(teach-back)”评估理解。</w:t>
      </w:r>
    </w:p>
    <w:p w14:paraId="6A5CCD4E">
      <w:pPr>
        <w:ind w:left="397" w:hanging="198"/>
        <w:jc w:val="left"/>
      </w:pPr>
      <w:r>
        <w:t>• 不得以任何形式胁迫或不当影响受试者；受试者拒绝/退出不影响其常规诊疗权益。</w:t>
      </w:r>
    </w:p>
    <w:p w14:paraId="5FB9B6F0">
      <w:pPr>
        <w:ind w:left="397" w:hanging="198"/>
        <w:jc w:val="left"/>
      </w:pPr>
      <w:r>
        <w:t>• 文件必须完整、真实、可追溯：签名/日期/时间/版本记录缺一不可；更正需符合ALCOA+原则。</w:t>
      </w:r>
    </w:p>
    <w:p w14:paraId="439BCCDD">
      <w:pPr>
        <w:ind w:left="397" w:hanging="198"/>
        <w:jc w:val="left"/>
      </w:pPr>
      <w:r>
        <w:t>• 研究方案明确区分“停止研究治疗”与“退出研究”；撤回同意属于退出研究情形之一。</w:t>
      </w:r>
    </w:p>
    <w:p w14:paraId="64EF4B03">
      <w:pPr>
        <w:pStyle w:val="3"/>
      </w:pPr>
      <w:r>
        <w:t>7. 操作流程</w:t>
      </w:r>
    </w:p>
    <w:p w14:paraId="710F6EF1">
      <w:pPr>
        <w:pStyle w:val="4"/>
      </w:pPr>
      <w:r>
        <w:t>7.1 预筛选(Pre-screening)</w:t>
      </w:r>
    </w:p>
    <w:p w14:paraId="5CC7444D">
      <w:pPr>
        <w:ind w:left="397" w:hanging="198"/>
        <w:jc w:val="left"/>
      </w:pPr>
      <w:r>
        <w:t>• 可在门诊/住院常规诊疗流程中识别潜在受试者；仅使用最小必要信息进行初步判断（如年龄、TB与T2DM诊断、初步耐药风险）。</w:t>
      </w:r>
    </w:p>
    <w:p w14:paraId="5EB0152B">
      <w:pPr>
        <w:ind w:left="397" w:hanging="198"/>
        <w:jc w:val="left"/>
      </w:pPr>
      <w:r>
        <w:t>• 预筛选阶段不得实施任何为研究目的额外增加的检查或采样；如需调用既往检查结果，应遵循机构隐私政策。</w:t>
      </w:r>
    </w:p>
    <w:p w14:paraId="1E9B989D">
      <w:pPr>
        <w:ind w:left="397" w:hanging="198"/>
        <w:jc w:val="left"/>
      </w:pPr>
      <w:r>
        <w:t>• 建立并维护筛选日志(Screening Log)，记录基本识别信息、筛选编号、主要不符合原因（如适用）。</w:t>
      </w:r>
    </w:p>
    <w:p w14:paraId="7234F048">
      <w:pPr>
        <w:pStyle w:val="4"/>
      </w:pPr>
      <w:r>
        <w:t>7.2 受试者接触与隐私保护</w:t>
      </w:r>
    </w:p>
    <w:p w14:paraId="1B9972E1">
      <w:pPr>
        <w:ind w:left="397" w:hanging="198"/>
        <w:jc w:val="left"/>
      </w:pPr>
      <w:r>
        <w:t>• 首次接触优先由其主治团队成员进行；尽量在私密环境沟通，避免公开场合讨论敏感信息（TB/DM）。</w:t>
      </w:r>
    </w:p>
    <w:p w14:paraId="2E01EB1D">
      <w:pPr>
        <w:ind w:left="397" w:hanging="198"/>
        <w:jc w:val="left"/>
      </w:pPr>
      <w:r>
        <w:t>• 评估是否存在潜在的依赖关系或不当影响（如受试者因经济/身份原因担心拒绝影响治疗）。必要时安排独立人员参与沟通。</w:t>
      </w:r>
    </w:p>
    <w:p w14:paraId="5A016765">
      <w:pPr>
        <w:pStyle w:val="4"/>
      </w:pPr>
      <w:r>
        <w:t>7.3 知情同意沟通与信息提供</w:t>
      </w:r>
    </w:p>
    <w:p w14:paraId="2C198FB4">
      <w:pPr>
        <w:ind w:left="397" w:hanging="198"/>
        <w:jc w:val="left"/>
      </w:pPr>
      <w:r>
        <w:t>• 提供PIS/ICF（纸质或经伦理批准的电子版），说明研究目的、流程（分层-随机框架）、风险与不适、潜在获益、替代治疗、保密与数据使用、补偿/费用（如适用）、自愿性与退出权利。</w:t>
      </w:r>
    </w:p>
    <w:p w14:paraId="270955BB">
      <w:pPr>
        <w:ind w:left="397" w:hanging="198"/>
        <w:jc w:val="left"/>
      </w:pPr>
      <w:r>
        <w:t>• 如ICF包含“剩余生物样本长期储存用于未来研究”的独立选择项，应明确解释该选项；拒绝该项不影响参与主试验（以伦理批准版本为准）。</w:t>
      </w:r>
    </w:p>
    <w:p w14:paraId="362D55B8">
      <w:pPr>
        <w:ind w:left="397" w:hanging="198"/>
        <w:jc w:val="left"/>
      </w:pPr>
      <w:r>
        <w:t>• 告知受试者可携家属共同讨论；鼓励提问并保留充足考虑时间（通常建议≥24小时；如同日签署，应记录原因与受试者意愿）。</w:t>
      </w:r>
    </w:p>
    <w:p w14:paraId="35C0D911">
      <w:pPr>
        <w:pStyle w:val="4"/>
      </w:pPr>
      <w:r>
        <w:t>7.4 理解能力与自愿性评估(Teach-back)</w:t>
      </w:r>
    </w:p>
    <w:p w14:paraId="3408CF15">
      <w:pPr>
        <w:ind w:left="397" w:hanging="198"/>
        <w:jc w:val="left"/>
      </w:pPr>
      <w:r>
        <w:t>• 研究医生需评估受试者是否具备理解与自主决策能力；如怀疑能力受限，应启动LAR流程并尽可能获得受试者认可(assent)。</w:t>
      </w:r>
    </w:p>
    <w:p w14:paraId="5CD7BE05">
      <w:pPr>
        <w:ind w:left="397" w:hanging="198"/>
        <w:jc w:val="left"/>
      </w:pPr>
      <w:r>
        <w:t>• 建议使用teach-back：请受试者用自己的话回答关键问题（见附录A）。</w:t>
      </w:r>
    </w:p>
    <w:p w14:paraId="68ACE46E">
      <w:pPr>
        <w:ind w:left="397" w:hanging="198"/>
        <w:jc w:val="left"/>
      </w:pPr>
      <w:r>
        <w:t>• 记录沟通要点：沟通日期/时间、参与人员、主要提问与回答、是否需要再次沟通。</w:t>
      </w:r>
    </w:p>
    <w:p w14:paraId="5FD2D37C">
      <w:pPr>
        <w:pStyle w:val="4"/>
      </w:pPr>
      <w:r>
        <w:t>7.5 签署与归档（纸质ICF为主）</w:t>
      </w:r>
    </w:p>
    <w:p w14:paraId="58B0C492">
      <w:pPr>
        <w:ind w:left="397" w:hanging="198"/>
        <w:jc w:val="left"/>
      </w:pPr>
      <w:r>
        <w:t>• 签署顺序：受试者（或LAR）签名与日期/时间 → 研究医生签名与日期/时间 → 见证人/翻译签名（如适用）。</w:t>
      </w:r>
    </w:p>
    <w:p w14:paraId="1570BDAA">
      <w:pPr>
        <w:ind w:left="397" w:hanging="198"/>
        <w:jc w:val="left"/>
      </w:pPr>
      <w:r>
        <w:t>• 受试者文盲/阅读困难：应由独立见证人在场；ICF内容逐条朗读并解释；受试者可按手印/签名方式完成签署（以伦理批准为准）。</w:t>
      </w:r>
    </w:p>
    <w:p w14:paraId="3CA1F05E">
      <w:pPr>
        <w:ind w:left="397" w:hanging="198"/>
        <w:jc w:val="left"/>
      </w:pPr>
      <w:r>
        <w:t>• 如需翻译：使用伦理批准的翻译版本或机构认可的翻译流程；口译人员需在ICF上签字确认。</w:t>
      </w:r>
    </w:p>
    <w:p w14:paraId="10BBEBE2">
      <w:pPr>
        <w:ind w:left="397" w:hanging="198"/>
        <w:jc w:val="left"/>
      </w:pPr>
      <w:r>
        <w:t>• 向受试者提供已签署ICF副本；原件作为源文件归档于研究文件夹，按受试者编号顺序保存。</w:t>
      </w:r>
    </w:p>
    <w:p w14:paraId="45F1FA9C">
      <w:pPr>
        <w:ind w:left="397" w:hanging="198"/>
        <w:jc w:val="left"/>
      </w:pPr>
      <w:r>
        <w:t>• 任何研究特定程序必须在ICF签署完成后启动，并在筛选/基线记录中核对ICF签署时间顺序。</w:t>
      </w:r>
    </w:p>
    <w:p w14:paraId="6162B153">
      <w:pPr>
        <w:pStyle w:val="4"/>
      </w:pPr>
      <w:r>
        <w:t>7.6 正式筛选检查与资格判定</w:t>
      </w:r>
    </w:p>
    <w:p w14:paraId="5C25E8B8">
      <w:pPr>
        <w:ind w:left="397" w:hanging="198"/>
        <w:jc w:val="left"/>
      </w:pPr>
      <w:r>
        <w:t>• 按照研究方案与随访表开展筛选期检查（实验室、心电、影像、病原学与耐药筛查等），并在规定窗口内完成。</w:t>
      </w:r>
    </w:p>
    <w:p w14:paraId="2FD8765B">
      <w:pPr>
        <w:ind w:left="397" w:hanging="198"/>
        <w:jc w:val="left"/>
      </w:pPr>
      <w:r>
        <w:t>• 研究医生完成入排标准核对并签名确认；CRC核对数据完整性与逻辑一致性。</w:t>
      </w:r>
    </w:p>
    <w:p w14:paraId="47DB70C2">
      <w:pPr>
        <w:ind w:left="397" w:hanging="198"/>
        <w:jc w:val="left"/>
      </w:pPr>
      <w:r>
        <w:t>• 若不符合入组标准：记录主要原因并更新筛选日志；受试者继续按临床常规管理。</w:t>
      </w:r>
    </w:p>
    <w:p w14:paraId="55F612DD">
      <w:pPr>
        <w:pStyle w:val="3"/>
      </w:pPr>
      <w:r>
        <w:t>8. 再同意(Re-consent)</w:t>
      </w:r>
    </w:p>
    <w:p w14:paraId="682A8813">
      <w:pPr>
        <w:ind w:left="397" w:hanging="198"/>
        <w:jc w:val="left"/>
      </w:pPr>
      <w:r>
        <w:t>• 触发情形（示例）：方案的实质性修订(Substantial Amendment)；新增重要风险/安全信息；研究程序或随访显著增加；ICF版本更新；受试者决策能力状态变化等。</w:t>
      </w:r>
    </w:p>
    <w:p w14:paraId="44BC8ADC">
      <w:pPr>
        <w:ind w:left="397" w:hanging="198"/>
        <w:jc w:val="left"/>
      </w:pPr>
      <w:r>
        <w:t>• 流程：由研究医生使用最新版获批ICF进行再次沟通与签署；在eCRF/源文件中记录再同意原因、版本号、日期与时间。</w:t>
      </w:r>
    </w:p>
    <w:p w14:paraId="46297B62">
      <w:pPr>
        <w:ind w:left="397" w:hanging="198"/>
        <w:jc w:val="left"/>
      </w:pPr>
      <w:r>
        <w:t>• 未完成再同意前不得继续实施新增/变更的研究程序；如受试者拒绝再同意，按撤回同意流程处理或仅保留其同意范围内的随访（以伦理批准与法规为准）。</w:t>
      </w:r>
    </w:p>
    <w:p w14:paraId="62DBAE97">
      <w:pPr>
        <w:pStyle w:val="3"/>
      </w:pPr>
      <w:r>
        <w:t>9. 撤回同意与退出研究</w:t>
      </w:r>
    </w:p>
    <w:p w14:paraId="7D5EC0D1">
      <w:r>
        <w:t>研究方案区分“停止研究治疗”与“退出研究”。撤回知情同意并拒绝进一步随访属于退出研究情形。</w:t>
      </w:r>
    </w:p>
    <w:p w14:paraId="6692BB64">
      <w:pPr>
        <w:ind w:left="397" w:hanging="198"/>
        <w:jc w:val="left"/>
      </w:pPr>
      <w:r>
        <w:t>• 沟通：研究医生应确认撤回原因（如受试者愿意），并说明可选择：停止研究治疗但继续随访；或完全退出并不再联系（以伦理批准与法规允许为限）。</w:t>
      </w:r>
    </w:p>
    <w:p w14:paraId="78337FA6">
      <w:pPr>
        <w:ind w:left="397" w:hanging="198"/>
        <w:jc w:val="left"/>
      </w:pPr>
      <w:r>
        <w:t>• 记录：填写《撤回同意记录表》（附录C），记录撤回日期/时间、撤回范围（治疗/随访/样本/数据）、是否允许使用既往数据与样本。</w:t>
      </w:r>
    </w:p>
    <w:p w14:paraId="23B7364D">
      <w:pPr>
        <w:ind w:left="397" w:hanging="198"/>
        <w:jc w:val="left"/>
      </w:pPr>
      <w:r>
        <w:t>• 数据与样本：撤回前已合法收集的数据通常可用于既定分析（去标识化）；如受试者要求销毁未检测样本，应评估可行性并按生物样本库SOP执行（以伦理批准与法规为准）。</w:t>
      </w:r>
    </w:p>
    <w:p w14:paraId="715C33A6">
      <w:pPr>
        <w:ind w:left="397" w:hanging="198"/>
        <w:jc w:val="left"/>
      </w:pPr>
      <w:r>
        <w:t>• 通知：如撤回涉及安全事件或重大偏差，应按规定向申办方/伦理委员会报告。</w:t>
      </w:r>
    </w:p>
    <w:p w14:paraId="7864E52C">
      <w:pPr>
        <w:ind w:left="397" w:hanging="198"/>
        <w:jc w:val="left"/>
      </w:pPr>
      <w:r>
        <w:t>• 失访：如多次联系失败，应按方案要求记录尝试过程（建议至少3次电话联系，并至少1次短信/信件或其他书面方式）。</w:t>
      </w:r>
    </w:p>
    <w:p w14:paraId="67C66784">
      <w:r>
        <w:t>• 若受试者未明确撤回知情同意，研究团队可在伦理批准与知情同意允许的范围内继续开展被动结局追溯（如病案系统/登记系统查询）以获取最小随访数据集，并完整记录追溯来源、日期与结果；仅当受试者明确撤回同意并拒绝任何形式随访时，方停止进一步数据收集。</w:t>
      </w:r>
    </w:p>
    <w:p w14:paraId="601E6B92">
      <w:pPr>
        <w:pStyle w:val="3"/>
      </w:pPr>
      <w:r>
        <w:t>10. 脆弱人群保护</w:t>
      </w:r>
    </w:p>
    <w:p w14:paraId="04A6DD5E">
      <w:pPr>
        <w:ind w:left="397" w:hanging="198"/>
        <w:jc w:val="left"/>
      </w:pPr>
      <w:r>
        <w:t>• 识别：低文化程度/文盲、语言障碍、认知受损或精神心理问题、显著依赖关系（如住院期间对医护强依赖）、经济困难等。</w:t>
      </w:r>
    </w:p>
    <w:p w14:paraId="4D6045CD">
      <w:pPr>
        <w:ind w:left="397" w:hanging="198"/>
        <w:jc w:val="left"/>
      </w:pPr>
      <w:r>
        <w:t>• 额外保护措施：简化表达与图示辅助；延长考虑时间；安排独立见证人或受试者代理/独立顾问；避免在急性痛苦或强压力情境下获取同意；必要时分次沟通。</w:t>
      </w:r>
    </w:p>
    <w:p w14:paraId="01624D91">
      <w:pPr>
        <w:ind w:left="397" w:hanging="198"/>
        <w:jc w:val="left"/>
      </w:pPr>
      <w:r>
        <w:t>• LAR：当受试者不具备自主同意能力时，必须由LAR签署；如受试者仍可表达意愿，应获取其认可(assent)并尊重其拒绝。</w:t>
      </w:r>
    </w:p>
    <w:p w14:paraId="7244A4D0">
      <w:pPr>
        <w:ind w:left="397" w:hanging="198"/>
        <w:jc w:val="left"/>
      </w:pPr>
      <w:r>
        <w:t>• 补偿与费用：如提供交通补助等，应避免过度诱导；具体标准以伦理批准文件为准。</w:t>
      </w:r>
    </w:p>
    <w:p w14:paraId="017077E5">
      <w:pPr>
        <w:pStyle w:val="3"/>
      </w:pPr>
      <w:r>
        <w:t>11. 偏差处理与质量控制</w:t>
      </w:r>
    </w:p>
    <w:p w14:paraId="49A805E9">
      <w:pPr>
        <w:ind w:left="397" w:hanging="198"/>
        <w:jc w:val="left"/>
      </w:pPr>
      <w:r>
        <w:t>• 发现ICF签署缺陷（漏签、漏日期、版本错误、程序先行等）应立即上报PI并启动偏差流程；不得追溯签署。</w:t>
      </w:r>
    </w:p>
    <w:p w14:paraId="14E15395">
      <w:pPr>
        <w:ind w:left="397" w:hanging="198"/>
        <w:jc w:val="left"/>
      </w:pPr>
      <w:r>
        <w:t>• PI/授权人员应定期抽查ICF合规性；监查员按监查计划进行SDV与文件核查。</w:t>
      </w:r>
    </w:p>
    <w:p w14:paraId="17F86AE8">
      <w:pPr>
        <w:ind w:left="397" w:hanging="198"/>
        <w:jc w:val="left"/>
      </w:pPr>
      <w:r>
        <w:t>• 所有参与同意获取的人员必须完成GCP与本SOP培训并留存记录。</w:t>
      </w:r>
    </w:p>
    <w:p w14:paraId="7FAE7EBA">
      <w:pPr>
        <w:pStyle w:val="3"/>
      </w:pPr>
      <w:r>
        <w:t>12. 记录与保存</w:t>
      </w:r>
    </w:p>
    <w:p w14:paraId="52F2D26D">
      <w:pPr>
        <w:ind w:left="397" w:hanging="198"/>
        <w:jc w:val="left"/>
      </w:pPr>
      <w:r>
        <w:t>• 必须保存：已签署ICF原件、ICF版本与分发记录、筛选日志、再同意记录、撤回同意记录、翻译/见证记录（如适用）、培训与授权记录。</w:t>
      </w:r>
    </w:p>
    <w:p w14:paraId="78311A85">
      <w:pPr>
        <w:ind w:left="397" w:hanging="198"/>
        <w:jc w:val="left"/>
      </w:pPr>
      <w:r>
        <w:t>• 保存期限按申办方要求及当地法规执行；不得擅自销毁。</w:t>
      </w:r>
    </w:p>
    <w:p w14:paraId="10A04AB9">
      <w:pPr>
        <w:pStyle w:val="3"/>
      </w:pPr>
      <w:r>
        <w:t>13. 附录（模板/清单）</w:t>
      </w:r>
    </w:p>
    <w:p w14:paraId="5A6E4F2B">
      <w:pPr>
        <w:ind w:left="397" w:hanging="198"/>
        <w:jc w:val="left"/>
      </w:pPr>
      <w:r>
        <w:t>• 附录A：Teach-back关键问题清单（5–8项）。</w:t>
      </w:r>
    </w:p>
    <w:p w14:paraId="3F357FA4">
      <w:pPr>
        <w:ind w:left="397" w:hanging="198"/>
        <w:jc w:val="left"/>
      </w:pPr>
      <w:r>
        <w:t>• 附录B：知情同意合规核对清单（现场可直接勾选）。</w:t>
      </w:r>
    </w:p>
    <w:p w14:paraId="500109BF">
      <w:pPr>
        <w:ind w:left="397" w:hanging="198"/>
        <w:jc w:val="left"/>
      </w:pPr>
      <w:r>
        <w:t>• 附录C：撤回同意/退出研究记录表（含撤回范围）。</w:t>
      </w:r>
    </w:p>
    <w:p w14:paraId="1EC3F528">
      <w:pPr>
        <w:ind w:left="397" w:hanging="198"/>
        <w:jc w:val="left"/>
      </w:pPr>
      <w:r>
        <w:t>• 附录D：再同意触发-执行决策树（简版）。</w:t>
      </w:r>
    </w:p>
    <w:p w14:paraId="348BA98E">
      <w:pPr>
        <w:ind w:left="397" w:hanging="198"/>
        <w:jc w:val="left"/>
      </w:pPr>
      <w:r>
        <w:t>• 附录E：脆弱人群评估与额外保护措施记录表。</w:t>
      </w:r>
    </w:p>
    <w:p w14:paraId="2B7E5036">
      <w:pPr>
        <w:pStyle w:val="4"/>
      </w:pPr>
      <w:r>
        <w:t>附录A：Teach-back关键问题清单（示例）</w:t>
      </w:r>
    </w:p>
    <w:p w14:paraId="2700840B">
      <w:pPr>
        <w:ind w:left="397" w:hanging="198"/>
        <w:jc w:val="left"/>
      </w:pPr>
      <w:r>
        <w:t>1. 请用自己的话说明：这项研究的主要目的是什么？</w:t>
      </w:r>
    </w:p>
    <w:p w14:paraId="3F2E42EE">
      <w:pPr>
        <w:ind w:left="397" w:hanging="198"/>
        <w:jc w:val="left"/>
      </w:pPr>
      <w:r>
        <w:t>2. 参与后需要做哪些主要检查/随访？（您能举1–2个例子）</w:t>
      </w:r>
    </w:p>
    <w:p w14:paraId="66D11B03">
      <w:pPr>
        <w:ind w:left="397" w:hanging="198"/>
        <w:jc w:val="left"/>
      </w:pPr>
      <w:r>
        <w:t>3. 研究药物/方案与常规治疗相比，可能有什么额外风险或不适？</w:t>
      </w:r>
    </w:p>
    <w:p w14:paraId="5B4B4131">
      <w:pPr>
        <w:ind w:left="397" w:hanging="198"/>
        <w:jc w:val="left"/>
      </w:pPr>
      <w:r>
        <w:t>4. 如果您不想继续参与，您有哪些选择？会影响您的常规治疗吗？</w:t>
      </w:r>
    </w:p>
    <w:p w14:paraId="50EC82B7">
      <w:pPr>
        <w:ind w:left="397" w:hanging="198"/>
        <w:jc w:val="left"/>
      </w:pPr>
      <w:r>
        <w:t>5. 您的资料将如何被保护？谁可能查看到您的研究资料？</w:t>
      </w:r>
    </w:p>
    <w:p w14:paraId="470E9459">
      <w:pPr>
        <w:ind w:left="397" w:hanging="198"/>
        <w:jc w:val="left"/>
      </w:pPr>
      <w:r>
        <w:t>6. ICF中关于“剩余样本存储用于未来研究”的选项是什么意思？您可以选择不同意吗？</w:t>
      </w:r>
    </w:p>
    <w:p w14:paraId="2BBD0B98">
      <w:pPr>
        <w:pStyle w:val="4"/>
      </w:pPr>
      <w:r>
        <w:t>附录B：知情同意合规核对清单（可打印）</w:t>
      </w:r>
    </w:p>
    <w:p w14:paraId="36C895ED">
      <w:pPr>
        <w:ind w:left="397" w:hanging="198"/>
        <w:jc w:val="left"/>
      </w:pPr>
      <w:r>
        <w:t>• □ 使用伦理批准的最新版ICF/PIS（版本号/批准日期正确）</w:t>
      </w:r>
    </w:p>
    <w:p w14:paraId="551AE997">
      <w:pPr>
        <w:ind w:left="397" w:hanging="198"/>
        <w:jc w:val="left"/>
      </w:pPr>
      <w:r>
        <w:t>• □ 在私密环境沟通，受试者有充分提问机会</w:t>
      </w:r>
    </w:p>
    <w:p w14:paraId="61AAA738">
      <w:pPr>
        <w:ind w:left="397" w:hanging="198"/>
        <w:jc w:val="left"/>
      </w:pPr>
      <w:r>
        <w:t>• □ 已解释研究目的、流程、风险获益、替代方案、保密与退出权利</w:t>
      </w:r>
    </w:p>
    <w:p w14:paraId="74B60258">
      <w:pPr>
        <w:ind w:left="397" w:hanging="198"/>
        <w:jc w:val="left"/>
      </w:pPr>
      <w:r>
        <w:t>• □ 已完成理解评估(teach-back)并记录要点</w:t>
      </w:r>
    </w:p>
    <w:p w14:paraId="4975164C">
      <w:pPr>
        <w:ind w:left="397" w:hanging="198"/>
        <w:jc w:val="left"/>
      </w:pPr>
      <w:r>
        <w:t>• □ 受试者/或LAR签名、日期、时间齐全</w:t>
      </w:r>
    </w:p>
    <w:p w14:paraId="432168CF">
      <w:pPr>
        <w:ind w:left="397" w:hanging="198"/>
        <w:jc w:val="left"/>
      </w:pPr>
      <w:r>
        <w:t>• □ 研究医生签名、日期、时间齐全</w:t>
      </w:r>
    </w:p>
    <w:p w14:paraId="218B445A">
      <w:pPr>
        <w:ind w:left="397" w:hanging="198"/>
        <w:jc w:val="left"/>
      </w:pPr>
      <w:r>
        <w:t>• □ 见证人/翻译签名（如适用）</w:t>
      </w:r>
    </w:p>
    <w:p w14:paraId="7244409C">
      <w:pPr>
        <w:ind w:left="397" w:hanging="198"/>
        <w:jc w:val="left"/>
      </w:pPr>
      <w:r>
        <w:t>• □ 已向受试者提供签署副本</w:t>
      </w:r>
    </w:p>
    <w:p w14:paraId="56305A19">
      <w:pPr>
        <w:ind w:left="397" w:hanging="198"/>
        <w:jc w:val="left"/>
      </w:pPr>
      <w:r>
        <w:t>• □ ICF签署完成后才开展研究特定程序（核对时间顺序）</w:t>
      </w:r>
    </w:p>
    <w:p w14:paraId="7D65EA7A">
      <w:pPr>
        <w:pStyle w:val="4"/>
      </w:pPr>
      <w:r>
        <w:t>附录C：撤回同意/退出研究记录要点（简表）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02BB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14:paraId="64C232F8">
            <w:pPr>
              <w:spacing w:after="0" w:line="240" w:lineRule="auto"/>
            </w:pPr>
            <w:r>
              <w:t>项目</w:t>
            </w:r>
          </w:p>
        </w:tc>
        <w:tc>
          <w:tcPr>
            <w:tcW w:w="6236" w:type="dxa"/>
          </w:tcPr>
          <w:p w14:paraId="0C9792BF">
            <w:pPr>
              <w:spacing w:after="0" w:line="240" w:lineRule="auto"/>
            </w:pPr>
            <w:r>
              <w:t>记录要点</w:t>
            </w:r>
          </w:p>
        </w:tc>
      </w:tr>
      <w:tr w14:paraId="160F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1C3D3AE">
            <w:pPr>
              <w:spacing w:after="0" w:line="240" w:lineRule="auto"/>
            </w:pPr>
            <w:r>
              <w:t>撤回日期/时间</w:t>
            </w:r>
          </w:p>
        </w:tc>
        <w:tc>
          <w:tcPr>
            <w:tcW w:w="6236" w:type="dxa"/>
          </w:tcPr>
          <w:p w14:paraId="33BE02E9">
            <w:pPr>
              <w:spacing w:after="0" w:line="240" w:lineRule="auto"/>
            </w:pPr>
            <w:r>
              <w:t>______ / ______</w:t>
            </w:r>
          </w:p>
        </w:tc>
      </w:tr>
      <w:tr w14:paraId="10345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DDC163A">
            <w:pPr>
              <w:spacing w:after="0" w:line="240" w:lineRule="auto"/>
            </w:pPr>
            <w:r>
              <w:t>撤回范围</w:t>
            </w:r>
          </w:p>
        </w:tc>
        <w:tc>
          <w:tcPr>
            <w:tcW w:w="6236" w:type="dxa"/>
          </w:tcPr>
          <w:p w14:paraId="7342F722">
            <w:pPr>
              <w:spacing w:after="0" w:line="240" w:lineRule="auto"/>
            </w:pPr>
            <w:r>
              <w:t>□仅停止研究治疗  □停止随访  □不再联系  □样本处理（详述）</w:t>
            </w:r>
          </w:p>
        </w:tc>
      </w:tr>
      <w:tr w14:paraId="1620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5B66796">
            <w:pPr>
              <w:spacing w:after="0" w:line="240" w:lineRule="auto"/>
            </w:pPr>
            <w:r>
              <w:t>是否允许使用既往数据</w:t>
            </w:r>
          </w:p>
        </w:tc>
        <w:tc>
          <w:tcPr>
            <w:tcW w:w="6236" w:type="dxa"/>
          </w:tcPr>
          <w:p w14:paraId="7278DDBB">
            <w:pPr>
              <w:spacing w:after="0" w:line="240" w:lineRule="auto"/>
            </w:pPr>
            <w:r>
              <w:t>□允许  □不允许（如法规/伦理允许）</w:t>
            </w:r>
          </w:p>
        </w:tc>
      </w:tr>
      <w:tr w14:paraId="58B3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63D59A6">
            <w:pPr>
              <w:spacing w:after="0" w:line="240" w:lineRule="auto"/>
            </w:pPr>
            <w:r>
              <w:t>是否要求销毁未检测样本</w:t>
            </w:r>
          </w:p>
        </w:tc>
        <w:tc>
          <w:tcPr>
            <w:tcW w:w="6236" w:type="dxa"/>
          </w:tcPr>
          <w:p w14:paraId="093267F3">
            <w:pPr>
              <w:spacing w:after="0" w:line="240" w:lineRule="auto"/>
            </w:pPr>
            <w:r>
              <w:t>□是（评估可行性） □否  □不适用</w:t>
            </w:r>
          </w:p>
        </w:tc>
      </w:tr>
      <w:tr w14:paraId="72E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27A97AC">
            <w:pPr>
              <w:spacing w:after="0" w:line="240" w:lineRule="auto"/>
            </w:pPr>
            <w:r>
              <w:t>研究团队说明</w:t>
            </w:r>
          </w:p>
        </w:tc>
        <w:tc>
          <w:tcPr>
            <w:tcW w:w="6236" w:type="dxa"/>
          </w:tcPr>
          <w:p w14:paraId="6CB88D84">
            <w:pPr>
              <w:spacing w:after="0" w:line="240" w:lineRule="auto"/>
            </w:pPr>
            <w:r>
              <w:t>已解释不会影响常规治疗；已说明必要的安全随访建议。</w:t>
            </w:r>
          </w:p>
        </w:tc>
      </w:tr>
      <w:tr w14:paraId="0862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4430131">
            <w:pPr>
              <w:spacing w:after="0" w:line="240" w:lineRule="auto"/>
            </w:pPr>
            <w:r>
              <w:t>签名</w:t>
            </w:r>
          </w:p>
        </w:tc>
        <w:tc>
          <w:tcPr>
            <w:tcW w:w="6236" w:type="dxa"/>
          </w:tcPr>
          <w:p w14:paraId="0AFAD3CD">
            <w:pPr>
              <w:spacing w:after="0" w:line="240" w:lineRule="auto"/>
            </w:pPr>
            <w:r>
              <w:t>受试者/或LAR：____  研究医生：____  日期：____</w:t>
            </w:r>
          </w:p>
        </w:tc>
      </w:tr>
    </w:tbl>
    <w:p w14:paraId="3A006C0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CB70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3969</Words>
  <Characters>4554</Characters>
  <Lines>0</Lines>
  <Paragraphs>0</Paragraphs>
  <TotalTime>0</TotalTime>
  <ScaleCrop>false</ScaleCrop>
  <LinksUpToDate>false</LinksUpToDate>
  <CharactersWithSpaces>4698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2026-03-04T14:45:08Z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eyJoZGlkIjoiZTY1YTEzNzUzNjc3OTdhYTczZDYyMDcwZjdjMDcyY2UiLCJ1c2VySWQiOiIyMDkyMjY1MzMifQ==</vt:lpwstr>
  </property>
  <property fmtid="{D5CDD505-2E9C-101B-9397-08002B2CF9AE}" pid="3" name="KSOProductBuildVer">
    <vt:lpwstr>2052-12.1.0.25225</vt:lpwstr>
  </property>
  <property fmtid="{D5CDD505-2E9C-101B-9397-08002B2CF9AE}" pid="4" name="ICV">
    <vt:lpwstr>EDA6CDD3A5FD4374831D1FC73A4044A1_12</vt:lpwstr>
  </property>
</Properties>
</file>