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39513">
      <w:pPr>
        <w:jc w:val="center"/>
        <w:rPr>
          <w:rFonts w:hint="default" w:eastAsia="宋体"/>
          <w:lang w:val="en-US" w:eastAsia="zh-CN"/>
        </w:rPr>
      </w:pPr>
      <w:r>
        <w:rPr>
          <w:b/>
          <w:sz w:val="32"/>
        </w:rPr>
        <w:t>TDSC研究：随机与分配实施</w:t>
      </w:r>
      <w:bookmarkStart w:id="0" w:name="_GoBack"/>
      <w:bookmarkEnd w:id="0"/>
    </w:p>
    <w:p w14:paraId="42714539">
      <w:pPr>
        <w:jc w:val="center"/>
      </w:pPr>
      <w:r>
        <w:t>SOP</w:t>
      </w:r>
      <w:r>
        <w:rPr>
          <w:rFonts w:hint="eastAsia"/>
          <w:lang w:val="en-US" w:eastAsia="zh-CN"/>
        </w:rPr>
        <w:t>05</w:t>
      </w:r>
      <w:r>
        <w:t>：随机与分配实施（含分层变量、分层内随机、盲态要素）</w:t>
      </w:r>
    </w:p>
    <w:p w14:paraId="3F9DC59B">
      <w:pPr>
        <w:jc w:val="center"/>
      </w:pPr>
      <w:r>
        <w:t>适用：TDSC V2.0（2026-02-28）及后续等效版本。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BE91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65F23C">
            <w:pPr>
              <w:spacing w:after="0" w:line="240" w:lineRule="auto"/>
            </w:pPr>
            <w:r>
              <w:t>文件编号</w:t>
            </w:r>
          </w:p>
        </w:tc>
        <w:tc>
          <w:tcPr>
            <w:tcW w:w="2160" w:type="dxa"/>
          </w:tcPr>
          <w:p w14:paraId="1F418D9B">
            <w:pPr>
              <w:spacing w:after="0" w:line="240" w:lineRule="auto"/>
            </w:pPr>
            <w:r>
              <w:t>TDSC-SOP-RAN-012-CN</w:t>
            </w:r>
          </w:p>
        </w:tc>
        <w:tc>
          <w:tcPr>
            <w:tcW w:w="2160" w:type="dxa"/>
          </w:tcPr>
          <w:p w14:paraId="1D7C4CF8">
            <w:pPr>
              <w:spacing w:after="0" w:line="240" w:lineRule="auto"/>
            </w:pPr>
            <w:r>
              <w:t>版本</w:t>
            </w:r>
          </w:p>
        </w:tc>
        <w:tc>
          <w:tcPr>
            <w:tcW w:w="2160" w:type="dxa"/>
          </w:tcPr>
          <w:p w14:paraId="03FFDF93">
            <w:pPr>
              <w:spacing w:after="0" w:line="240" w:lineRule="auto"/>
            </w:pPr>
            <w:r>
              <w:t>V1.1</w:t>
            </w:r>
          </w:p>
        </w:tc>
      </w:tr>
      <w:tr w14:paraId="5812B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6075B3">
            <w:pPr>
              <w:spacing w:after="0" w:line="240" w:lineRule="auto"/>
            </w:pPr>
            <w:r>
              <w:t>生效日期</w:t>
            </w:r>
          </w:p>
        </w:tc>
        <w:tc>
          <w:tcPr>
            <w:tcW w:w="2160" w:type="dxa"/>
          </w:tcPr>
          <w:p w14:paraId="7DA6010E">
            <w:pPr>
              <w:spacing w:after="0" w:line="240" w:lineRule="auto"/>
            </w:pPr>
            <w:r>
              <w:t>2026-02-07</w:t>
            </w:r>
          </w:p>
        </w:tc>
        <w:tc>
          <w:tcPr>
            <w:tcW w:w="2160" w:type="dxa"/>
          </w:tcPr>
          <w:p w14:paraId="7EDEA721">
            <w:pPr>
              <w:spacing w:after="0" w:line="240" w:lineRule="auto"/>
            </w:pPr>
            <w:r>
              <w:t>页码</w:t>
            </w:r>
          </w:p>
        </w:tc>
        <w:tc>
          <w:tcPr>
            <w:tcW w:w="2160" w:type="dxa"/>
          </w:tcPr>
          <w:p w14:paraId="0A8D0406">
            <w:pPr>
              <w:spacing w:after="0" w:line="240" w:lineRule="auto"/>
            </w:pPr>
            <w:r>
              <w:t>第 1 页 / 共 ____ 页</w:t>
            </w:r>
          </w:p>
        </w:tc>
      </w:tr>
      <w:tr w14:paraId="7F610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98417A">
            <w:pPr>
              <w:spacing w:after="0" w:line="240" w:lineRule="auto"/>
            </w:pPr>
            <w:r>
              <w:t>编写</w:t>
            </w:r>
          </w:p>
        </w:tc>
        <w:tc>
          <w:tcPr>
            <w:tcW w:w="2160" w:type="dxa"/>
          </w:tcPr>
          <w:p w14:paraId="48ED7403">
            <w:pPr>
              <w:spacing w:after="0" w:line="240" w:lineRule="auto"/>
            </w:pPr>
            <w:r>
              <w:t>________</w:t>
            </w:r>
          </w:p>
        </w:tc>
        <w:tc>
          <w:tcPr>
            <w:tcW w:w="2160" w:type="dxa"/>
          </w:tcPr>
          <w:p w14:paraId="5B2BE535">
            <w:pPr>
              <w:spacing w:after="0" w:line="240" w:lineRule="auto"/>
            </w:pPr>
            <w:r>
              <w:t>审核</w:t>
            </w:r>
          </w:p>
        </w:tc>
        <w:tc>
          <w:tcPr>
            <w:tcW w:w="2160" w:type="dxa"/>
          </w:tcPr>
          <w:p w14:paraId="5FD8BC7C">
            <w:pPr>
              <w:spacing w:after="0" w:line="240" w:lineRule="auto"/>
            </w:pPr>
            <w:r>
              <w:t>________</w:t>
            </w:r>
          </w:p>
        </w:tc>
      </w:tr>
      <w:tr w14:paraId="28692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A5DC41">
            <w:pPr>
              <w:spacing w:after="0" w:line="240" w:lineRule="auto"/>
            </w:pPr>
            <w:r>
              <w:t>批准</w:t>
            </w:r>
          </w:p>
        </w:tc>
        <w:tc>
          <w:tcPr>
            <w:tcW w:w="2160" w:type="dxa"/>
          </w:tcPr>
          <w:p w14:paraId="1DAAC34F">
            <w:pPr>
              <w:spacing w:after="0" w:line="240" w:lineRule="auto"/>
            </w:pPr>
            <w:r>
              <w:t>________</w:t>
            </w:r>
          </w:p>
        </w:tc>
        <w:tc>
          <w:tcPr>
            <w:tcW w:w="2160" w:type="dxa"/>
          </w:tcPr>
          <w:p w14:paraId="196C5089">
            <w:pPr>
              <w:spacing w:after="0" w:line="240" w:lineRule="auto"/>
            </w:pPr>
            <w:r>
              <w:t>所属</w:t>
            </w:r>
          </w:p>
        </w:tc>
        <w:tc>
          <w:tcPr>
            <w:tcW w:w="2160" w:type="dxa"/>
          </w:tcPr>
          <w:p w14:paraId="711AA543">
            <w:pPr>
              <w:spacing w:after="0" w:line="240" w:lineRule="auto"/>
            </w:pPr>
            <w:r>
              <w:t>国家重大科技专项TDSC</w:t>
            </w:r>
          </w:p>
        </w:tc>
      </w:tr>
    </w:tbl>
    <w:p w14:paraId="75D0F1CF"/>
    <w:p w14:paraId="0F50ABC5">
      <w:pPr>
        <w:pStyle w:val="3"/>
      </w:pPr>
      <w:r>
        <w:t>1. 目的</w:t>
      </w:r>
    </w:p>
    <w:p w14:paraId="68A1DD3C">
      <w:r>
        <w:t>规范TDSC研究中随机化与分配实施的关键步骤与质量控制要求，确保：</w:t>
      </w:r>
    </w:p>
    <w:p w14:paraId="1FA31C2E">
      <w:pPr>
        <w:pStyle w:val="16"/>
      </w:pPr>
      <w:r>
        <w:t>随机前“先分层后随机”的路径一致、可追溯；</w:t>
      </w:r>
    </w:p>
    <w:p w14:paraId="7DB9B2C9">
      <w:pPr>
        <w:pStyle w:val="16"/>
      </w:pPr>
      <w:r>
        <w:t>随机分层变量来源清晰、填写规则统一；</w:t>
      </w:r>
    </w:p>
    <w:p w14:paraId="5F5CB98C">
      <w:pPr>
        <w:pStyle w:val="16"/>
      </w:pPr>
      <w:r>
        <w:t>中心随机与分配隐藏得到落实，降低选择偏倚与预测分配风险；</w:t>
      </w:r>
    </w:p>
    <w:p w14:paraId="29A97969">
      <w:pPr>
        <w:pStyle w:val="16"/>
      </w:pPr>
      <w:r>
        <w:t>在开放标签试验框架下，明确并执行关键盲态/信息隔离要素（如CEC终点盲态判定、探索性影像与生物标志物结果隔离、非盲数据受控访问等），降低评估偏倚。</w:t>
      </w:r>
    </w:p>
    <w:p w14:paraId="2083BFCC">
      <w:pPr>
        <w:pStyle w:val="3"/>
      </w:pPr>
      <w:r>
        <w:t>2. 适用范围</w:t>
      </w:r>
    </w:p>
    <w:p w14:paraId="72376DDE">
      <w:r>
        <w:t>适用于所有参与TDSC研究并涉及随机化/分配操作的流程，包括：</w:t>
      </w:r>
    </w:p>
    <w:p w14:paraId="30FCAB05">
      <w:pPr>
        <w:pStyle w:val="16"/>
      </w:pPr>
      <w:r>
        <w:t>队列A（低风险TB-DM）基线随机化（1:1:1三组）；</w:t>
      </w:r>
    </w:p>
    <w:p w14:paraId="43152853">
      <w:pPr>
        <w:pStyle w:val="16"/>
      </w:pPr>
      <w:r>
        <w:t>队列B（中高风险TB-DM）在治疗满6个月（M6）且满足微生物学Hard Gate标准的受试者随机化（1:1）；</w:t>
      </w:r>
    </w:p>
    <w:p w14:paraId="510616CA">
      <w:pPr>
        <w:pStyle w:val="16"/>
      </w:pPr>
      <w:r>
        <w:t>随机化系统的准备、权限管理、异常处理、盲态要素执行与揭盲（如适用）、以及相关记录归档。</w:t>
      </w:r>
    </w:p>
    <w:p w14:paraId="34F98F14">
      <w:pPr>
        <w:pStyle w:val="3"/>
      </w:pPr>
      <w:r>
        <w:t>3. 缩略语与术语</w:t>
      </w:r>
    </w:p>
    <w:p w14:paraId="78CB7307">
      <w:pPr>
        <w:pStyle w:val="16"/>
      </w:pPr>
      <w:r>
        <w:t>TDSC：Tuberculosis–Diabetes Short Course（结核病-糖尿病短程治疗研究）</w:t>
      </w:r>
    </w:p>
    <w:p w14:paraId="26F83BF0">
      <w:pPr>
        <w:pStyle w:val="16"/>
      </w:pPr>
      <w:r>
        <w:t>TB-DM：Tuberculosis with Type 2 Diabetes Mellitus（结核病合并2型糖尿病）</w:t>
      </w:r>
    </w:p>
    <w:p w14:paraId="60CACEF2">
      <w:pPr>
        <w:pStyle w:val="16"/>
      </w:pPr>
      <w:r>
        <w:t>EDC：Electronic Data Capture（电子数据采集系统）</w:t>
      </w:r>
    </w:p>
    <w:p w14:paraId="3191FE56">
      <w:pPr>
        <w:pStyle w:val="16"/>
      </w:pPr>
      <w:r>
        <w:t>IRT/IWRS：Interactive Response Technology / Interactive Web Response System（交互式随机系统；如与EDC集成则以实际系统为准）</w:t>
      </w:r>
    </w:p>
    <w:p w14:paraId="5F7EF28E">
      <w:pPr>
        <w:pStyle w:val="16"/>
      </w:pPr>
      <w:r>
        <w:t>CEC：Clinical Endpoint Committee（临床终点判定委员会）</w:t>
      </w:r>
    </w:p>
    <w:p w14:paraId="5E93ACD5">
      <w:pPr>
        <w:pStyle w:val="16"/>
      </w:pPr>
      <w:r>
        <w:t>DMC：Data Monitoring Committee（数据监察委员会）</w:t>
      </w:r>
    </w:p>
    <w:p w14:paraId="37AE0752">
      <w:pPr>
        <w:pStyle w:val="16"/>
      </w:pPr>
      <w:r>
        <w:t>CXR：Chest X-ray（胸部X线/胸片）</w:t>
      </w:r>
    </w:p>
    <w:p w14:paraId="13B8817F">
      <w:pPr>
        <w:pStyle w:val="16"/>
      </w:pPr>
      <w:r>
        <w:t>CT：Computed Tomography（胸部CT）</w:t>
      </w:r>
    </w:p>
    <w:p w14:paraId="30CA60A2">
      <w:pPr>
        <w:pStyle w:val="16"/>
      </w:pPr>
      <w:r>
        <w:t>• TB22 Score：候选生物标志物（外周血转录组评分），按预设时间点采集用于验证/探索性分析；不用于队列分配、随机化或停药/继续治疗决策；研究期间结果不向治疗团队披露（以伦理批准与项目治理要求为准）。</w:t>
      </w:r>
    </w:p>
    <w:p w14:paraId="07F34EBC">
      <w:pPr>
        <w:pStyle w:val="16"/>
      </w:pPr>
      <w:r>
        <w:t>分配隐藏（Allocation concealment）：在随机分配发生前，研究实施人员无法获知未来分配结果的机制。</w:t>
      </w:r>
    </w:p>
    <w:p w14:paraId="022D5051">
      <w:pPr>
        <w:pStyle w:val="3"/>
      </w:pPr>
      <w:r>
        <w:t>4. 职责分工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3FC8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2BACF1">
            <w:pPr>
              <w:spacing w:after="0" w:line="240" w:lineRule="auto"/>
            </w:pPr>
            <w:r>
              <w:t>角色</w:t>
            </w:r>
          </w:p>
        </w:tc>
        <w:tc>
          <w:tcPr>
            <w:tcW w:w="4320" w:type="dxa"/>
          </w:tcPr>
          <w:p w14:paraId="4CD4AC2A">
            <w:pPr>
              <w:spacing w:after="0" w:line="240" w:lineRule="auto"/>
            </w:pPr>
            <w:r>
              <w:t>主要职责</w:t>
            </w:r>
          </w:p>
        </w:tc>
      </w:tr>
      <w:tr w14:paraId="52A97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164B62">
            <w:pPr>
              <w:spacing w:after="0" w:line="240" w:lineRule="auto"/>
            </w:pPr>
            <w:r>
              <w:t>总PI/项目管理办公室（PMO）</w:t>
            </w:r>
          </w:p>
        </w:tc>
        <w:tc>
          <w:tcPr>
            <w:tcW w:w="4320" w:type="dxa"/>
          </w:tcPr>
          <w:p w14:paraId="679B9DE6">
            <w:pPr>
              <w:spacing w:after="0" w:line="240" w:lineRule="auto"/>
            </w:pPr>
            <w:r>
              <w:t>批准SOP与系统权限策略；组织培训与演练；监督跨中心一致性；协调异常事件处理与升级。</w:t>
            </w:r>
          </w:p>
        </w:tc>
      </w:tr>
      <w:tr w14:paraId="6951A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F78DC9">
            <w:pPr>
              <w:spacing w:after="0" w:line="240" w:lineRule="auto"/>
            </w:pPr>
            <w:r>
              <w:t>分中心PI/研究医生</w:t>
            </w:r>
          </w:p>
        </w:tc>
        <w:tc>
          <w:tcPr>
            <w:tcW w:w="4320" w:type="dxa"/>
          </w:tcPr>
          <w:p w14:paraId="17363B82">
            <w:pPr>
              <w:spacing w:after="0" w:line="240" w:lineRule="auto"/>
            </w:pPr>
            <w:r>
              <w:t>确认受试者符合入组与随机条件；保证分层变量真实准确；完成随机化操作或授权CRC操作；处理误随机/偏离等。</w:t>
            </w:r>
          </w:p>
        </w:tc>
      </w:tr>
      <w:tr w14:paraId="074BE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85E8E8">
            <w:pPr>
              <w:spacing w:after="0" w:line="240" w:lineRule="auto"/>
            </w:pPr>
            <w:r>
              <w:t>CRC/研究协调员</w:t>
            </w:r>
          </w:p>
        </w:tc>
        <w:tc>
          <w:tcPr>
            <w:tcW w:w="4320" w:type="dxa"/>
          </w:tcPr>
          <w:p w14:paraId="6F498E6F">
            <w:pPr>
              <w:spacing w:after="0" w:line="240" w:lineRule="auto"/>
            </w:pPr>
            <w:r>
              <w:t>按检查清单完成随机前资料核对；在授权范围内执行随机化；留存随机记录与偏离说明；确保盲态要素落地。</w:t>
            </w:r>
          </w:p>
        </w:tc>
      </w:tr>
      <w:tr w14:paraId="78913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991105">
            <w:pPr>
              <w:spacing w:after="0" w:line="240" w:lineRule="auto"/>
            </w:pPr>
            <w:r>
              <w:t>数据管理/EDC团队</w:t>
            </w:r>
          </w:p>
        </w:tc>
        <w:tc>
          <w:tcPr>
            <w:tcW w:w="4320" w:type="dxa"/>
          </w:tcPr>
          <w:p w14:paraId="0648DD19">
            <w:pPr>
              <w:spacing w:after="0" w:line="240" w:lineRule="auto"/>
            </w:pPr>
            <w:r>
              <w:t>配置随机化模块（或对接IRT）；设置权限与审计追踪；维护随机日志；支持查询与稽核。</w:t>
            </w:r>
          </w:p>
        </w:tc>
      </w:tr>
      <w:tr w14:paraId="06599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A8C9E2">
            <w:pPr>
              <w:spacing w:after="0" w:line="240" w:lineRule="auto"/>
            </w:pPr>
            <w:r>
              <w:t>统计团队（独立/指定人员）</w:t>
            </w:r>
          </w:p>
        </w:tc>
        <w:tc>
          <w:tcPr>
            <w:tcW w:w="4320" w:type="dxa"/>
          </w:tcPr>
          <w:p w14:paraId="66C6A132">
            <w:pPr>
              <w:spacing w:after="0" w:line="240" w:lineRule="auto"/>
            </w:pPr>
            <w:r>
              <w:t>生成随机序列与《随机化规格书》；保密区组与随机种子；参与系统联调与验证；提供异常处理建议并在SAP中锁定相关规则。</w:t>
            </w:r>
          </w:p>
        </w:tc>
      </w:tr>
      <w:tr w14:paraId="04E17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0A911D">
            <w:pPr>
              <w:spacing w:after="0" w:line="240" w:lineRule="auto"/>
            </w:pPr>
            <w:r>
              <w:t>CEC（独立）</w:t>
            </w:r>
          </w:p>
        </w:tc>
        <w:tc>
          <w:tcPr>
            <w:tcW w:w="4320" w:type="dxa"/>
          </w:tcPr>
          <w:p w14:paraId="6604D7D6">
            <w:pPr>
              <w:spacing w:after="0" w:line="240" w:lineRule="auto"/>
            </w:pPr>
            <w:r>
              <w:t>对主要终点相关事件进行盲态或部分盲态判定，并在数据库锁定前出具终点判定清单。</w:t>
            </w:r>
          </w:p>
        </w:tc>
      </w:tr>
      <w:tr w14:paraId="35D57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17DBDDC3">
            <w:pPr>
              <w:spacing w:after="0" w:line="240" w:lineRule="auto"/>
            </w:pPr>
            <w:r>
              <w:t>DMC（独立）</w:t>
            </w:r>
          </w:p>
        </w:tc>
        <w:tc>
          <w:tcPr>
            <w:tcW w:w="4320" w:type="dxa"/>
          </w:tcPr>
          <w:p w14:paraId="1C76F3D7">
            <w:pPr>
              <w:spacing w:after="0" w:line="240" w:lineRule="auto"/>
            </w:pPr>
            <w:r>
              <w:t>按章程开展安全监测与中期分析；必要时在受控条件下接触非盲数据。</w:t>
            </w:r>
          </w:p>
        </w:tc>
      </w:tr>
    </w:tbl>
    <w:p w14:paraId="3BF4E95C"/>
    <w:p w14:paraId="32645FD8">
      <w:pPr>
        <w:pStyle w:val="3"/>
      </w:pPr>
      <w:r>
        <w:t>5. 总体原则</w:t>
      </w:r>
    </w:p>
    <w:p w14:paraId="4EA045AC">
      <w:pPr>
        <w:pStyle w:val="16"/>
      </w:pPr>
      <w:r>
        <w:t>先分层后随机：所有受试者在随机前必须完成“专家版分层工具”基线风险分层（见SOP01）。</w:t>
      </w:r>
    </w:p>
    <w:p w14:paraId="342A7EC5">
      <w:pPr>
        <w:pStyle w:val="16"/>
      </w:pPr>
      <w:r>
        <w:t>中心随机+分配隐藏：随机由中心系统实施，随机序列与区组设置由统计团队保密管理；研究现场不得保留可推测分配的材料。</w:t>
      </w:r>
    </w:p>
    <w:p w14:paraId="4672B17F">
      <w:pPr>
        <w:pStyle w:val="16"/>
      </w:pPr>
      <w:r>
        <w:t>开放标签+关键盲态/信息隔离要素：治疗方案与疗程在实施层面为开放标签，但需执行CEC终点盲态判定、探索性影像/数字工具/生物标志物结果隔离以及非盲数据受控访问等关键要素（见第9节）。</w:t>
      </w:r>
    </w:p>
    <w:p w14:paraId="6684F3A2">
      <w:pPr>
        <w:pStyle w:val="16"/>
      </w:pPr>
      <w:r>
        <w:t>最小化人为干预：随机分层变量尽量来源于eCRF已锁定字段；随机化后不得为“达标”而回填或修改关键变量。</w:t>
      </w:r>
    </w:p>
    <w:p w14:paraId="30FEF119">
      <w:pPr>
        <w:pStyle w:val="3"/>
      </w:pPr>
      <w:r>
        <w:t>6. 分层变量与锁定</w:t>
      </w:r>
    </w:p>
    <w:p w14:paraId="25D913F7">
      <w:pPr>
        <w:pStyle w:val="4"/>
      </w:pPr>
      <w:r>
        <w:t>6.1 基线风险分层（先分层后随机）</w:t>
      </w:r>
    </w:p>
    <w:p w14:paraId="7C746B3B">
      <w:r>
        <w:t>在任何随机化发生前，必须：</w:t>
      </w:r>
    </w:p>
    <w:p w14:paraId="1F5B15BE">
      <w:pPr>
        <w:pStyle w:val="16"/>
      </w:pPr>
      <w:r>
        <w:t>完成SOP01规定的基线风险分层（低风险 vs 中高风险）；</w:t>
      </w:r>
    </w:p>
    <w:p w14:paraId="3A351DC0">
      <w:pPr>
        <w:pStyle w:val="16"/>
      </w:pPr>
      <w:r>
        <w:t>在eCRF中锁定分层结论与支持证据（关键影像、微生物、临床信息）；</w:t>
      </w:r>
    </w:p>
    <w:p w14:paraId="11E5A0B0">
      <w:pPr>
        <w:pStyle w:val="16"/>
      </w:pPr>
      <w:r>
        <w:t>仅当分层结论确认后，方可进入队列A或队列B对应路径。</w:t>
      </w:r>
    </w:p>
    <w:p w14:paraId="24BEBE91">
      <w:pPr>
        <w:pStyle w:val="4"/>
      </w:pPr>
      <w:r>
        <w:t>6.2 随机分层变量（按《随机化规格书》锁定）</w:t>
      </w:r>
    </w:p>
    <w:p w14:paraId="26742E58">
      <w:r>
        <w:t>随机分层变量以统计团队出具并经研究团队批准的《随机化规格书》为准。原则要求如下：</w:t>
      </w:r>
    </w:p>
    <w:p w14:paraId="43AB2594">
      <w:pPr>
        <w:pStyle w:val="16"/>
      </w:pPr>
      <w:r>
        <w:t>队列A：至少按研究中心分层；若《随机化规格书》规定其他关键预后因素（如基线菌负荷、空洞状态、HbA1c分层等），须在系统中预设并锁定。</w:t>
      </w:r>
    </w:p>
    <w:p w14:paraId="03849A43">
      <w:pPr>
        <w:pStyle w:val="16"/>
      </w:pPr>
      <w:r>
        <w:t>队列B（M6应答者随机）：需按关键预后因素分层，强制包含HbA1c分层；其余分层因素按《随机化规格书》执行。</w:t>
      </w:r>
    </w:p>
    <w:p w14:paraId="105B76B4">
      <w:pPr>
        <w:pStyle w:val="4"/>
      </w:pPr>
      <w:r>
        <w:t>6.3 分层变量来源、填写规则与缺失处理</w:t>
      </w:r>
    </w:p>
    <w:p w14:paraId="33A458FD">
      <w:pPr>
        <w:pStyle w:val="16"/>
      </w:pPr>
      <w:r>
        <w:t>变量来源：优先从eCRF已录入并经核对的字段自动提取；确需人工录入的变量应设置强制校验与逻辑核查。</w:t>
      </w:r>
    </w:p>
    <w:p w14:paraId="33549B36">
      <w:pPr>
        <w:pStyle w:val="16"/>
      </w:pPr>
      <w:r>
        <w:t>锁定时点：队列A在基线随机前锁定；队列B在M6随机前锁定（含M6决策窗内最新评估）。</w:t>
      </w:r>
    </w:p>
    <w:p w14:paraId="246AB5F9">
      <w:pPr>
        <w:pStyle w:val="16"/>
      </w:pPr>
      <w:r>
        <w:t>缺失处理：若《随机化规格书》定义的分层变量缺失，须先按数据核查流程补齐；无法补齐者不得随机，需报告为偏离/缺失并走既定路径（队列B Hard Gate资格判定与缺失处理按SOP02的保守规则执行，缺失/不可评价培养=不达标，不随机）。</w:t>
      </w:r>
    </w:p>
    <w:p w14:paraId="739A37F3">
      <w:pPr>
        <w:pStyle w:val="3"/>
      </w:pPr>
      <w:r>
        <w:t>7. 随机化方案概述</w:t>
      </w:r>
    </w:p>
    <w:p w14:paraId="10387907">
      <w:pPr>
        <w:pStyle w:val="4"/>
      </w:pPr>
      <w:r>
        <w:t>7.1 队列A：固定疗程RCT（1:1:1）</w:t>
      </w:r>
    </w:p>
    <w:p w14:paraId="2E792786">
      <w:r>
        <w:t>低风险TB-DM受试者随机至三组：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7727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3660E4">
            <w:pPr>
              <w:spacing w:after="0" w:line="240" w:lineRule="auto"/>
            </w:pPr>
            <w:r>
              <w:t>组别</w:t>
            </w:r>
          </w:p>
        </w:tc>
        <w:tc>
          <w:tcPr>
            <w:tcW w:w="4320" w:type="dxa"/>
          </w:tcPr>
          <w:p w14:paraId="78310360">
            <w:pPr>
              <w:spacing w:after="0" w:line="240" w:lineRule="auto"/>
            </w:pPr>
            <w:r>
              <w:t>干预概述（以研究方案为准）</w:t>
            </w:r>
          </w:p>
        </w:tc>
      </w:tr>
      <w:tr w14:paraId="525D6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814877">
            <w:pPr>
              <w:spacing w:after="0" w:line="240" w:lineRule="auto"/>
            </w:pPr>
            <w:r>
              <w:t>A1</w:t>
            </w:r>
          </w:p>
        </w:tc>
        <w:tc>
          <w:tcPr>
            <w:tcW w:w="4320" w:type="dxa"/>
          </w:tcPr>
          <w:p w14:paraId="5832547A">
            <w:pPr>
              <w:spacing w:after="0" w:line="240" w:lineRule="auto"/>
            </w:pPr>
            <w:r>
              <w:t>4个月 2HPMZ/2HPM（利福喷丁 1200 mg）</w:t>
            </w:r>
          </w:p>
        </w:tc>
      </w:tr>
      <w:tr w14:paraId="24B4F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3DCDA2">
            <w:pPr>
              <w:spacing w:after="0" w:line="240" w:lineRule="auto"/>
            </w:pPr>
            <w:r>
              <w:t>A2</w:t>
            </w:r>
          </w:p>
        </w:tc>
        <w:tc>
          <w:tcPr>
            <w:tcW w:w="4320" w:type="dxa"/>
          </w:tcPr>
          <w:p w14:paraId="34D9D533">
            <w:pPr>
              <w:spacing w:after="0" w:line="240" w:lineRule="auto"/>
            </w:pPr>
            <w:r>
              <w:t>4个月 2HPMZ/2HPM（利福喷丁 900 mg）</w:t>
            </w:r>
          </w:p>
        </w:tc>
      </w:tr>
      <w:tr w14:paraId="2C7E6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B3E9EE">
            <w:pPr>
              <w:spacing w:after="0" w:line="240" w:lineRule="auto"/>
            </w:pPr>
            <w:r>
              <w:t>A3</w:t>
            </w:r>
          </w:p>
        </w:tc>
        <w:tc>
          <w:tcPr>
            <w:tcW w:w="4320" w:type="dxa"/>
          </w:tcPr>
          <w:p w14:paraId="2A00C771">
            <w:pPr>
              <w:spacing w:after="0" w:line="240" w:lineRule="auto"/>
            </w:pPr>
            <w:r>
              <w:t>6个月 2HRZ/4HR（标准对照）</w:t>
            </w:r>
          </w:p>
        </w:tc>
      </w:tr>
    </w:tbl>
    <w:p w14:paraId="3B7AD77C"/>
    <w:p w14:paraId="6E4C9F55">
      <w:r>
        <w:t>随机比例：1:1:1；中心随机、分配隐藏。</w:t>
      </w:r>
    </w:p>
    <w:p w14:paraId="6BBC3D26">
      <w:r>
        <w:t>说明：队列A在预设中期分析后，若DSMB基于预设安全性/获益-风险标准建议停止A1继续入组，则后续队列A随机将由1:1:1调整为A2:A3=1:1；已随机至A1的受试者继续按方案随访与终点判定。随机化系统配置变更须形成版本记录并完成中心培训与演练。</w:t>
      </w:r>
    </w:p>
    <w:p w14:paraId="220192EB">
      <w:pPr>
        <w:pStyle w:val="4"/>
      </w:pPr>
      <w:r>
        <w:t>7.2 队列B：M6“Hard Gate达标者随机”（1:1）+ 未达标者非随机随访路径</w:t>
      </w:r>
    </w:p>
    <w:p w14:paraId="239A9CDD">
      <w:r>
        <w:t>中高风险TB-DM受试者先接受统一治疗至M6（2HRZE/4HR）。M6随机化访视窗口建议：D168±7天（以SAP/访视表最终锁定为准）。仅当满足“微生物学Hard Gate”标准方可进入随机：</w:t>
      </w:r>
    </w:p>
    <w:p w14:paraId="051679B8">
      <w:pPr>
        <w:pStyle w:val="16"/>
      </w:pPr>
      <w:r>
        <w:t>• 至少2次分枝杆菌培养阴性（确认结核分枝杆菌复合群，标本来源为痰或诱导痰/替代呼吸道标本），采集时间位于M6访视前4个月内，且两次阴性结果间隔≥7天。</w:t>
      </w:r>
    </w:p>
    <w:p w14:paraId="0C25A4EC">
      <w:pPr>
        <w:pStyle w:val="16"/>
      </w:pPr>
      <w:r>
        <w:t>• 自M4起至M6随机化时点前，不得出现培养再阳性（实验室污染与NTM按微生物学SOP排除，不计入再阳性）。</w:t>
      </w:r>
    </w:p>
    <w:p w14:paraId="6FC34FCE">
      <w:pPr>
        <w:pStyle w:val="16"/>
      </w:pPr>
      <w:r>
        <w:t>• 若受试者无法留取痰，应按微生物学SOP尝试诱导痰或替代标本；若仍无法获得“可评价培养结果”，则视为未达标，不进入随机。</w:t>
      </w:r>
    </w:p>
    <w:p w14:paraId="37AF2FF0">
      <w:r>
        <w:t>符合条件者按1:1随机分配至：</w:t>
      </w:r>
    </w:p>
    <w:p w14:paraId="0364E449">
      <w:pPr>
        <w:pStyle w:val="16"/>
      </w:pPr>
      <w:r>
        <w:t>停药组：M6后立即停止抗结核治疗（总疗程6个月）。</w:t>
      </w:r>
    </w:p>
    <w:p w14:paraId="7ED1B43F">
      <w:pPr>
        <w:pStyle w:val="16"/>
      </w:pPr>
      <w:r>
        <w:t>继续治疗组：继续H+R治疗至总疗程9个月（2HRZE/7HR）。</w:t>
      </w:r>
    </w:p>
    <w:p w14:paraId="20F2AC84">
      <w:r>
        <w:t>未达标者：不进入随机化，按方案继续治疗（通常至总疗程9个月，或按研究者基于指南与耐药结果进行调整），并在EDC中记录更改原因、方案与持续时间；按研究访视计划随访并描述性报告。</w:t>
      </w:r>
    </w:p>
    <w:p w14:paraId="03C024F9">
      <w:pPr>
        <w:pStyle w:val="3"/>
      </w:pPr>
      <w:r>
        <w:t>8. 随机与分配实施流程</w:t>
      </w:r>
    </w:p>
    <w:p w14:paraId="2F6B7F7A">
      <w:pPr>
        <w:pStyle w:val="4"/>
      </w:pPr>
      <w:r>
        <w:t>8.1 随机化系统准备（启动前）</w:t>
      </w:r>
    </w:p>
    <w:p w14:paraId="1FD3B7F3">
      <w:pPr>
        <w:pStyle w:val="16"/>
      </w:pPr>
      <w:r>
        <w:t>统计团队出具《随机化规格书》（分层因素、随机比例、区组设置、随机种子与审计追踪、异常处理与紧急揭盲流程等）。</w:t>
      </w:r>
    </w:p>
    <w:p w14:paraId="488D899D">
      <w:pPr>
        <w:pStyle w:val="16"/>
      </w:pPr>
      <w:r>
        <w:t>完成随机化模块/IRT与EDC的配置、验证与联调；确保具备审计追踪与权限分级。</w:t>
      </w:r>
    </w:p>
    <w:p w14:paraId="75AE2BC2">
      <w:pPr>
        <w:pStyle w:val="16"/>
      </w:pPr>
      <w:r>
        <w:t>开展中心与分中心培训：随机前核对、系统操作、盲态要素、误随机处理、文档留存。</w:t>
      </w:r>
    </w:p>
    <w:p w14:paraId="34BD9D0F">
      <w:pPr>
        <w:pStyle w:val="16"/>
      </w:pPr>
      <w:r>
        <w:t>开展演练（dry-run）：至少覆盖队列A基线随机、队列B M6随机、以及1例异常/撤回场景。</w:t>
      </w:r>
    </w:p>
    <w:p w14:paraId="3D1F59DA">
      <w:pPr>
        <w:pStyle w:val="4"/>
      </w:pPr>
      <w:r>
        <w:t>8.2 队列A基线随机化—操作步骤</w:t>
      </w:r>
    </w:p>
    <w:p w14:paraId="0BCEBD20">
      <w:r>
        <w:t>按以下顺序执行（建议使用附录A检查清单）：</w:t>
      </w:r>
    </w:p>
    <w:p w14:paraId="5FB9C1B9">
      <w:pPr>
        <w:pStyle w:val="16"/>
      </w:pPr>
      <w:r>
        <w:t>确认已完成知情同意（见SOP11），并完成基线风险分层且判定为低风险（SOP01）。</w:t>
      </w:r>
    </w:p>
    <w:p w14:paraId="08095FF6">
      <w:pPr>
        <w:pStyle w:val="16"/>
      </w:pPr>
      <w:r>
        <w:t>确认耐药已排除并满足队列A入组/随机条件（以研究方案与筛选结果为准）。</w:t>
      </w:r>
    </w:p>
    <w:p w14:paraId="2DCB0B3A">
      <w:pPr>
        <w:pStyle w:val="16"/>
      </w:pPr>
      <w:r>
        <w:t>核对并锁定随机分层变量（以《随机化规格书》为准）；完成必要的数据逻辑校验。</w:t>
      </w:r>
    </w:p>
    <w:p w14:paraId="7DF125D4">
      <w:pPr>
        <w:pStyle w:val="16"/>
      </w:pPr>
      <w:r>
        <w:t>在EDC/IRT中发起随机：系统返回分配组别（A1/A2/A3）与随机编号。</w:t>
      </w:r>
    </w:p>
    <w:p w14:paraId="39882DD3">
      <w:pPr>
        <w:pStyle w:val="16"/>
      </w:pPr>
      <w:r>
        <w:t>记录：将随机结果自动写入eCRF；同时在中心/分中心随机日志中留存（含操作者、时间戳）。</w:t>
      </w:r>
    </w:p>
    <w:p w14:paraId="2C06C533">
      <w:pPr>
        <w:pStyle w:val="16"/>
      </w:pPr>
      <w:r>
        <w:t>分配实施：按分配组别发放/开立对应研究治疗；完成受试者宣教与依从性安排（参见用药相关SOP）。</w:t>
      </w:r>
    </w:p>
    <w:p w14:paraId="353440C4">
      <w:pPr>
        <w:pStyle w:val="4"/>
      </w:pPr>
      <w:r>
        <w:t>8.3 队列B M6 Hard Gate达标者随机化—操作步骤</w:t>
      </w:r>
    </w:p>
    <w:p w14:paraId="47DCACC5">
      <w:r>
        <w:t>按以下顺序执行（建议使用附录B检查清单）：</w:t>
      </w:r>
    </w:p>
    <w:p w14:paraId="3D452B76">
      <w:pPr>
        <w:pStyle w:val="16"/>
      </w:pPr>
      <w:r>
        <w:t>确认受试者属于队列B（中高风险）且已完成M6微生物学Hard Gate评估所需的关键检查与结果核对（SOP02）。</w:t>
      </w:r>
    </w:p>
    <w:p w14:paraId="422ECDD1">
      <w:pPr>
        <w:pStyle w:val="16"/>
      </w:pPr>
      <w:r>
        <w:t>完成Hard Gate判定（仅微生物学）：核对M6前4个月内培养阴性次数与间隔、M4至随机前是否出现再阳性、标本可评价性及污染/NTM排除；必要时按微生物学SOP进行补采与争议复核并留存记录。</w:t>
      </w:r>
    </w:p>
    <w:p w14:paraId="2E0BDC73">
      <w:pPr>
        <w:pStyle w:val="16"/>
      </w:pPr>
      <w:r>
        <w:t>满足Hard Gate：锁定Hard Gate证据字段与随机分层变量（强制包含HbA1c分层），在EDC/IRT发起随机（1:1）。</w:t>
      </w:r>
    </w:p>
    <w:p w14:paraId="02D754C9">
      <w:pPr>
        <w:pStyle w:val="16"/>
      </w:pPr>
      <w:r>
        <w:t>系统返回分配：停药组或继续治疗至9个月组；结果写入eCRF并留存随机日志。</w:t>
      </w:r>
    </w:p>
    <w:p w14:paraId="56A5181B">
      <w:pPr>
        <w:pStyle w:val="16"/>
      </w:pPr>
      <w:r>
        <w:t>执行分配：按组别完成停药/继续治疗的处方与随访安排；向受试者解释随机结果及其含义。</w:t>
      </w:r>
    </w:p>
    <w:p w14:paraId="400FEC11">
      <w:pPr>
        <w:pStyle w:val="16"/>
      </w:pPr>
      <w:r>
        <w:t>不满足Hard Gate：标记为“未达标/不可判定”，不进入随机化；按方案继续治疗（通常至总疗程9个月或按临床需要调整）并随访，治疗调整原因与方案需在EDC中留痕。</w:t>
      </w:r>
    </w:p>
    <w:p w14:paraId="25A5D791">
      <w:pPr>
        <w:pStyle w:val="4"/>
      </w:pPr>
      <w:r>
        <w:t>8.4 分配隐藏与防止预测</w:t>
      </w:r>
    </w:p>
    <w:p w14:paraId="7E1A6893">
      <w:pPr>
        <w:pStyle w:val="16"/>
      </w:pPr>
      <w:r>
        <w:t>随机序列、区组大小与随机种子仅由统计团队掌握；研究现场不得接触或存放随机列表。</w:t>
      </w:r>
    </w:p>
    <w:p w14:paraId="2B18FE95">
      <w:pPr>
        <w:pStyle w:val="16"/>
      </w:pPr>
      <w:r>
        <w:t>随机化系统采用权限分级：仅授权人员可发起随机；查看历史随机结果的权限与发起权限可分离。</w:t>
      </w:r>
    </w:p>
    <w:p w14:paraId="36124A33">
      <w:pPr>
        <w:pStyle w:val="16"/>
      </w:pPr>
      <w:r>
        <w:t>若采用区组随机，区组大小应保密；中心级监查定期评估是否存在可疑的预测或选择偏倚信号。</w:t>
      </w:r>
    </w:p>
    <w:p w14:paraId="453E3FA5">
      <w:pPr>
        <w:pStyle w:val="4"/>
      </w:pPr>
      <w:r>
        <w:t>8.5 异常与特殊情况处理（原则）</w:t>
      </w:r>
    </w:p>
    <w:p w14:paraId="358A84A4">
      <w:pPr>
        <w:pStyle w:val="16"/>
      </w:pPr>
      <w:r>
        <w:t>误随机（不符合条件即随机）：立即停止进一步随机操作→报告PMO/数据管理/统计→记录为重大偏离；受试者安全随访持续；分析处理以SAP/统计建议为准。</w:t>
      </w:r>
    </w:p>
    <w:p w14:paraId="70E56EDF">
      <w:pPr>
        <w:pStyle w:val="16"/>
      </w:pPr>
      <w:r>
        <w:t>随机后发现关键分层变量录入错误：不得为改变分配而“回填”；应提交数据更正申请并保留审计追踪；是否影响分析由统计团队评估。</w:t>
      </w:r>
    </w:p>
    <w:p w14:paraId="3405A0F9">
      <w:pPr>
        <w:pStyle w:val="16"/>
      </w:pPr>
      <w:r>
        <w:t>受试者跨中心转诊：保持原随机分配不变；由PMO协调数据与药物衔接，确保随访连续。</w:t>
      </w:r>
    </w:p>
    <w:p w14:paraId="04211A8C">
      <w:pPr>
        <w:pStyle w:val="3"/>
      </w:pPr>
      <w:r>
        <w:t>9. 盲态要素与信息隔离</w:t>
      </w:r>
    </w:p>
    <w:p w14:paraId="4036DF9E">
      <w:pPr>
        <w:pStyle w:val="4"/>
      </w:pPr>
      <w:r>
        <w:t>9.1 开放标签（实施层面）</w:t>
      </w:r>
    </w:p>
    <w:p w14:paraId="7592DE5A">
      <w:r>
        <w:t>本研究治疗方案与疗程在研究实施层面为开放标签。</w:t>
      </w:r>
    </w:p>
    <w:p w14:paraId="0F07E558">
      <w:pPr>
        <w:pStyle w:val="4"/>
      </w:pPr>
      <w:r>
        <w:t>9.2 信息隔离：影像与探索性结果披露控制</w:t>
      </w:r>
    </w:p>
    <w:p w14:paraId="3E94BA46">
      <w:pPr>
        <w:pStyle w:val="16"/>
      </w:pPr>
      <w:r>
        <w:t>影像学策略：CXR为队列分配与关键决策的主要影像依据（按方案）。CT可按临床需要或方案规定获取；其临床影像报告可用于受试者安全处置，但CT量化指标、中央阅读结论及影像AI/数字工具输出在研究期间不用于队列分配、随机化或停药/继续治疗决策，按项目治理要求延迟披露并留存访问记录。</w:t>
      </w:r>
    </w:p>
    <w:p w14:paraId="324A5D43">
      <w:pPr>
        <w:pStyle w:val="16"/>
      </w:pPr>
      <w:r>
        <w:t>探索性生物标志物与数字工具：可按预设时间点采集TB22等候选生物标志物及相关数字化输出，但研究期间结果不向治疗团队披露，不用于队列分配、随机化或停药/继续治疗决策；分析流程与模型规格应在揭盲前锁定（以SAP/项目治理文件为准）。</w:t>
      </w:r>
    </w:p>
    <w:p w14:paraId="1F9965C8">
      <w:pPr>
        <w:pStyle w:val="4"/>
      </w:pPr>
      <w:r>
        <w:t>9.3 终点评估盲态：CEC盲态/部分盲态判定</w:t>
      </w:r>
    </w:p>
    <w:p w14:paraId="06A99819">
      <w:r>
        <w:t>CEC对主要终点相关事件进行盲态或部分盲态的集中判定。提供给CEC的病例资料包应去标识化，并尽量避免包含可能暴露随机分组的信息。</w:t>
      </w:r>
    </w:p>
    <w:p w14:paraId="74C56BEC">
      <w:pPr>
        <w:pStyle w:val="4"/>
      </w:pPr>
      <w:r>
        <w:t>9.4 中期分析与安全监测的非盲访问</w:t>
      </w:r>
    </w:p>
    <w:p w14:paraId="65D146A2">
      <w:r>
        <w:t>DMC按章程开展安全监测与中期分析；如需接触非盲数据，应在受控权限下进行并留存访问记录。</w:t>
      </w:r>
    </w:p>
    <w:p w14:paraId="0988A8F3">
      <w:pPr>
        <w:pStyle w:val="4"/>
      </w:pPr>
      <w:r>
        <w:t>9.5 受控披露/受控访问（如适用）</w:t>
      </w:r>
    </w:p>
    <w:p w14:paraId="3A5CBE79">
      <w:pPr>
        <w:pStyle w:val="16"/>
      </w:pPr>
      <w:r>
        <w:t>适用范围：仅针对按本研究设定需要隔离的探索性结果（如TB22、影像AI/CT量化输出、中央阅片结论等）或随机化系统受控信息；治疗分组本身为开放标签，原则上不涉及揭盲。</w:t>
      </w:r>
    </w:p>
    <w:p w14:paraId="44A09DA0">
      <w:pPr>
        <w:pStyle w:val="16"/>
      </w:pPr>
      <w:r>
        <w:t>触发条件：仅在对受试者安全处置有直接必要且无法通过常规信息解决时启动，并符合伦理批准与机构政策。</w:t>
      </w:r>
    </w:p>
    <w:p w14:paraId="0C6CCE9D">
      <w:pPr>
        <w:pStyle w:val="16"/>
      </w:pPr>
      <w:r>
        <w:t>流程：提出申请→分中心PI审核→PMO/数据管理授权→在系统中受控查看/披露→记录原因、时间、操作者、结果与后续处置（附录C）。</w:t>
      </w:r>
    </w:p>
    <w:p w14:paraId="3C62DED5">
      <w:pPr>
        <w:pStyle w:val="16"/>
      </w:pPr>
      <w:r>
        <w:t>受控披露后：评估对终点评估与统计分析的潜在影响，必要时启动偏离流程并在CEC/统计团队处备案。</w:t>
      </w:r>
    </w:p>
    <w:p w14:paraId="120F7AE1">
      <w:pPr>
        <w:pStyle w:val="3"/>
      </w:pPr>
      <w:r>
        <w:t>10. 记录与归档</w:t>
      </w:r>
    </w:p>
    <w:p w14:paraId="741181B2">
      <w:pPr>
        <w:pStyle w:val="16"/>
      </w:pPr>
      <w:r>
        <w:t>系统记录：EDC/IRT自动生成随机编号、分配结果、时间戳、操作者与审计追踪。</w:t>
      </w:r>
    </w:p>
    <w:p w14:paraId="32D44845">
      <w:pPr>
        <w:pStyle w:val="16"/>
      </w:pPr>
      <w:r>
        <w:t>中心/分中心随机日志：用于现场核对与监查（不得包含可推测未来分配的信息）。</w:t>
      </w:r>
    </w:p>
    <w:p w14:paraId="13CBDF01">
      <w:pPr>
        <w:pStyle w:val="16"/>
      </w:pPr>
      <w:r>
        <w:t>偏离与纠正：误随机、关键变量更正、揭盲、争议复核等均需形成书面/电子记录并归档。</w:t>
      </w:r>
    </w:p>
    <w:p w14:paraId="711E6887">
      <w:pPr>
        <w:pStyle w:val="3"/>
      </w:pPr>
      <w:r>
        <w:t>11. 质量控制与培训要点</w:t>
      </w:r>
    </w:p>
    <w:p w14:paraId="2139AAB2">
      <w:pPr>
        <w:pStyle w:val="16"/>
      </w:pPr>
      <w:r>
        <w:t>培训重点：先分层后随机、分层变量的真实准确、队列B M6微生物学Hard Gate判定与随机化边界、信息隔离要素执行、随机系统操作与审计追踪。</w:t>
      </w:r>
    </w:p>
    <w:p w14:paraId="40234472">
      <w:pPr>
        <w:pStyle w:val="16"/>
      </w:pPr>
      <w:r>
        <w:t>监查重点：随机前条件是否满足、关键字段是否锁定、是否存在选择偏倚风险、随机/分配记录是否完整可追溯。</w:t>
      </w:r>
    </w:p>
    <w:p w14:paraId="4332CFB5">
      <w:pPr>
        <w:pStyle w:val="16"/>
      </w:pPr>
      <w:r>
        <w:t>持续改进：对重复发生的误随机/录入错误，需开展根因分析（RCA）并更新培训与系统校验规则。</w:t>
      </w:r>
    </w:p>
    <w:p w14:paraId="030E741E">
      <w:pPr>
        <w:pStyle w:val="3"/>
      </w:pPr>
      <w:r>
        <w:t>12. 参考文件</w:t>
      </w:r>
    </w:p>
    <w:p w14:paraId="7D23295D">
      <w:pPr>
        <w:pStyle w:val="16"/>
      </w:pPr>
      <w:r>
        <w:t>TDSC研究方案 V2.0（2026-02-28）。</w:t>
      </w:r>
    </w:p>
    <w:p w14:paraId="06A5DC84">
      <w:pPr>
        <w:pStyle w:val="16"/>
      </w:pPr>
      <w:r>
        <w:t>TDSC项目统计服务SOW—项目特异条款（含随机化规格书要求、盲态/信息隔离策略等）。</w:t>
      </w:r>
    </w:p>
    <w:p w14:paraId="182FD68C">
      <w:pPr>
        <w:pStyle w:val="16"/>
      </w:pPr>
      <w:r>
        <w:t>SOP01：患者分层工具包（Patient Stratification Toolkit）。</w:t>
      </w:r>
    </w:p>
    <w:p w14:paraId="44B46867">
      <w:pPr>
        <w:pStyle w:val="16"/>
      </w:pPr>
      <w:r>
        <w:t>SOP02：队列B微生物学Hard Gate评估与M6随机化资格判定（Microbiological Hard Gate at M6）。</w:t>
      </w:r>
    </w:p>
    <w:p w14:paraId="2C8DA2B0">
      <w:pPr>
        <w:pStyle w:val="16"/>
      </w:pPr>
      <w:r>
        <w:t>项目组织架构与管理办法（CEC/DMC职责与工作机制）。</w:t>
      </w:r>
    </w:p>
    <w:p w14:paraId="186DB4BF">
      <w:pPr>
        <w:pStyle w:val="3"/>
      </w:pPr>
      <w:r>
        <w:t>附录A. 队列A基线随机化检查清单（示例）</w:t>
      </w:r>
    </w:p>
    <w:p w14:paraId="32337856">
      <w:pPr>
        <w:pStyle w:val="16"/>
      </w:pPr>
      <w:r>
        <w:t>□ 已签署ICF；□ 完成基线风险分层且为低风险；□ 已排除耐药并满足入组；</w:t>
      </w:r>
    </w:p>
    <w:p w14:paraId="0EB72067">
      <w:pPr>
        <w:pStyle w:val="16"/>
      </w:pPr>
      <w:r>
        <w:t>□ 随机分层变量已核对并锁定；□ 在EDC/IRT中成功随机并生成随机编号；</w:t>
      </w:r>
    </w:p>
    <w:p w14:paraId="4236113F">
      <w:pPr>
        <w:pStyle w:val="16"/>
      </w:pPr>
      <w:r>
        <w:t>□ eCRF已写入分配结果；□ 随机日志已留存；□ 已按组别启动治疗与宣教。</w:t>
      </w:r>
    </w:p>
    <w:p w14:paraId="73BA6ACA">
      <w:pPr>
        <w:pStyle w:val="3"/>
      </w:pPr>
      <w:r>
        <w:t>附录B. 队列B M6 Hard Gate达标者随机化检查清单（示例）</w:t>
      </w:r>
    </w:p>
    <w:p w14:paraId="10B64AE7">
      <w:pPr>
        <w:pStyle w:val="16"/>
      </w:pPr>
      <w:r>
        <w:t>□ 已完成Hard Gate评估（SOP02）；□ M6前4个月内≥2次培养阴性且两次间隔≥7天；</w:t>
      </w:r>
    </w:p>
    <w:p w14:paraId="60F00663">
      <w:pPr>
        <w:pStyle w:val="16"/>
      </w:pPr>
      <w:r>
        <w:t>□ 自M4起至随机前无培养再阳性（污染/NTM已排除）；□ 标本与结果可评价（无法可评价培养=不达标，不随机）；</w:t>
      </w:r>
    </w:p>
    <w:p w14:paraId="0955FA92">
      <w:pPr>
        <w:pStyle w:val="16"/>
      </w:pPr>
      <w:r>
        <w:t>□ HbA1c分层变量已锁定；□ 其他随机分层变量已锁定（按《随机化规格书》）；</w:t>
      </w:r>
    </w:p>
    <w:p w14:paraId="06DEBD0D">
      <w:pPr>
        <w:pStyle w:val="16"/>
      </w:pPr>
      <w:r>
        <w:t>□ 成功随机（停药 vs 继续）；□ eCRF与随机日志记录完整；□ 已执行停药/继续方案并完成宣教。</w:t>
      </w:r>
    </w:p>
    <w:p w14:paraId="44E34324">
      <w:pPr>
        <w:pStyle w:val="3"/>
      </w:pPr>
      <w:r>
        <w:t>附录C. 受控查看/揭盲记录要点（模板要素）</w:t>
      </w:r>
    </w:p>
    <w:p w14:paraId="22EC3F80">
      <w:pPr>
        <w:pStyle w:val="16"/>
      </w:pPr>
      <w:r>
        <w:t>受试者ID；中心；申请人；申请日期与时间；</w:t>
      </w:r>
    </w:p>
    <w:p w14:paraId="6D398B1B">
      <w:pPr>
        <w:pStyle w:val="16"/>
      </w:pPr>
      <w:r>
        <w:t>拟查看信息类型（CT量化/中央阅片/影像AI/TB22/其他探索性结果）；触发原因与临床必要性说明；</w:t>
      </w:r>
    </w:p>
    <w:p w14:paraId="7DBD94D0">
      <w:pPr>
        <w:pStyle w:val="16"/>
      </w:pPr>
      <w:r>
        <w:t>审批链（分中心PI→PMO/数据管理）；实际查看时间与操作者；查看结果摘要；</w:t>
      </w:r>
    </w:p>
    <w:p w14:paraId="158FB91F">
      <w:pPr>
        <w:pStyle w:val="16"/>
      </w:pPr>
      <w:r>
        <w:t>后续处置与是否构成偏离；对终点评估/统计分析影响的初步判断。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C56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5044</Words>
  <Characters>5957</Characters>
  <Lines>0</Lines>
  <Paragraphs>0</Paragraphs>
  <TotalTime>0</TotalTime>
  <ScaleCrop>false</ScaleCrop>
  <LinksUpToDate>false</LinksUpToDate>
  <CharactersWithSpaces>6079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付亮</cp:lastModifiedBy>
  <dcterms:modified xsi:type="dcterms:W3CDTF">2026-03-04T14:45:32Z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eyJoZGlkIjoiZTY1YTEzNzUzNjc3OTdhYTczZDYyMDcwZjdjMDcyY2UiLCJ1c2VySWQiOiIyMDkyMjY1MzMifQ==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43BC4CB082E649E5A5F8A96297E9A922_12</vt:lpwstr>
  </property>
</Properties>
</file>