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569DC7">
      <w:pPr>
        <w:pStyle w:val="164"/>
        <w:jc w:val="center"/>
      </w:pPr>
      <w:r>
        <w:rPr>
          <w:rFonts w:ascii="Arial" w:hAnsi="Arial" w:eastAsia="微软雅黑"/>
          <w:b/>
          <w:i w:val="0"/>
          <w:color w:val="1F4E79"/>
          <w:sz w:val="40"/>
        </w:rPr>
        <w:t>肺受累范围与空洞表型对肺结核预后的预测价值</w:t>
      </w:r>
    </w:p>
    <w:p w14:paraId="3B69D150">
      <w:pPr>
        <w:pStyle w:val="164"/>
        <w:jc w:val="center"/>
      </w:pPr>
      <w:r>
        <w:rPr>
          <w:rFonts w:ascii="Arial" w:hAnsi="Arial" w:eastAsia="微软雅黑"/>
          <w:b/>
          <w:i w:val="0"/>
          <w:color w:val="1F4E79"/>
          <w:sz w:val="32"/>
        </w:rPr>
        <w:t>多中心前瞻性预后队列研究方案框架（推荐主研究设计）</w:t>
      </w:r>
    </w:p>
    <w:p w14:paraId="39A387DE">
      <w:pPr>
        <w:pStyle w:val="165"/>
        <w:jc w:val="center"/>
      </w:pPr>
      <w:r>
        <w:t>适用场景：用于在标准化治疗路径下，评估“PLI较高但无空洞”与“PLI较低但有空洞”两类患者在细菌学与远期结局上的预后差异，并据此构建二维影像风险分层规则；同时预设“影像 + 基线菌量”联合次级模型，以评估其增量预测价值。</w:t>
      </w:r>
    </w:p>
    <w:tbl>
      <w:tblPr>
        <w:tblStyle w:val="32"/>
        <w:tblW w:w="0" w:type="auto"/>
        <w:jc w:val="center"/>
        <w:tblLayout w:type="fixed"/>
        <w:tblCellMar>
          <w:top w:w="0" w:type="dxa"/>
          <w:left w:w="108" w:type="dxa"/>
          <w:bottom w:w="0" w:type="dxa"/>
          <w:right w:w="108" w:type="dxa"/>
        </w:tblCellMar>
      </w:tblPr>
      <w:tblGrid>
        <w:gridCol w:w="9411"/>
      </w:tblGrid>
      <w:tr w14:paraId="091FED85">
        <w:tblPrEx>
          <w:tblCellMar>
            <w:top w:w="0" w:type="dxa"/>
            <w:left w:w="108" w:type="dxa"/>
            <w:bottom w:w="0" w:type="dxa"/>
            <w:right w:w="108" w:type="dxa"/>
          </w:tblCellMar>
        </w:tblPrEx>
        <w:trPr>
          <w:jc w:val="center"/>
        </w:trPr>
        <w:tc>
          <w:tcPr>
            <w:tcW w:w="9972" w:type="dxa"/>
            <w:shd w:val="clear" w:color="auto" w:fill="EAF2F8"/>
            <w:tcMar>
              <w:top w:w="120" w:type="dxa"/>
              <w:left w:w="140" w:type="dxa"/>
              <w:bottom w:w="120" w:type="dxa"/>
              <w:right w:w="140" w:type="dxa"/>
            </w:tcMar>
          </w:tcPr>
          <w:p w14:paraId="5FF9D381">
            <w:r>
              <w:t>核心建议：最优设计不是新的随机对照试验，而是“嵌套于标准化治疗框架中的多中心前瞻性预后队列”。所有受试者接受尽可能统一的治疗路径与随访；在基线胸片上，以肺受累百分比（PLI）和空洞表型构建二维主暴露框架，前瞻性比较不同影像亚型的细菌学与远期结局，并重点检验 PLI×空洞 交互作用；同时预设“影像 + 基线菌量”联合次级模型。</w:t>
            </w:r>
          </w:p>
        </w:tc>
      </w:tr>
    </w:tbl>
    <w:p w14:paraId="729CFB44">
      <w:pPr>
        <w:spacing w:after="80"/>
      </w:pPr>
    </w:p>
    <w:p w14:paraId="3FC7CB75">
      <w:pPr>
        <w:pStyle w:val="166"/>
      </w:pPr>
      <w:r>
        <w:rPr>
          <w:rFonts w:ascii="Arial" w:hAnsi="Arial" w:eastAsia="微软雅黑"/>
          <w:b/>
          <w:i w:val="0"/>
          <w:color w:val="1F4E79"/>
          <w:sz w:val="28"/>
        </w:rPr>
        <w:t>1 研究定位与科学依据</w:t>
      </w:r>
    </w:p>
    <w:p w14:paraId="636E5AE8">
      <w:pPr>
        <w:spacing w:line="312" w:lineRule="auto"/>
        <w:rPr>
          <w:rFonts w:hint="eastAsia" w:ascii="Arial" w:hAnsi="Arial" w:eastAsia="微软雅黑"/>
          <w:b w:val="0"/>
          <w:i w:val="0"/>
          <w:sz w:val="21"/>
        </w:rPr>
      </w:pPr>
      <w:r>
        <w:rPr>
          <w:rFonts w:hint="eastAsia" w:ascii="Arial" w:hAnsi="Arial" w:eastAsia="微软雅黑"/>
          <w:b w:val="0"/>
          <w:i w:val="0"/>
          <w:sz w:val="21"/>
        </w:rPr>
        <w:t>Ralph/Timika 评分是肺结核胸片严重程度评估中应用较广的工具，其核心由两部分构成：肺受累百分比（percent of lung involved in disease, PLI）和空洞（cavitation）加分。该评分最初主要用于量化胸片病变严重程度，并已被证明与基线疾病负担及早期菌学反应相关。</w:t>
      </w:r>
    </w:p>
    <w:p w14:paraId="47AFE370">
      <w:pPr>
        <w:spacing w:line="312" w:lineRule="auto"/>
        <w:rPr>
          <w:rFonts w:hint="eastAsia" w:ascii="Arial" w:hAnsi="Arial" w:eastAsia="微软雅黑"/>
          <w:b w:val="0"/>
          <w:i w:val="0"/>
          <w:sz w:val="21"/>
        </w:rPr>
      </w:pPr>
      <w:r>
        <w:rPr>
          <w:rFonts w:hint="eastAsia" w:ascii="Arial" w:hAnsi="Arial" w:eastAsia="微软雅黑"/>
          <w:b w:val="0"/>
          <w:i w:val="0"/>
          <w:sz w:val="21"/>
        </w:rPr>
        <w:t>然而，从临床和生物学内涵来看，PLI 与空洞所反映的信息并不完全相同。PLI 主要反映总体病灶负担和肺实质受累范围，更接近疾病的“量”；而空洞更体现病变表型和局部病理生态位特征，常提示较高菌负荷、持续排菌、药物穿透受限及复发风险增加，更接近疾病的“质”。因此，虽然二者均构成影像学严重程度的一部分，但可能对应不同类型的临床风险。</w:t>
      </w:r>
    </w:p>
    <w:p w14:paraId="523BC0AB">
      <w:pPr>
        <w:spacing w:line="312" w:lineRule="auto"/>
        <w:rPr>
          <w:rFonts w:hint="eastAsia" w:ascii="Arial" w:hAnsi="Arial" w:eastAsia="微软雅黑"/>
          <w:b w:val="0"/>
          <w:i w:val="0"/>
          <w:sz w:val="21"/>
        </w:rPr>
      </w:pPr>
      <w:r>
        <w:rPr>
          <w:rFonts w:hint="eastAsia" w:ascii="Arial" w:hAnsi="Arial" w:eastAsia="微软雅黑"/>
          <w:b w:val="0"/>
          <w:i w:val="0"/>
          <w:sz w:val="21"/>
        </w:rPr>
        <w:t>近年的研究进一步提示：当研究目标从单纯描述影像严重程度转向预测治疗结局时，PLI 作为连续变量，可能比简单的“空洞有/无”更稳定，也更具信息量。这意味着，在预测综合不良结局时，PLI 单独使用的表现可能已接近甚至优于传统 Timika 评分；而仅以“是否存在空洞”这一二分类指标进行判断，则可能丢失较多信息。</w:t>
      </w:r>
    </w:p>
    <w:p w14:paraId="2083367D">
      <w:pPr>
        <w:spacing w:line="312" w:lineRule="auto"/>
        <w:rPr>
          <w:rFonts w:hint="eastAsia" w:ascii="Arial" w:hAnsi="Arial" w:eastAsia="微软雅黑"/>
          <w:b w:val="0"/>
          <w:i w:val="0"/>
          <w:sz w:val="21"/>
        </w:rPr>
      </w:pPr>
      <w:r>
        <w:rPr>
          <w:rFonts w:hint="eastAsia" w:ascii="Arial" w:hAnsi="Arial" w:eastAsia="微软雅黑"/>
          <w:b w:val="0"/>
          <w:i w:val="0"/>
          <w:sz w:val="21"/>
        </w:rPr>
        <w:t>但这并不意味着空洞的重要性下降。相反，在许多临床场景中，空洞仍具有独立而关键的预后价值。对于培养转阴延迟、治疗失败或复发等与细菌学过程密切相关的结局，空洞通常提示更高风险；而对于死亡、严重并发症或明显肺功能受损等反映总体器官损害和生理储备不足的结局，病变范围广泛所代表的风险可能更为突出。</w:t>
      </w:r>
    </w:p>
    <w:p w14:paraId="08CBE894">
      <w:pPr>
        <w:spacing w:line="312" w:lineRule="auto"/>
        <w:rPr>
          <w:rFonts w:hint="eastAsia" w:ascii="Arial" w:hAnsi="Arial" w:eastAsia="微软雅黑"/>
          <w:b w:val="0"/>
          <w:i w:val="0"/>
          <w:sz w:val="21"/>
        </w:rPr>
      </w:pPr>
      <w:r>
        <w:rPr>
          <w:rFonts w:hint="eastAsia" w:ascii="Arial" w:hAnsi="Arial" w:eastAsia="微软雅黑"/>
          <w:b w:val="0"/>
          <w:i w:val="0"/>
          <w:sz w:val="21"/>
        </w:rPr>
        <w:t>因此，肺结核影像学严重程度不宜被简单理解为单一维度上的“轻—重”连续谱，而更适合从病灶范围与病变表型两个维度进行认识。在这一框架下，PLI 高且有空洞的患者通常提示双重高风险，PLI 低且无空洞的患者通常预后较好；而PLI 高但无空洞与PLI 低但有空洞这两类“中间型”患者，哪一类风险更高，目前仍缺乏清晰证据，且其答案可能受到研究人群、合并症构成、耐药谱和结局定义的影响。</w:t>
      </w:r>
    </w:p>
    <w:p w14:paraId="78A7C915">
      <w:pPr>
        <w:spacing w:line="312" w:lineRule="auto"/>
        <w:rPr>
          <w:rFonts w:hint="eastAsia" w:ascii="Arial" w:hAnsi="Arial" w:eastAsia="微软雅黑"/>
          <w:b w:val="0"/>
          <w:i w:val="0"/>
          <w:sz w:val="21"/>
        </w:rPr>
      </w:pPr>
      <w:r>
        <w:rPr>
          <w:rFonts w:hint="eastAsia" w:ascii="Arial" w:hAnsi="Arial" w:eastAsia="微软雅黑"/>
          <w:b w:val="0"/>
          <w:i w:val="0"/>
          <w:sz w:val="21"/>
        </w:rPr>
        <w:t>这一证据空白具有明确的科学与临床意义。若不同影像亚型对应不同类型的不良结局，则未来在风险分层、疗程制定、随访强度安排以及结局预测模型构建中，不应再将 PLI 与空洞简单合并为单一总分，而应将其视为两个相对独立且可能存在交互作用的维度进行分析。</w:t>
      </w:r>
    </w:p>
    <w:p w14:paraId="17018973">
      <w:pPr>
        <w:spacing w:line="312" w:lineRule="auto"/>
        <w:rPr>
          <w:rFonts w:ascii="Arial" w:hAnsi="Arial" w:eastAsia="微软雅黑"/>
          <w:b/>
          <w:i w:val="0"/>
          <w:sz w:val="24"/>
          <w:szCs w:val="24"/>
        </w:rPr>
      </w:pPr>
      <w:r>
        <w:t>基于此，本研究拟在统一治疗算法与随访框架下，系统比较不同影像亚型与细菌学不良结局、死亡及功能受损之间的关系，并重点评估 PLI 与空洞之间是否存在交互作用及增量预测价值。同时，借鉴近期大型试验中“影像负担 + 菌量负担”联合分层的思路，本研究预设次级联合模型，用于检验在二维影像框架基础上加入基线涂片分级或 Xpert Ct 后，是否能够进一步提升风险分层性能。需要强调的是，本研究估计的是标准化治疗背景下的预后差异，而非脱离治疗影响后的自然病程因果效应。本研究有望更准确地阐明肺结核影像学严重程度的二维内涵，为风险分层、疗程研究与后续分层随机策略试验提供依据。</w:t>
      </w:r>
    </w:p>
    <w:p w14:paraId="2670950C">
      <w:pPr>
        <w:rPr>
          <w:rFonts w:ascii="Arial" w:hAnsi="Arial" w:eastAsia="微软雅黑"/>
          <w:b/>
          <w:i w:val="0"/>
          <w:sz w:val="21"/>
        </w:rPr>
      </w:pPr>
    </w:p>
    <w:p w14:paraId="20CFEBED">
      <w:pPr>
        <w:pStyle w:val="166"/>
      </w:pPr>
      <w:r>
        <w:rPr>
          <w:rFonts w:ascii="Arial" w:hAnsi="Arial" w:eastAsia="微软雅黑"/>
          <w:b/>
          <w:i w:val="0"/>
          <w:color w:val="1F4E79"/>
          <w:sz w:val="28"/>
        </w:rPr>
        <w:t>2 最优研究设计（一页式概览）</w:t>
      </w:r>
    </w:p>
    <w:tbl>
      <w:tblPr>
        <w:tblStyle w:val="32"/>
        <w:tblW w:w="0" w:type="auto"/>
        <w:jc w:val="center"/>
        <w:tblLayout w:type="fixed"/>
        <w:tblCellMar>
          <w:top w:w="0" w:type="dxa"/>
          <w:left w:w="108" w:type="dxa"/>
          <w:bottom w:w="0" w:type="dxa"/>
          <w:right w:w="108" w:type="dxa"/>
        </w:tblCellMar>
      </w:tblPr>
      <w:tblGrid>
        <w:gridCol w:w="1883"/>
        <w:gridCol w:w="8089"/>
      </w:tblGrid>
      <w:tr w14:paraId="0B401DED">
        <w:tblPrEx>
          <w:tblCellMar>
            <w:top w:w="0" w:type="dxa"/>
            <w:left w:w="108" w:type="dxa"/>
            <w:bottom w:w="0" w:type="dxa"/>
            <w:right w:w="108" w:type="dxa"/>
          </w:tblCellMar>
        </w:tblPrEx>
        <w:trPr>
          <w:jc w:val="center"/>
        </w:trPr>
        <w:tc>
          <w:tcPr>
            <w:tcW w:w="1883" w:type="dxa"/>
            <w:shd w:val="clear" w:color="auto" w:fill="F4F8FB"/>
            <w:tcMar>
              <w:top w:w="100" w:type="dxa"/>
              <w:left w:w="110" w:type="dxa"/>
              <w:bottom w:w="100" w:type="dxa"/>
              <w:right w:w="110" w:type="dxa"/>
            </w:tcMar>
            <w:vAlign w:val="center"/>
          </w:tcPr>
          <w:p w14:paraId="15D0DF58">
            <w:pPr>
              <w:jc w:val="center"/>
            </w:pPr>
            <w:r>
              <w:rPr>
                <w:rFonts w:ascii="Arial" w:hAnsi="Arial" w:eastAsia="微软雅黑"/>
                <w:b/>
                <w:i w:val="0"/>
                <w:color w:val="1F4E79"/>
                <w:sz w:val="21"/>
              </w:rPr>
              <w:t>设计类型</w:t>
            </w:r>
          </w:p>
        </w:tc>
        <w:tc>
          <w:tcPr>
            <w:tcW w:w="8089" w:type="dxa"/>
            <w:shd w:val="clear" w:color="auto" w:fill="F4F8FB"/>
            <w:tcMar>
              <w:top w:w="100" w:type="dxa"/>
              <w:left w:w="110" w:type="dxa"/>
              <w:bottom w:w="100" w:type="dxa"/>
              <w:right w:w="110" w:type="dxa"/>
            </w:tcMar>
            <w:vAlign w:val="center"/>
          </w:tcPr>
          <w:p w14:paraId="31351B2D">
            <w:r>
              <w:t>多中心、前瞻性、事件驱动型预后研究；优先嵌套于标准化治疗项目、临床试验或统一治疗路径中实施。</w:t>
            </w:r>
          </w:p>
        </w:tc>
      </w:tr>
      <w:tr w14:paraId="6ABE4DD3">
        <w:tblPrEx>
          <w:tblCellMar>
            <w:top w:w="0" w:type="dxa"/>
            <w:left w:w="108" w:type="dxa"/>
            <w:bottom w:w="0" w:type="dxa"/>
            <w:right w:w="108" w:type="dxa"/>
          </w:tblCellMar>
        </w:tblPrEx>
        <w:trPr>
          <w:jc w:val="center"/>
        </w:trPr>
        <w:tc>
          <w:tcPr>
            <w:tcW w:w="1883" w:type="dxa"/>
            <w:tcMar>
              <w:top w:w="100" w:type="dxa"/>
              <w:left w:w="110" w:type="dxa"/>
              <w:bottom w:w="100" w:type="dxa"/>
              <w:right w:w="110" w:type="dxa"/>
            </w:tcMar>
            <w:vAlign w:val="center"/>
          </w:tcPr>
          <w:p w14:paraId="635F61AF">
            <w:pPr>
              <w:jc w:val="center"/>
            </w:pPr>
            <w:r>
              <w:rPr>
                <w:rFonts w:ascii="Arial" w:hAnsi="Arial" w:eastAsia="微软雅黑"/>
                <w:b/>
                <w:i w:val="0"/>
                <w:color w:val="1F4E79"/>
                <w:sz w:val="21"/>
              </w:rPr>
              <w:t>研究对象</w:t>
            </w:r>
          </w:p>
        </w:tc>
        <w:tc>
          <w:tcPr>
            <w:tcW w:w="8089" w:type="dxa"/>
            <w:tcMar>
              <w:top w:w="100" w:type="dxa"/>
              <w:left w:w="110" w:type="dxa"/>
              <w:bottom w:w="100" w:type="dxa"/>
              <w:right w:w="110" w:type="dxa"/>
            </w:tcMar>
            <w:vAlign w:val="center"/>
          </w:tcPr>
          <w:p w14:paraId="13AF4D96">
            <w:r>
              <w:t>新发肺结核成人；主研究建议仅纳入同一大类治疗人群（首选 DS-TB 或同一治疗算法人群）。若拟纳入 MDR/RR-TB，应预设为独立分层或外部验证队列，不建议与 DS-TB 直接合并为单一主分析。</w:t>
            </w:r>
          </w:p>
        </w:tc>
      </w:tr>
      <w:tr w14:paraId="0F440437">
        <w:tblPrEx>
          <w:tblCellMar>
            <w:top w:w="0" w:type="dxa"/>
            <w:left w:w="108" w:type="dxa"/>
            <w:bottom w:w="0" w:type="dxa"/>
            <w:right w:w="108" w:type="dxa"/>
          </w:tblCellMar>
        </w:tblPrEx>
        <w:trPr>
          <w:jc w:val="center"/>
        </w:trPr>
        <w:tc>
          <w:tcPr>
            <w:tcW w:w="1883" w:type="dxa"/>
            <w:shd w:val="clear" w:color="auto" w:fill="F4F8FB"/>
            <w:tcMar>
              <w:top w:w="100" w:type="dxa"/>
              <w:left w:w="110" w:type="dxa"/>
              <w:bottom w:w="100" w:type="dxa"/>
              <w:right w:w="110" w:type="dxa"/>
            </w:tcMar>
            <w:vAlign w:val="center"/>
          </w:tcPr>
          <w:p w14:paraId="56A2F366">
            <w:pPr>
              <w:jc w:val="center"/>
            </w:pPr>
            <w:r>
              <w:rPr>
                <w:rFonts w:ascii="Arial" w:hAnsi="Arial" w:eastAsia="微软雅黑"/>
                <w:b/>
                <w:i w:val="0"/>
                <w:color w:val="1F4E79"/>
                <w:sz w:val="21"/>
              </w:rPr>
              <w:t>影像暴露</w:t>
            </w:r>
          </w:p>
        </w:tc>
        <w:tc>
          <w:tcPr>
            <w:tcW w:w="8089" w:type="dxa"/>
            <w:shd w:val="clear" w:color="auto" w:fill="F4F8FB"/>
            <w:tcMar>
              <w:top w:w="100" w:type="dxa"/>
              <w:left w:w="110" w:type="dxa"/>
              <w:bottom w:w="100" w:type="dxa"/>
              <w:right w:w="110" w:type="dxa"/>
            </w:tcMar>
            <w:vAlign w:val="center"/>
          </w:tcPr>
          <w:p w14:paraId="38D9E90D">
            <w:r>
              <w:t>基线胸片 CXR 为唯一主分析影像来源；中央统一读片。主暴露为 PLI（连续）与空洞（有/无/可疑），并保留四象限分组；探索性采集空洞负荷（数量、最大径、单双侧）。</w:t>
            </w:r>
          </w:p>
        </w:tc>
      </w:tr>
      <w:tr w14:paraId="7E005F56">
        <w:tblPrEx>
          <w:tblCellMar>
            <w:top w:w="0" w:type="dxa"/>
            <w:left w:w="108" w:type="dxa"/>
            <w:bottom w:w="0" w:type="dxa"/>
            <w:right w:w="108" w:type="dxa"/>
          </w:tblCellMar>
        </w:tblPrEx>
        <w:trPr>
          <w:jc w:val="center"/>
        </w:trPr>
        <w:tc>
          <w:tcPr>
            <w:tcW w:w="1883" w:type="dxa"/>
            <w:tcMar>
              <w:top w:w="100" w:type="dxa"/>
              <w:left w:w="110" w:type="dxa"/>
              <w:bottom w:w="100" w:type="dxa"/>
              <w:right w:w="110" w:type="dxa"/>
            </w:tcMar>
            <w:vAlign w:val="center"/>
          </w:tcPr>
          <w:p w14:paraId="58B7D41B">
            <w:pPr>
              <w:jc w:val="center"/>
            </w:pPr>
            <w:r>
              <w:rPr>
                <w:rFonts w:ascii="Arial" w:hAnsi="Arial" w:eastAsia="微软雅黑"/>
                <w:b/>
                <w:i w:val="0"/>
                <w:color w:val="1F4E79"/>
                <w:sz w:val="21"/>
              </w:rPr>
              <w:t>主比较</w:t>
            </w:r>
          </w:p>
        </w:tc>
        <w:tc>
          <w:tcPr>
            <w:tcW w:w="8089" w:type="dxa"/>
            <w:tcMar>
              <w:top w:w="100" w:type="dxa"/>
              <w:left w:w="110" w:type="dxa"/>
              <w:bottom w:w="100" w:type="dxa"/>
              <w:right w:w="110" w:type="dxa"/>
            </w:tcMar>
            <w:vAlign w:val="center"/>
          </w:tcPr>
          <w:p w14:paraId="1D9CEF10">
            <w:r>
              <w:t>重点比较“PLI 高、无空洞”与“PLI 低、有空洞”两组；同时纳入“PLI 低、无空洞”和“PLI 高、有空洞”以形成完整 2×2 框架，用于风险排序、模型校准与临床解释。</w:t>
            </w:r>
          </w:p>
        </w:tc>
      </w:tr>
      <w:tr w14:paraId="2F33EBA7">
        <w:tblPrEx>
          <w:tblCellMar>
            <w:top w:w="0" w:type="dxa"/>
            <w:left w:w="108" w:type="dxa"/>
            <w:bottom w:w="0" w:type="dxa"/>
            <w:right w:w="108" w:type="dxa"/>
          </w:tblCellMar>
        </w:tblPrEx>
        <w:trPr>
          <w:jc w:val="center"/>
        </w:trPr>
        <w:tc>
          <w:tcPr>
            <w:tcW w:w="1883" w:type="dxa"/>
            <w:shd w:val="clear" w:color="auto" w:fill="F4F8FB"/>
            <w:tcMar>
              <w:top w:w="100" w:type="dxa"/>
              <w:left w:w="110" w:type="dxa"/>
              <w:bottom w:w="100" w:type="dxa"/>
              <w:right w:w="110" w:type="dxa"/>
            </w:tcMar>
            <w:vAlign w:val="center"/>
          </w:tcPr>
          <w:p w14:paraId="020BC3EB">
            <w:r>
              <w:t>主要终点</w:t>
            </w:r>
          </w:p>
        </w:tc>
        <w:tc>
          <w:tcPr>
            <w:tcW w:w="8089" w:type="dxa"/>
            <w:shd w:val="clear" w:color="auto" w:fill="F4F8FB"/>
            <w:tcMar>
              <w:top w:w="100" w:type="dxa"/>
              <w:left w:w="110" w:type="dxa"/>
              <w:bottom w:w="100" w:type="dxa"/>
              <w:right w:w="110" w:type="dxa"/>
            </w:tcMar>
            <w:vAlign w:val="center"/>
          </w:tcPr>
          <w:p w14:paraId="41F3ECA5">
            <w:r>
              <w:t>建议优先采用严格病原学定义：治疗失败或治疗后 12 个月内病原学证实的复发/再发；经 CEC 裁定的 probable recurrent TB 作为扩展终点或支持性分析。</w:t>
            </w:r>
          </w:p>
        </w:tc>
      </w:tr>
      <w:tr w14:paraId="4A9D4D7C">
        <w:tblPrEx>
          <w:tblCellMar>
            <w:top w:w="0" w:type="dxa"/>
            <w:left w:w="108" w:type="dxa"/>
            <w:bottom w:w="0" w:type="dxa"/>
            <w:right w:w="108" w:type="dxa"/>
          </w:tblCellMar>
        </w:tblPrEx>
        <w:trPr>
          <w:jc w:val="center"/>
        </w:trPr>
        <w:tc>
          <w:tcPr>
            <w:tcW w:w="1883" w:type="dxa"/>
            <w:tcMar>
              <w:top w:w="100" w:type="dxa"/>
              <w:left w:w="110" w:type="dxa"/>
              <w:bottom w:w="100" w:type="dxa"/>
              <w:right w:w="110" w:type="dxa"/>
            </w:tcMar>
            <w:vAlign w:val="center"/>
          </w:tcPr>
          <w:p w14:paraId="5EF9FD80">
            <w:pPr>
              <w:jc w:val="center"/>
            </w:pPr>
            <w:r>
              <w:rPr>
                <w:rFonts w:ascii="Arial" w:hAnsi="Arial" w:eastAsia="微软雅黑"/>
                <w:b/>
                <w:i w:val="0"/>
                <w:color w:val="1F4E79"/>
                <w:sz w:val="21"/>
              </w:rPr>
              <w:t>关键次要终点</w:t>
            </w:r>
          </w:p>
        </w:tc>
        <w:tc>
          <w:tcPr>
            <w:tcW w:w="8089" w:type="dxa"/>
            <w:tcMar>
              <w:top w:w="100" w:type="dxa"/>
              <w:left w:w="110" w:type="dxa"/>
              <w:bottom w:w="100" w:type="dxa"/>
              <w:right w:w="110" w:type="dxa"/>
            </w:tcMar>
            <w:vAlign w:val="center"/>
          </w:tcPr>
          <w:p w14:paraId="77CEF1C8">
            <w:r>
              <w:t>2 月/8 周培养未转阴或培养转阴时间；全因死亡；治疗结束时肺功能或呼吸症状负担；治疗中断与失访单独报告。</w:t>
            </w:r>
          </w:p>
        </w:tc>
      </w:tr>
      <w:tr w14:paraId="66623E05">
        <w:tblPrEx>
          <w:tblCellMar>
            <w:top w:w="0" w:type="dxa"/>
            <w:left w:w="108" w:type="dxa"/>
            <w:bottom w:w="0" w:type="dxa"/>
            <w:right w:w="108" w:type="dxa"/>
          </w:tblCellMar>
        </w:tblPrEx>
        <w:trPr>
          <w:jc w:val="center"/>
        </w:trPr>
        <w:tc>
          <w:tcPr>
            <w:tcW w:w="1883" w:type="dxa"/>
            <w:shd w:val="clear" w:color="auto" w:fill="F4F8FB"/>
            <w:tcMar>
              <w:top w:w="100" w:type="dxa"/>
              <w:left w:w="110" w:type="dxa"/>
              <w:bottom w:w="100" w:type="dxa"/>
              <w:right w:w="110" w:type="dxa"/>
            </w:tcMar>
            <w:vAlign w:val="center"/>
          </w:tcPr>
          <w:p w14:paraId="6AE6D9F9">
            <w:pPr>
              <w:jc w:val="center"/>
            </w:pPr>
            <w:r>
              <w:rPr>
                <w:rFonts w:ascii="Arial" w:hAnsi="Arial" w:eastAsia="微软雅黑"/>
                <w:b/>
                <w:i w:val="0"/>
                <w:color w:val="1F4E79"/>
                <w:sz w:val="21"/>
              </w:rPr>
              <w:t>主统计策略</w:t>
            </w:r>
          </w:p>
        </w:tc>
        <w:tc>
          <w:tcPr>
            <w:tcW w:w="8089" w:type="dxa"/>
            <w:shd w:val="clear" w:color="auto" w:fill="F4F8FB"/>
            <w:tcMar>
              <w:top w:w="100" w:type="dxa"/>
              <w:left w:w="110" w:type="dxa"/>
              <w:bottom w:w="100" w:type="dxa"/>
              <w:right w:w="110" w:type="dxa"/>
            </w:tcMar>
            <w:vAlign w:val="center"/>
          </w:tcPr>
          <w:p w14:paraId="255F3863">
            <w:r>
              <w:t>多水平 Cox/Fine-Gray 模型；主模型纳入 PLI（连续样条）+ 空洞 + PLI×空洞交互项；四象限用于临床解释；另预设“影像 + 基线菌量”联合次级模型。</w:t>
            </w:r>
          </w:p>
        </w:tc>
      </w:tr>
      <w:tr w14:paraId="5615E558">
        <w:tblPrEx>
          <w:tblCellMar>
            <w:top w:w="0" w:type="dxa"/>
            <w:left w:w="108" w:type="dxa"/>
            <w:bottom w:w="0" w:type="dxa"/>
            <w:right w:w="108" w:type="dxa"/>
          </w:tblCellMar>
        </w:tblPrEx>
        <w:trPr>
          <w:jc w:val="center"/>
        </w:trPr>
        <w:tc>
          <w:tcPr>
            <w:tcW w:w="1883" w:type="dxa"/>
            <w:tcMar>
              <w:top w:w="100" w:type="dxa"/>
              <w:left w:w="110" w:type="dxa"/>
              <w:bottom w:w="100" w:type="dxa"/>
              <w:right w:w="110" w:type="dxa"/>
            </w:tcMar>
            <w:vAlign w:val="center"/>
          </w:tcPr>
          <w:p w14:paraId="0F7B888C">
            <w:pPr>
              <w:jc w:val="center"/>
            </w:pPr>
            <w:r>
              <w:rPr>
                <w:rFonts w:ascii="Arial" w:hAnsi="Arial" w:eastAsia="微软雅黑"/>
                <w:b/>
                <w:i w:val="0"/>
                <w:color w:val="1F4E79"/>
                <w:sz w:val="21"/>
              </w:rPr>
              <w:t>最佳实施条件</w:t>
            </w:r>
          </w:p>
        </w:tc>
        <w:tc>
          <w:tcPr>
            <w:tcW w:w="8089" w:type="dxa"/>
            <w:tcMar>
              <w:top w:w="100" w:type="dxa"/>
              <w:left w:w="110" w:type="dxa"/>
              <w:bottom w:w="100" w:type="dxa"/>
              <w:right w:w="110" w:type="dxa"/>
            </w:tcMar>
            <w:vAlign w:val="center"/>
          </w:tcPr>
          <w:p w14:paraId="2B6583A4">
            <w:r>
              <w:t>统一治疗方案、统一菌学监测节奏、统一胸片 SOP、中央双阅片与第三阅片裁决、预先定义失访与复发判定规则。</w:t>
            </w:r>
          </w:p>
        </w:tc>
      </w:tr>
      <w:tr w14:paraId="366E06CD">
        <w:tblPrEx>
          <w:tblCellMar>
            <w:top w:w="0" w:type="dxa"/>
            <w:left w:w="108" w:type="dxa"/>
            <w:bottom w:w="0" w:type="dxa"/>
            <w:right w:w="108" w:type="dxa"/>
          </w:tblCellMar>
        </w:tblPrEx>
        <w:trPr>
          <w:jc w:val="center"/>
        </w:trPr>
        <w:tc>
          <w:tcPr>
            <w:tcW w:w="1883" w:type="dxa"/>
            <w:tcMar>
              <w:top w:w="100" w:type="dxa"/>
              <w:left w:w="110" w:type="dxa"/>
              <w:bottom w:w="100" w:type="dxa"/>
              <w:right w:w="110" w:type="dxa"/>
            </w:tcMar>
            <w:vAlign w:val="center"/>
          </w:tcPr>
          <w:p w14:paraId="7005762E">
            <w:pPr>
              <w:jc w:val="center"/>
              <w:rPr>
                <w:rFonts w:ascii="Arial" w:hAnsi="Arial" w:eastAsia="微软雅黑"/>
                <w:b/>
                <w:i w:val="0"/>
                <w:color w:val="1F4E79"/>
                <w:sz w:val="21"/>
              </w:rPr>
            </w:pPr>
            <w:r>
              <w:rPr>
                <w:rFonts w:ascii="Arial" w:hAnsi="Arial" w:eastAsia="微软雅黑"/>
                <w:b/>
                <w:i w:val="0"/>
                <w:color w:val="1F4E79"/>
                <w:sz w:val="21"/>
              </w:rPr>
              <w:t>角色声明</w:t>
            </w:r>
          </w:p>
        </w:tc>
        <w:tc>
          <w:tcPr>
            <w:tcW w:w="8089" w:type="dxa"/>
            <w:tcMar>
              <w:top w:w="100" w:type="dxa"/>
              <w:left w:w="110" w:type="dxa"/>
              <w:bottom w:w="100" w:type="dxa"/>
              <w:right w:w="110" w:type="dxa"/>
            </w:tcMar>
            <w:vAlign w:val="center"/>
          </w:tcPr>
          <w:p w14:paraId="677FEE2A">
            <w:r>
              <w:rPr>
                <w:rFonts w:hint="eastAsia"/>
              </w:rPr>
              <w:t>本子研究中的 CXR 二维框架属于 research exposure framework，用于解释和量化基线影像表型的预后意义；TDSC 母研究的实时分层、队列分配和随机化仍按 SOP01 的操作性规则执行。换言之，本子研究不回溯改变母研究的轻症/重症归类，也不作为实时治疗分配依据。</w:t>
            </w:r>
          </w:p>
        </w:tc>
      </w:tr>
    </w:tbl>
    <w:p w14:paraId="1B841E3D">
      <w:pPr>
        <w:pStyle w:val="166"/>
      </w:pPr>
      <w:r>
        <w:rPr>
          <w:rFonts w:ascii="Arial" w:hAnsi="Arial" w:eastAsia="微软雅黑"/>
          <w:b/>
          <w:i w:val="0"/>
          <w:color w:val="1F4E79"/>
          <w:sz w:val="28"/>
        </w:rPr>
        <w:t>3 研究目的与假设</w:t>
      </w:r>
    </w:p>
    <w:p w14:paraId="0F2D58E1">
      <w:pPr>
        <w:pStyle w:val="167"/>
      </w:pPr>
      <w:r>
        <w:rPr>
          <w:rFonts w:ascii="Arial" w:hAnsi="Arial" w:eastAsia="微软雅黑"/>
          <w:b/>
          <w:i w:val="0"/>
          <w:color w:val="1F4E79"/>
          <w:sz w:val="23"/>
        </w:rPr>
        <w:t>主要目的</w:t>
      </w:r>
    </w:p>
    <w:p w14:paraId="3B004C79">
      <w:r>
        <w:t>在标准化治疗路径下，比较“PLI 高、无空洞”与“PLI 低、有空洞”两类患者发生细菌学不良结局的风险差异，并评估这两类表型是否代表不同的风险通道。</w:t>
      </w:r>
    </w:p>
    <w:p w14:paraId="54A31AD0">
      <w:pPr>
        <w:pStyle w:val="167"/>
      </w:pPr>
      <w:r>
        <w:rPr>
          <w:rFonts w:ascii="Arial" w:hAnsi="Arial" w:eastAsia="微软雅黑"/>
          <w:b/>
          <w:i w:val="0"/>
          <w:color w:val="1F4E79"/>
          <w:sz w:val="23"/>
        </w:rPr>
        <w:t>次要目的 1</w:t>
      </w:r>
    </w:p>
    <w:p w14:paraId="6721108E">
      <w:r>
        <w:t>评估 PLI 作为连续变量时，与空洞之间是否存在交互作用，以及在加入常规临床变量和基线菌负荷指标（涂片分级和/或 Xpert Ct）后，PLI、空洞及其交互项是否提供增量预测价值。</w:t>
      </w:r>
    </w:p>
    <w:p w14:paraId="5D86B2C3">
      <w:pPr>
        <w:pStyle w:val="167"/>
      </w:pPr>
      <w:r>
        <w:rPr>
          <w:rFonts w:ascii="Arial" w:hAnsi="Arial" w:eastAsia="微软雅黑"/>
          <w:b/>
          <w:i w:val="0"/>
          <w:color w:val="1F4E79"/>
          <w:sz w:val="23"/>
        </w:rPr>
        <w:t>次要目的 2</w:t>
      </w:r>
    </w:p>
    <w:p w14:paraId="4F8E2510">
      <w:r>
        <w:t>比较四个影像象限（低/无、低/有、高/无、高/有）的事件谱与风险排序，形成临床可推广的二维影像分层规则，并为后续分层内治疗策略研究提供依据。</w:t>
      </w:r>
    </w:p>
    <w:p w14:paraId="65ACC09D">
      <w:pPr>
        <w:pStyle w:val="167"/>
      </w:pPr>
      <w:r>
        <w:rPr>
          <w:rFonts w:ascii="Arial" w:hAnsi="Arial" w:eastAsia="微软雅黑"/>
          <w:b/>
          <w:i w:val="0"/>
          <w:color w:val="1F4E79"/>
          <w:sz w:val="23"/>
        </w:rPr>
        <w:t>工作假设</w:t>
      </w:r>
    </w:p>
    <w:p w14:paraId="6D9919D3">
      <w:r>
        <w:t>空洞更可能关联细菌学持续阳性、治疗失败和复发；高 PLI 更可能关联总体疾病负担、死亡和功能受损。单纯把二者相加为一个总分，可能掩盖两类风险通道的差异。本研究关注的是预后分层与风险异质性，而不是脱离治疗背景的自然病程因果推断。</w:t>
      </w:r>
    </w:p>
    <w:p w14:paraId="5D66828C">
      <w:r>
        <w:rPr>
          <w:b/>
        </w:rPr>
        <w:t>研究问题表述与估计目标（建议新增）</w:t>
      </w:r>
    </w:p>
    <w:p w14:paraId="4E12C2FA">
      <w:r>
        <w:t>本研究的主要 estimand 为：在预设标准化治疗算法、菌学监测和随访管理条件下，基线 CXR 影像表型不同的受试者在 12 个月细菌学不良结局上的风险差异。正式解释时，不将该差异表述为脱离治疗影响的自然病程因果效应，而将其界定为标准化治疗背景下的预后差异与风险分层价值。</w:t>
      </w:r>
    </w:p>
    <w:p w14:paraId="2DA31CD2">
      <w:pPr>
        <w:pStyle w:val="166"/>
      </w:pPr>
      <w:r>
        <w:rPr>
          <w:rFonts w:ascii="Arial" w:hAnsi="Arial" w:eastAsia="微软雅黑"/>
          <w:b/>
          <w:i w:val="0"/>
          <w:color w:val="1F4E79"/>
          <w:sz w:val="28"/>
        </w:rPr>
        <w:t>4 研究对象、暴露定义与影像学流程</w:t>
      </w:r>
    </w:p>
    <w:p w14:paraId="645500E7">
      <w:pPr>
        <w:pStyle w:val="167"/>
      </w:pPr>
      <w:r>
        <w:rPr>
          <w:rFonts w:ascii="Arial" w:hAnsi="Arial" w:eastAsia="微软雅黑"/>
          <w:b/>
          <w:i w:val="0"/>
          <w:color w:val="1F4E79"/>
          <w:sz w:val="23"/>
        </w:rPr>
        <w:t>4.1 纳入建议</w:t>
      </w:r>
    </w:p>
    <w:p w14:paraId="5467BB67">
      <w:r>
        <w:t>（1）年龄 ≥18 岁；（2）肺结核并开始标准化抗结核治疗，主研究优先纳入病原学证实病例；若纳入临床诊断病例，需预设分层或敏感性分析；（3）治疗起始前 7 天至起始后 14 天内完成基线 CXR；（4）有可判读的基线影像；（5）有可追踪的菌学与随访资料。</w:t>
      </w:r>
    </w:p>
    <w:p w14:paraId="33E350A2">
      <w:pPr>
        <w:pStyle w:val="167"/>
      </w:pPr>
      <w:r>
        <w:rPr>
          <w:rFonts w:ascii="Arial" w:hAnsi="Arial" w:eastAsia="微软雅黑"/>
          <w:b/>
          <w:i w:val="0"/>
          <w:color w:val="1F4E79"/>
          <w:sz w:val="23"/>
        </w:rPr>
        <w:t>4.2 排除建议</w:t>
      </w:r>
    </w:p>
    <w:p w14:paraId="3C5988A4">
      <w:r>
        <w:t>（1）仅有胸部 CT 而无基线 CXR；（2）既往完成抗结核治疗后再次登记但缺乏可追溯病程信息；（3）基线影像无法判读；（4）合并显著改变胸片解释的疾病且无法分辨（如大面积肿瘤、广泛真菌感染等）；（5）基线治疗路径高度异质且无法归并入预设治疗算法。</w:t>
      </w:r>
    </w:p>
    <w:p w14:paraId="6DA34C4A">
      <w:pPr>
        <w:pStyle w:val="167"/>
      </w:pPr>
      <w:r>
        <w:rPr>
          <w:rFonts w:ascii="Arial" w:hAnsi="Arial" w:eastAsia="微软雅黑"/>
          <w:b/>
          <w:i w:val="0"/>
          <w:color w:val="1F4E79"/>
          <w:sz w:val="23"/>
        </w:rPr>
        <w:t>4.3 影像学主原则</w:t>
      </w:r>
    </w:p>
    <w:p w14:paraId="5A2D0256">
      <w:r>
        <w:rPr>
          <w:rFonts w:hint="eastAsia" w:ascii="Arial" w:hAnsi="Arial" w:eastAsia="微软雅黑"/>
          <w:b w:val="0"/>
          <w:i w:val="0"/>
          <w:sz w:val="21"/>
        </w:rPr>
        <w:t>主分析只使用基线 CXR，不将 CT 与 CXR 混合成同一严重度变量。若中心同时完成 CT 检查，CT 数据可作为独立第二嵌套子研究或探索性补充来源，用于评估其相对 CXR 二维框架的增量信息，但不替代 CXR 主分析，也不介入母研究实时分层、随机化或停药资格判定。</w:t>
      </w:r>
    </w:p>
    <w:p w14:paraId="22458E5B">
      <w:pPr>
        <w:pStyle w:val="167"/>
      </w:pPr>
      <w:r>
        <w:rPr>
          <w:rFonts w:ascii="Arial" w:hAnsi="Arial" w:eastAsia="微软雅黑"/>
          <w:b/>
          <w:i w:val="0"/>
          <w:color w:val="1F4E79"/>
          <w:sz w:val="23"/>
        </w:rPr>
        <w:t>4.4 PLI 测量方式</w:t>
      </w:r>
    </w:p>
    <w:p w14:paraId="2992526D">
      <w:r>
        <w:rPr>
          <w:rFonts w:ascii="Arial" w:hAnsi="Arial" w:eastAsia="微软雅黑"/>
          <w:b w:val="0"/>
          <w:i w:val="0"/>
          <w:sz w:val="21"/>
        </w:rPr>
        <w:t>建议采用六分区半定量法录入：左右肺各分上、中、下三区，每区选择 0、1–25%、26–50%、51–75%、76–100%，由 EDC 自动换算为总 PLI。</w:t>
      </w:r>
    </w:p>
    <w:p w14:paraId="65577C73">
      <w:pPr>
        <w:pStyle w:val="167"/>
      </w:pPr>
      <w:r>
        <w:rPr>
          <w:rFonts w:ascii="Arial" w:hAnsi="Arial" w:eastAsia="微软雅黑"/>
          <w:b/>
          <w:i w:val="0"/>
          <w:color w:val="1F4E79"/>
          <w:sz w:val="23"/>
        </w:rPr>
        <w:t>4.5 空洞判定</w:t>
      </w:r>
    </w:p>
    <w:p w14:paraId="5FEFB8FE">
      <w:r>
        <w:t>空洞由分中心研究医生初判为“有/无/可疑”，所有可疑病例与随机抽样病例进入中央复核。主分析变量为中央裁定结果；探索性变量进一步记录空洞数量、最大径（建议预设 &lt;4 cm / ≥4 cm）、是否双侧以及单发/多发，以便后续评估“空洞负荷”是否比单纯有/无更具信息量。</w:t>
      </w:r>
    </w:p>
    <w:p w14:paraId="06EEB26A">
      <w:pPr>
        <w:pStyle w:val="167"/>
      </w:pPr>
      <w:r>
        <w:rPr>
          <w:rFonts w:ascii="Arial" w:hAnsi="Arial" w:eastAsia="微软雅黑"/>
          <w:b/>
          <w:i w:val="0"/>
          <w:color w:val="1F4E79"/>
          <w:sz w:val="23"/>
        </w:rPr>
        <w:t>4.6 四象限框架</w:t>
      </w:r>
    </w:p>
    <w:p w14:paraId="29D9CEA3">
      <w:r>
        <w:t>主阈值建议暂采用 PLI 25% 作为临床解释框架，而非唯一主分析定义：A 组=PLI≤25%且无空洞；B 组=PLI≤25%且有空洞；C 组=PLI&gt;25%且无空洞；D 组=PLI&gt;25%且有空洞。主比较为 C 组 vs B 组；A、D 两组用于完整排序、模型校准与临床解释。另预设 PLI 50% 的敏感性分析。</w:t>
      </w:r>
    </w:p>
    <w:tbl>
      <w:tblPr>
        <w:tblStyle w:val="32"/>
        <w:tblW w:w="0" w:type="auto"/>
        <w:jc w:val="center"/>
        <w:tblLayout w:type="fixed"/>
        <w:tblCellMar>
          <w:top w:w="0" w:type="dxa"/>
          <w:left w:w="108" w:type="dxa"/>
          <w:bottom w:w="0" w:type="dxa"/>
          <w:right w:w="108" w:type="dxa"/>
        </w:tblCellMar>
      </w:tblPr>
      <w:tblGrid>
        <w:gridCol w:w="2493"/>
        <w:gridCol w:w="2493"/>
        <w:gridCol w:w="2493"/>
        <w:gridCol w:w="2493"/>
      </w:tblGrid>
      <w:tr w14:paraId="4DDB5578">
        <w:tblPrEx>
          <w:tblCellMar>
            <w:top w:w="0" w:type="dxa"/>
            <w:left w:w="108" w:type="dxa"/>
            <w:bottom w:w="0" w:type="dxa"/>
            <w:right w:w="108" w:type="dxa"/>
          </w:tblCellMar>
        </w:tblPrEx>
        <w:trPr>
          <w:tblHeader/>
          <w:jc w:val="center"/>
        </w:trPr>
        <w:tc>
          <w:tcPr>
            <w:tcW w:w="1701" w:type="dxa"/>
            <w:shd w:val="clear" w:color="auto" w:fill="D9EAF7"/>
            <w:tcMar>
              <w:top w:w="100" w:type="dxa"/>
              <w:left w:w="100" w:type="dxa"/>
              <w:bottom w:w="100" w:type="dxa"/>
              <w:right w:w="100" w:type="dxa"/>
            </w:tcMar>
          </w:tcPr>
          <w:p w14:paraId="2E37EF3E">
            <w:pPr>
              <w:jc w:val="center"/>
            </w:pPr>
            <w:r>
              <w:rPr>
                <w:rFonts w:ascii="Arial" w:hAnsi="Arial" w:eastAsia="微软雅黑"/>
                <w:b/>
                <w:i w:val="0"/>
                <w:color w:val="1F4E79"/>
                <w:sz w:val="20"/>
              </w:rPr>
              <w:t>组别</w:t>
            </w:r>
          </w:p>
        </w:tc>
        <w:tc>
          <w:tcPr>
            <w:tcW w:w="1928" w:type="dxa"/>
            <w:shd w:val="clear" w:color="auto" w:fill="D9EAF7"/>
            <w:tcMar>
              <w:top w:w="100" w:type="dxa"/>
              <w:left w:w="100" w:type="dxa"/>
              <w:bottom w:w="100" w:type="dxa"/>
              <w:right w:w="100" w:type="dxa"/>
            </w:tcMar>
          </w:tcPr>
          <w:p w14:paraId="11C61C7E">
            <w:pPr>
              <w:jc w:val="center"/>
            </w:pPr>
            <w:r>
              <w:rPr>
                <w:rFonts w:ascii="Arial" w:hAnsi="Arial" w:eastAsia="微软雅黑"/>
                <w:b/>
                <w:i w:val="0"/>
                <w:color w:val="1F4E79"/>
                <w:sz w:val="20"/>
              </w:rPr>
              <w:t>定义</w:t>
            </w:r>
          </w:p>
        </w:tc>
        <w:tc>
          <w:tcPr>
            <w:tcW w:w="2721" w:type="dxa"/>
            <w:shd w:val="clear" w:color="auto" w:fill="D9EAF7"/>
            <w:tcMar>
              <w:top w:w="100" w:type="dxa"/>
              <w:left w:w="100" w:type="dxa"/>
              <w:bottom w:w="100" w:type="dxa"/>
              <w:right w:w="100" w:type="dxa"/>
            </w:tcMar>
          </w:tcPr>
          <w:p w14:paraId="7F0530FF">
            <w:pPr>
              <w:jc w:val="center"/>
            </w:pPr>
            <w:r>
              <w:rPr>
                <w:rFonts w:ascii="Arial" w:hAnsi="Arial" w:eastAsia="微软雅黑"/>
                <w:b/>
                <w:i w:val="0"/>
                <w:color w:val="1F4E79"/>
                <w:sz w:val="20"/>
              </w:rPr>
              <w:t>研究角色</w:t>
            </w:r>
          </w:p>
        </w:tc>
        <w:tc>
          <w:tcPr>
            <w:tcW w:w="3061" w:type="dxa"/>
            <w:shd w:val="clear" w:color="auto" w:fill="D9EAF7"/>
            <w:tcMar>
              <w:top w:w="100" w:type="dxa"/>
              <w:left w:w="100" w:type="dxa"/>
              <w:bottom w:w="100" w:type="dxa"/>
              <w:right w:w="100" w:type="dxa"/>
            </w:tcMar>
          </w:tcPr>
          <w:p w14:paraId="3DA116D6">
            <w:pPr>
              <w:jc w:val="center"/>
            </w:pPr>
            <w:r>
              <w:rPr>
                <w:rFonts w:ascii="Arial" w:hAnsi="Arial" w:eastAsia="微软雅黑"/>
                <w:b/>
                <w:i w:val="0"/>
                <w:color w:val="1F4E79"/>
                <w:sz w:val="20"/>
              </w:rPr>
              <w:t>预期临床含义</w:t>
            </w:r>
          </w:p>
        </w:tc>
      </w:tr>
      <w:tr w14:paraId="10B76232">
        <w:tblPrEx>
          <w:tblCellMar>
            <w:top w:w="0" w:type="dxa"/>
            <w:left w:w="108" w:type="dxa"/>
            <w:bottom w:w="0" w:type="dxa"/>
            <w:right w:w="108" w:type="dxa"/>
          </w:tblCellMar>
        </w:tblPrEx>
        <w:trPr>
          <w:jc w:val="center"/>
        </w:trPr>
        <w:tc>
          <w:tcPr>
            <w:tcW w:w="1701" w:type="dxa"/>
            <w:shd w:val="clear" w:color="auto" w:fill="F8FBFD"/>
            <w:tcMar>
              <w:top w:w="100" w:type="dxa"/>
              <w:left w:w="100" w:type="dxa"/>
              <w:bottom w:w="100" w:type="dxa"/>
              <w:right w:w="100" w:type="dxa"/>
            </w:tcMar>
          </w:tcPr>
          <w:p w14:paraId="29EB24BD">
            <w:pPr>
              <w:jc w:val="center"/>
            </w:pPr>
            <w:r>
              <w:rPr>
                <w:rFonts w:ascii="Arial" w:hAnsi="Arial" w:eastAsia="微软雅黑"/>
                <w:b/>
                <w:i w:val="0"/>
                <w:sz w:val="20"/>
              </w:rPr>
              <w:t>A 参考低危</w:t>
            </w:r>
          </w:p>
        </w:tc>
        <w:tc>
          <w:tcPr>
            <w:tcW w:w="1928" w:type="dxa"/>
            <w:shd w:val="clear" w:color="auto" w:fill="F8FBFD"/>
            <w:tcMar>
              <w:top w:w="100" w:type="dxa"/>
              <w:left w:w="100" w:type="dxa"/>
              <w:bottom w:w="100" w:type="dxa"/>
              <w:right w:w="100" w:type="dxa"/>
            </w:tcMar>
          </w:tcPr>
          <w:p w14:paraId="15CD0B80">
            <w:pPr>
              <w:jc w:val="center"/>
            </w:pPr>
            <w:r>
              <w:rPr>
                <w:rFonts w:ascii="Arial" w:hAnsi="Arial" w:eastAsia="微软雅黑"/>
                <w:b w:val="0"/>
                <w:i w:val="0"/>
                <w:sz w:val="20"/>
              </w:rPr>
              <w:t>PLI≤25%，无空洞</w:t>
            </w:r>
          </w:p>
        </w:tc>
        <w:tc>
          <w:tcPr>
            <w:tcW w:w="2721" w:type="dxa"/>
            <w:shd w:val="clear" w:color="auto" w:fill="F8FBFD"/>
            <w:tcMar>
              <w:top w:w="100" w:type="dxa"/>
              <w:left w:w="100" w:type="dxa"/>
              <w:bottom w:w="100" w:type="dxa"/>
              <w:right w:w="100" w:type="dxa"/>
            </w:tcMar>
          </w:tcPr>
          <w:p w14:paraId="47C607CA">
            <w:r>
              <w:rPr>
                <w:rFonts w:ascii="Arial" w:hAnsi="Arial" w:eastAsia="微软雅黑"/>
                <w:b w:val="0"/>
                <w:i w:val="0"/>
                <w:sz w:val="20"/>
              </w:rPr>
              <w:t>参考组</w:t>
            </w:r>
          </w:p>
        </w:tc>
        <w:tc>
          <w:tcPr>
            <w:tcW w:w="3061" w:type="dxa"/>
            <w:shd w:val="clear" w:color="auto" w:fill="F8FBFD"/>
            <w:tcMar>
              <w:top w:w="100" w:type="dxa"/>
              <w:left w:w="100" w:type="dxa"/>
              <w:bottom w:w="100" w:type="dxa"/>
              <w:right w:w="100" w:type="dxa"/>
            </w:tcMar>
          </w:tcPr>
          <w:p w14:paraId="652D1DFD">
            <w:r>
              <w:rPr>
                <w:rFonts w:ascii="Arial" w:hAnsi="Arial" w:eastAsia="微软雅黑"/>
                <w:b w:val="0"/>
                <w:i w:val="0"/>
                <w:sz w:val="20"/>
              </w:rPr>
              <w:t>病灶范围小，表型也低危</w:t>
            </w:r>
          </w:p>
        </w:tc>
      </w:tr>
      <w:tr w14:paraId="3CFEEF73">
        <w:tblPrEx>
          <w:tblCellMar>
            <w:top w:w="0" w:type="dxa"/>
            <w:left w:w="108" w:type="dxa"/>
            <w:bottom w:w="0" w:type="dxa"/>
            <w:right w:w="108" w:type="dxa"/>
          </w:tblCellMar>
        </w:tblPrEx>
        <w:trPr>
          <w:jc w:val="center"/>
        </w:trPr>
        <w:tc>
          <w:tcPr>
            <w:tcW w:w="1701" w:type="dxa"/>
            <w:tcMar>
              <w:top w:w="100" w:type="dxa"/>
              <w:left w:w="100" w:type="dxa"/>
              <w:bottom w:w="100" w:type="dxa"/>
              <w:right w:w="100" w:type="dxa"/>
            </w:tcMar>
          </w:tcPr>
          <w:p w14:paraId="43AE2D45">
            <w:pPr>
              <w:jc w:val="center"/>
            </w:pPr>
            <w:r>
              <w:rPr>
                <w:rFonts w:ascii="Arial" w:hAnsi="Arial" w:eastAsia="微软雅黑"/>
                <w:b/>
                <w:i w:val="0"/>
                <w:sz w:val="20"/>
              </w:rPr>
              <w:t>B 关键比较组 1</w:t>
            </w:r>
          </w:p>
        </w:tc>
        <w:tc>
          <w:tcPr>
            <w:tcW w:w="1928" w:type="dxa"/>
            <w:tcMar>
              <w:top w:w="100" w:type="dxa"/>
              <w:left w:w="100" w:type="dxa"/>
              <w:bottom w:w="100" w:type="dxa"/>
              <w:right w:w="100" w:type="dxa"/>
            </w:tcMar>
          </w:tcPr>
          <w:p w14:paraId="2D6322B7">
            <w:pPr>
              <w:jc w:val="center"/>
            </w:pPr>
            <w:r>
              <w:rPr>
                <w:rFonts w:ascii="Arial" w:hAnsi="Arial" w:eastAsia="微软雅黑"/>
                <w:b w:val="0"/>
                <w:i w:val="0"/>
                <w:sz w:val="20"/>
              </w:rPr>
              <w:t>PLI≤25%，有空洞</w:t>
            </w:r>
          </w:p>
        </w:tc>
        <w:tc>
          <w:tcPr>
            <w:tcW w:w="2721" w:type="dxa"/>
            <w:tcMar>
              <w:top w:w="100" w:type="dxa"/>
              <w:left w:w="100" w:type="dxa"/>
              <w:bottom w:w="100" w:type="dxa"/>
              <w:right w:w="100" w:type="dxa"/>
            </w:tcMar>
          </w:tcPr>
          <w:p w14:paraId="3E154785">
            <w:r>
              <w:t>关键解释组</w:t>
            </w:r>
          </w:p>
        </w:tc>
        <w:tc>
          <w:tcPr>
            <w:tcW w:w="3061" w:type="dxa"/>
            <w:tcMar>
              <w:top w:w="100" w:type="dxa"/>
              <w:left w:w="100" w:type="dxa"/>
              <w:bottom w:w="100" w:type="dxa"/>
              <w:right w:w="100" w:type="dxa"/>
            </w:tcMar>
          </w:tcPr>
          <w:p w14:paraId="5013D978">
            <w:r>
              <w:rPr>
                <w:rFonts w:ascii="Arial" w:hAnsi="Arial" w:eastAsia="微软雅黑"/>
                <w:b w:val="0"/>
                <w:i w:val="0"/>
                <w:sz w:val="20"/>
              </w:rPr>
              <w:t>范围不大，但存在空洞生态位；更偏向细菌学持续与复发风险</w:t>
            </w:r>
          </w:p>
        </w:tc>
      </w:tr>
      <w:tr w14:paraId="5449E113">
        <w:tblPrEx>
          <w:tblCellMar>
            <w:top w:w="0" w:type="dxa"/>
            <w:left w:w="108" w:type="dxa"/>
            <w:bottom w:w="0" w:type="dxa"/>
            <w:right w:w="108" w:type="dxa"/>
          </w:tblCellMar>
        </w:tblPrEx>
        <w:trPr>
          <w:jc w:val="center"/>
        </w:trPr>
        <w:tc>
          <w:tcPr>
            <w:tcW w:w="1701" w:type="dxa"/>
            <w:shd w:val="clear" w:color="auto" w:fill="F8FBFD"/>
            <w:tcMar>
              <w:top w:w="100" w:type="dxa"/>
              <w:left w:w="100" w:type="dxa"/>
              <w:bottom w:w="100" w:type="dxa"/>
              <w:right w:w="100" w:type="dxa"/>
            </w:tcMar>
          </w:tcPr>
          <w:p w14:paraId="6EA6EF0B">
            <w:pPr>
              <w:jc w:val="center"/>
            </w:pPr>
            <w:r>
              <w:rPr>
                <w:rFonts w:ascii="Arial" w:hAnsi="Arial" w:eastAsia="微软雅黑"/>
                <w:b/>
                <w:i w:val="0"/>
                <w:sz w:val="20"/>
              </w:rPr>
              <w:t>C 关键比较组 2</w:t>
            </w:r>
          </w:p>
        </w:tc>
        <w:tc>
          <w:tcPr>
            <w:tcW w:w="1928" w:type="dxa"/>
            <w:shd w:val="clear" w:color="auto" w:fill="F8FBFD"/>
            <w:tcMar>
              <w:top w:w="100" w:type="dxa"/>
              <w:left w:w="100" w:type="dxa"/>
              <w:bottom w:w="100" w:type="dxa"/>
              <w:right w:w="100" w:type="dxa"/>
            </w:tcMar>
          </w:tcPr>
          <w:p w14:paraId="6253DCC5">
            <w:pPr>
              <w:jc w:val="center"/>
            </w:pPr>
            <w:r>
              <w:rPr>
                <w:rFonts w:ascii="Arial" w:hAnsi="Arial" w:eastAsia="微软雅黑"/>
                <w:b w:val="0"/>
                <w:i w:val="0"/>
                <w:sz w:val="20"/>
              </w:rPr>
              <w:t>PLI&gt;25%，无空洞</w:t>
            </w:r>
          </w:p>
        </w:tc>
        <w:tc>
          <w:tcPr>
            <w:tcW w:w="2721" w:type="dxa"/>
            <w:shd w:val="clear" w:color="auto" w:fill="F8FBFD"/>
            <w:tcMar>
              <w:top w:w="100" w:type="dxa"/>
              <w:left w:w="100" w:type="dxa"/>
              <w:bottom w:w="100" w:type="dxa"/>
              <w:right w:w="100" w:type="dxa"/>
            </w:tcMar>
          </w:tcPr>
          <w:p w14:paraId="273A687A">
            <w:r>
              <w:t>关键解释组</w:t>
            </w:r>
          </w:p>
        </w:tc>
        <w:tc>
          <w:tcPr>
            <w:tcW w:w="3061" w:type="dxa"/>
            <w:shd w:val="clear" w:color="auto" w:fill="F8FBFD"/>
            <w:tcMar>
              <w:top w:w="100" w:type="dxa"/>
              <w:left w:w="100" w:type="dxa"/>
              <w:bottom w:w="100" w:type="dxa"/>
              <w:right w:w="100" w:type="dxa"/>
            </w:tcMar>
          </w:tcPr>
          <w:p w14:paraId="5DC80732">
            <w:r>
              <w:rPr>
                <w:rFonts w:ascii="Arial" w:hAnsi="Arial" w:eastAsia="微软雅黑"/>
                <w:b w:val="0"/>
                <w:i w:val="0"/>
                <w:sz w:val="20"/>
              </w:rPr>
              <w:t>病灶范围更大，但无空洞；更偏向总体病负荷与功能受损风险</w:t>
            </w:r>
          </w:p>
        </w:tc>
      </w:tr>
      <w:tr w14:paraId="290E5475">
        <w:tblPrEx>
          <w:tblCellMar>
            <w:top w:w="0" w:type="dxa"/>
            <w:left w:w="108" w:type="dxa"/>
            <w:bottom w:w="0" w:type="dxa"/>
            <w:right w:w="108" w:type="dxa"/>
          </w:tblCellMar>
        </w:tblPrEx>
        <w:trPr>
          <w:jc w:val="center"/>
        </w:trPr>
        <w:tc>
          <w:tcPr>
            <w:tcW w:w="1701" w:type="dxa"/>
            <w:tcMar>
              <w:top w:w="100" w:type="dxa"/>
              <w:left w:w="100" w:type="dxa"/>
              <w:bottom w:w="100" w:type="dxa"/>
              <w:right w:w="100" w:type="dxa"/>
            </w:tcMar>
          </w:tcPr>
          <w:p w14:paraId="30E75264">
            <w:pPr>
              <w:jc w:val="center"/>
            </w:pPr>
            <w:r>
              <w:rPr>
                <w:rFonts w:ascii="Arial" w:hAnsi="Arial" w:eastAsia="微软雅黑"/>
                <w:b/>
                <w:i w:val="0"/>
                <w:sz w:val="20"/>
              </w:rPr>
              <w:t>D 参考高危</w:t>
            </w:r>
          </w:p>
        </w:tc>
        <w:tc>
          <w:tcPr>
            <w:tcW w:w="1928" w:type="dxa"/>
            <w:tcMar>
              <w:top w:w="100" w:type="dxa"/>
              <w:left w:w="100" w:type="dxa"/>
              <w:bottom w:w="100" w:type="dxa"/>
              <w:right w:w="100" w:type="dxa"/>
            </w:tcMar>
          </w:tcPr>
          <w:p w14:paraId="49443050">
            <w:pPr>
              <w:jc w:val="center"/>
            </w:pPr>
            <w:r>
              <w:rPr>
                <w:rFonts w:ascii="Arial" w:hAnsi="Arial" w:eastAsia="微软雅黑"/>
                <w:b w:val="0"/>
                <w:i w:val="0"/>
                <w:sz w:val="20"/>
              </w:rPr>
              <w:t>PLI&gt;25%，有空洞</w:t>
            </w:r>
          </w:p>
        </w:tc>
        <w:tc>
          <w:tcPr>
            <w:tcW w:w="2721" w:type="dxa"/>
            <w:tcMar>
              <w:top w:w="100" w:type="dxa"/>
              <w:left w:w="100" w:type="dxa"/>
              <w:bottom w:w="100" w:type="dxa"/>
              <w:right w:w="100" w:type="dxa"/>
            </w:tcMar>
          </w:tcPr>
          <w:p w14:paraId="0108F6AD">
            <w:r>
              <w:rPr>
                <w:rFonts w:ascii="Arial" w:hAnsi="Arial" w:eastAsia="微软雅黑"/>
                <w:b w:val="0"/>
                <w:i w:val="0"/>
                <w:sz w:val="20"/>
              </w:rPr>
              <w:t>高危锚定组</w:t>
            </w:r>
          </w:p>
        </w:tc>
        <w:tc>
          <w:tcPr>
            <w:tcW w:w="3061" w:type="dxa"/>
            <w:tcMar>
              <w:top w:w="100" w:type="dxa"/>
              <w:left w:w="100" w:type="dxa"/>
              <w:bottom w:w="100" w:type="dxa"/>
              <w:right w:w="100" w:type="dxa"/>
            </w:tcMar>
          </w:tcPr>
          <w:p w14:paraId="085F6970">
            <w:r>
              <w:rPr>
                <w:rFonts w:ascii="Arial" w:hAnsi="Arial" w:eastAsia="微软雅黑"/>
                <w:b w:val="0"/>
                <w:i w:val="0"/>
                <w:sz w:val="20"/>
              </w:rPr>
              <w:t>范围与表型同时高危，预期总体风险最高</w:t>
            </w:r>
          </w:p>
        </w:tc>
      </w:tr>
    </w:tbl>
    <w:p w14:paraId="35F25741">
      <w:pPr>
        <w:pStyle w:val="166"/>
      </w:pPr>
      <w:r>
        <w:rPr>
          <w:rFonts w:ascii="Arial" w:hAnsi="Arial" w:eastAsia="微软雅黑"/>
          <w:b/>
          <w:i w:val="0"/>
          <w:color w:val="1F4E79"/>
          <w:sz w:val="28"/>
        </w:rPr>
        <w:t>5 终点设置（最优建议）</w:t>
      </w:r>
    </w:p>
    <w:p w14:paraId="5D094EE3">
      <w:pPr>
        <w:pStyle w:val="167"/>
      </w:pPr>
      <w:r>
        <w:rPr>
          <w:rFonts w:ascii="Arial" w:hAnsi="Arial" w:eastAsia="微软雅黑"/>
          <w:b/>
          <w:i w:val="0"/>
          <w:color w:val="1F4E79"/>
          <w:sz w:val="23"/>
        </w:rPr>
        <w:t>主要终点</w:t>
      </w:r>
    </w:p>
    <w:p w14:paraId="2B35F1CD">
      <w:r>
        <w:t>建议采用两层定义：（A）严格主要终点：治疗失败，或完成治疗后 12 个月内出现病原学证实的复发/再发；（B）扩展主要终点：在（A）基础上纳入经独立 CEC 按预设标准裁定的 probable recurrent TB。正式主分析优先报告严格主要终点，扩展主要终点作为关键支持性分析。</w:t>
      </w:r>
    </w:p>
    <w:p w14:paraId="4467377B">
      <w:pPr>
        <w:pStyle w:val="167"/>
      </w:pPr>
      <w:r>
        <w:rPr>
          <w:rFonts w:ascii="Arial" w:hAnsi="Arial" w:eastAsia="微软雅黑"/>
          <w:b/>
          <w:i w:val="0"/>
          <w:color w:val="1F4E79"/>
          <w:sz w:val="23"/>
        </w:rPr>
        <w:t>关键次要终点 1</w:t>
      </w:r>
    </w:p>
    <w:p w14:paraId="54BFAEE0">
      <w:r>
        <w:rPr>
          <w:rFonts w:ascii="Arial" w:hAnsi="Arial" w:eastAsia="微软雅黑"/>
          <w:b w:val="0"/>
          <w:i w:val="0"/>
          <w:sz w:val="21"/>
        </w:rPr>
        <w:t>培养转阴时间；或在资源受限场景下采用 8 周/2 月培养未转阴作为二元终点。</w:t>
      </w:r>
    </w:p>
    <w:p w14:paraId="388DCE92">
      <w:pPr>
        <w:pStyle w:val="167"/>
      </w:pPr>
      <w:r>
        <w:rPr>
          <w:rFonts w:ascii="Arial" w:hAnsi="Arial" w:eastAsia="微软雅黑"/>
          <w:b/>
          <w:i w:val="0"/>
          <w:color w:val="1F4E79"/>
          <w:sz w:val="23"/>
        </w:rPr>
        <w:t>关键次要终点 2</w:t>
      </w:r>
    </w:p>
    <w:p w14:paraId="4446A2BA">
      <w:r>
        <w:t>全因死亡、TB 相关死亡；治疗中断与失访单独作为管理性/解释性结局报告。</w:t>
      </w:r>
    </w:p>
    <w:p w14:paraId="235B6441">
      <w:pPr>
        <w:pStyle w:val="167"/>
      </w:pPr>
      <w:r>
        <w:rPr>
          <w:rFonts w:ascii="Arial" w:hAnsi="Arial" w:eastAsia="微软雅黑"/>
          <w:b/>
          <w:i w:val="0"/>
          <w:color w:val="1F4E79"/>
          <w:sz w:val="23"/>
        </w:rPr>
        <w:t>关键次要终点 3</w:t>
      </w:r>
    </w:p>
    <w:p w14:paraId="52E30E46">
      <w:r>
        <w:rPr>
          <w:rFonts w:ascii="Arial" w:hAnsi="Arial" w:eastAsia="微软雅黑"/>
          <w:b w:val="0"/>
          <w:i w:val="0"/>
          <w:sz w:val="21"/>
        </w:rPr>
        <w:t>治疗结束时肺功能、呼吸症状负担或生活质量，以检验“大范围无空洞”患者是否在非细菌学维度上风险更高。</w:t>
      </w:r>
    </w:p>
    <w:p w14:paraId="51BBFAE2">
      <w:pPr>
        <w:pStyle w:val="167"/>
      </w:pPr>
      <w:r>
        <w:rPr>
          <w:rFonts w:ascii="Arial" w:hAnsi="Arial" w:eastAsia="微软雅黑"/>
          <w:b/>
          <w:i w:val="0"/>
          <w:color w:val="1F4E79"/>
          <w:sz w:val="23"/>
        </w:rPr>
        <w:t>探索性终点</w:t>
      </w:r>
    </w:p>
    <w:p w14:paraId="788A6B47">
      <w:r>
        <w:rPr>
          <w:rFonts w:ascii="Arial" w:hAnsi="Arial" w:eastAsia="微软雅黑"/>
          <w:b w:val="0"/>
          <w:i w:val="0"/>
          <w:sz w:val="21"/>
        </w:rPr>
        <w:t>分子再感染/复发鉴别（有条件中心）、空洞负担（数量/最大径/双侧）对主效应的增量价值。</w:t>
      </w:r>
    </w:p>
    <w:tbl>
      <w:tblPr>
        <w:tblStyle w:val="32"/>
        <w:tblW w:w="0" w:type="auto"/>
        <w:jc w:val="center"/>
        <w:tblLayout w:type="fixed"/>
        <w:tblCellMar>
          <w:top w:w="0" w:type="dxa"/>
          <w:left w:w="108" w:type="dxa"/>
          <w:bottom w:w="0" w:type="dxa"/>
          <w:right w:w="108" w:type="dxa"/>
        </w:tblCellMar>
      </w:tblPr>
      <w:tblGrid>
        <w:gridCol w:w="9411"/>
      </w:tblGrid>
      <w:tr w14:paraId="27838F7D">
        <w:tblPrEx>
          <w:tblCellMar>
            <w:top w:w="0" w:type="dxa"/>
            <w:left w:w="108" w:type="dxa"/>
            <w:bottom w:w="0" w:type="dxa"/>
            <w:right w:w="108" w:type="dxa"/>
          </w:tblCellMar>
        </w:tblPrEx>
        <w:trPr>
          <w:jc w:val="center"/>
        </w:trPr>
        <w:tc>
          <w:tcPr>
            <w:tcW w:w="9972" w:type="dxa"/>
            <w:shd w:val="clear" w:color="auto" w:fill="FFF4E5"/>
            <w:tcMar>
              <w:top w:w="120" w:type="dxa"/>
              <w:left w:w="140" w:type="dxa"/>
              <w:bottom w:w="120" w:type="dxa"/>
              <w:right w:w="140" w:type="dxa"/>
            </w:tcMar>
          </w:tcPr>
          <w:p w14:paraId="25B862EA">
            <w:r>
              <w:t>为什么主终点不直接用“死亡或综合不良结局”？</w:t>
            </w:r>
            <w:r>
              <w:br w:type="textWrapping"/>
            </w:r>
            <w:r>
              <w:t>因为当前科学问题的核心，是区分“病变范围”与“空洞表型”对细菌学持久性与复发的相对作用。若主终点过于宽泛，可能把不同风险通道混在一起，反而削弱机制解释力。死亡与功能受损保留为关键次要终点更合理；同时建议优先报告严格病原学主要终点。</w:t>
            </w:r>
          </w:p>
        </w:tc>
      </w:tr>
    </w:tbl>
    <w:p w14:paraId="765E7162">
      <w:pPr>
        <w:pStyle w:val="166"/>
      </w:pPr>
      <w:r>
        <w:rPr>
          <w:rFonts w:ascii="Arial" w:hAnsi="Arial" w:eastAsia="微软雅黑"/>
          <w:b/>
          <w:i w:val="0"/>
          <w:color w:val="1F4E79"/>
          <w:sz w:val="28"/>
        </w:rPr>
        <w:t>6 随访、数据采集与质控</w:t>
      </w:r>
    </w:p>
    <w:p w14:paraId="65AF5CBB">
      <w:pPr>
        <w:ind w:left="283" w:hanging="170"/>
      </w:pPr>
      <w:r>
        <w:t>• 随访周期建议覆盖治疗期全程，并延伸至停药后 12 个月；若资源允许，可延伸至 18 个月以增强复发事件捕获。若纳入临床诊断病例，应预先规定其在不同终点分析中的可评价范围。</w:t>
      </w:r>
    </w:p>
    <w:p w14:paraId="706FD2E8">
      <w:pPr>
        <w:ind w:left="283" w:hanging="170"/>
      </w:pPr>
      <w:r>
        <w:rPr>
          <w:rFonts w:ascii="Arial" w:hAnsi="Arial" w:eastAsia="微软雅黑"/>
          <w:b/>
          <w:i w:val="0"/>
          <w:color w:val="1F4E79"/>
          <w:sz w:val="21"/>
        </w:rPr>
        <w:t xml:space="preserve">• </w:t>
      </w:r>
      <w:r>
        <w:rPr>
          <w:rFonts w:ascii="Arial" w:hAnsi="Arial" w:eastAsia="微软雅黑"/>
          <w:b w:val="0"/>
          <w:i w:val="0"/>
          <w:sz w:val="21"/>
        </w:rPr>
        <w:t>菌学监测尽量标准化：基线、2 周（可选）、4 周、8 周、治疗结束，以及停药后疑似复发时。</w:t>
      </w:r>
    </w:p>
    <w:p w14:paraId="74D2DC60">
      <w:pPr>
        <w:ind w:left="283" w:hanging="170"/>
      </w:pPr>
      <w:r>
        <w:rPr>
          <w:rFonts w:ascii="Arial" w:hAnsi="Arial" w:eastAsia="微软雅黑"/>
          <w:b/>
          <w:i w:val="0"/>
          <w:color w:val="1F4E79"/>
          <w:sz w:val="21"/>
        </w:rPr>
        <w:t xml:space="preserve">• </w:t>
      </w:r>
      <w:r>
        <w:rPr>
          <w:rFonts w:ascii="Arial" w:hAnsi="Arial" w:eastAsia="微软雅黑"/>
          <w:b w:val="0"/>
          <w:i w:val="0"/>
          <w:sz w:val="21"/>
        </w:rPr>
        <w:t>影像学建议至少采集基线与治疗结束时 CXR；中期复查可按具体项目设置。</w:t>
      </w:r>
    </w:p>
    <w:p w14:paraId="723F2AD5">
      <w:pPr>
        <w:ind w:left="283" w:hanging="170"/>
      </w:pPr>
      <w:r>
        <w:t>• 建立中央影像阅片机制：建议采用分中心初读 + 中央双阅片 + 第三阅片裁决的流程；记录影像来源、片质与可判读性，并在阅片前开展统一培训、形成读片手册，按季度进行一致性抽查并记录一致率/κ 值。</w:t>
      </w:r>
    </w:p>
    <w:p w14:paraId="67960680">
      <w:r>
        <w:t>• EDC 建议结构化采集空洞负荷信息（数量、最大径、单双侧、单发/多发）及菌量指标（涂片分级、Xpert Ct），以支持后续“影像 + 菌量”联合次级模型与探索性分析。</w:t>
      </w:r>
    </w:p>
    <w:p w14:paraId="7CBC7D2E">
      <w:pPr>
        <w:ind w:left="283" w:hanging="170"/>
      </w:pPr>
      <w:r>
        <w:rPr>
          <w:rFonts w:ascii="Arial" w:hAnsi="Arial" w:eastAsia="微软雅黑"/>
          <w:b/>
          <w:i w:val="0"/>
          <w:color w:val="1F4E79"/>
          <w:sz w:val="21"/>
        </w:rPr>
        <w:t xml:space="preserve">• </w:t>
      </w:r>
      <w:r>
        <w:rPr>
          <w:rFonts w:ascii="Arial" w:hAnsi="Arial" w:eastAsia="微软雅黑"/>
          <w:b w:val="0"/>
          <w:i w:val="0"/>
          <w:sz w:val="21"/>
        </w:rPr>
        <w:t>建立独立结局裁决委员会（CEC），统一裁定治疗失败、 probable recurrent TB 与再感染/复发分类。</w:t>
      </w:r>
    </w:p>
    <w:p w14:paraId="61FF65CB">
      <w:pPr>
        <w:pStyle w:val="166"/>
      </w:pPr>
      <w:r>
        <w:rPr>
          <w:rFonts w:ascii="Arial" w:hAnsi="Arial" w:eastAsia="微软雅黑"/>
          <w:b/>
          <w:i w:val="0"/>
          <w:color w:val="1F4E79"/>
          <w:sz w:val="28"/>
        </w:rPr>
        <w:t>7 统计分析框架（建议直接进入 SAP）</w:t>
      </w:r>
    </w:p>
    <w:p w14:paraId="31BBDF0A">
      <w:pPr>
        <w:pStyle w:val="166"/>
      </w:pPr>
      <w:r>
        <w:t>统计解释原则（建议新增）：本研究估计的是在预设标准化治疗算法、菌学监测和随访管理条件下，不同基线影像表型的结局风险差异及增量预测价值；正式报告中不将其表述为脱离治疗影响的自然病程因果效应。</w:t>
      </w:r>
    </w:p>
    <w:p w14:paraId="2699FB46">
      <w:pPr>
        <w:pStyle w:val="167"/>
      </w:pPr>
      <w:r>
        <w:rPr>
          <w:rFonts w:ascii="Arial" w:hAnsi="Arial" w:eastAsia="微软雅黑"/>
          <w:b/>
          <w:i w:val="0"/>
          <w:color w:val="1F4E79"/>
          <w:sz w:val="23"/>
        </w:rPr>
        <w:t>7.1 主分析人群</w:t>
      </w:r>
    </w:p>
    <w:p w14:paraId="1F265870">
      <w:r>
        <w:t>主分析集优先为同一治疗算法下、具有可判读基线 CXR 的受试者；按基线暴露归组，不因后续影像变化而改变。若纳入临床诊断病例，应单独标识，并不进入培养转阴等严格细菌学过程分析。</w:t>
      </w:r>
    </w:p>
    <w:p w14:paraId="1F9B6D07">
      <w:pPr>
        <w:pStyle w:val="167"/>
      </w:pPr>
      <w:r>
        <w:rPr>
          <w:rFonts w:ascii="Arial" w:hAnsi="Arial" w:eastAsia="微软雅黑"/>
          <w:b/>
          <w:i w:val="0"/>
          <w:color w:val="1F4E79"/>
          <w:sz w:val="23"/>
        </w:rPr>
        <w:t>7.2 主模型</w:t>
      </w:r>
    </w:p>
    <w:p w14:paraId="231994A9">
      <w:r>
        <w:rPr>
          <w:rFonts w:ascii="Arial" w:hAnsi="Arial" w:eastAsia="微软雅黑"/>
          <w:b w:val="0"/>
          <w:i w:val="0"/>
          <w:sz w:val="21"/>
        </w:rPr>
        <w:t>对主要终点采用多水平 Cox 模型；若需处理死亡竞争风险，可采用 Fine-Gray 亚分布风险模型。</w:t>
      </w:r>
    </w:p>
    <w:p w14:paraId="16D273FE">
      <w:pPr>
        <w:pStyle w:val="167"/>
      </w:pPr>
      <w:r>
        <w:rPr>
          <w:rFonts w:ascii="Arial" w:hAnsi="Arial" w:eastAsia="微软雅黑"/>
          <w:b/>
          <w:i w:val="0"/>
          <w:color w:val="1F4E79"/>
          <w:sz w:val="23"/>
        </w:rPr>
        <w:t>7.3 暴露建模</w:t>
      </w:r>
    </w:p>
    <w:p w14:paraId="131BCBB6">
      <w:r>
        <w:t>主暴露建议优先使用 PLI 连续变量（限制性立方样条）+ 空洞（有/无）+ PLI×空洞交互项；四象限分组作为预设的临床可解释分析。PLI 25% 仅用于临床解释框架，不替代连续建模主分析。</w:t>
      </w:r>
    </w:p>
    <w:p w14:paraId="247AFC55">
      <w:pPr>
        <w:pStyle w:val="167"/>
      </w:pPr>
      <w:r>
        <w:rPr>
          <w:rFonts w:ascii="Arial" w:hAnsi="Arial" w:eastAsia="微软雅黑"/>
          <w:b/>
          <w:i w:val="0"/>
          <w:color w:val="1F4E79"/>
          <w:sz w:val="23"/>
        </w:rPr>
        <w:t>7.4 关键协变量</w:t>
      </w:r>
    </w:p>
    <w:p w14:paraId="17435610">
      <w:r>
        <w:t>年龄、性别、BMI、糖尿病、吸烟、HIV、基线菌负荷（涂片/Xpert Ct）、基线病原学状态、耐药谱、治疗方案类别、中心。另预设一个次级联合模型，在主模型基础上加入基线菌负荷指标，并比较 C-index/AUC、校准度及重分类表现，以评估“二维影像框架”与“影像 + 菌量”联合规则的增量价值。</w:t>
      </w:r>
    </w:p>
    <w:p w14:paraId="3278414C">
      <w:pPr>
        <w:pStyle w:val="167"/>
      </w:pPr>
      <w:r>
        <w:rPr>
          <w:rFonts w:ascii="Arial" w:hAnsi="Arial" w:eastAsia="微软雅黑"/>
          <w:b/>
          <w:i w:val="0"/>
          <w:color w:val="1F4E79"/>
          <w:sz w:val="23"/>
        </w:rPr>
        <w:t>7.5 中心效应</w:t>
      </w:r>
    </w:p>
    <w:p w14:paraId="7D0A4F5A">
      <w:r>
        <w:rPr>
          <w:rFonts w:ascii="Arial" w:hAnsi="Arial" w:eastAsia="微软雅黑"/>
          <w:b w:val="0"/>
          <w:i w:val="0"/>
          <w:sz w:val="21"/>
        </w:rPr>
        <w:t>中心作为随机截距，或使用 cluster-robust sandwich variance；避免把中心差异误认为影像差异。</w:t>
      </w:r>
    </w:p>
    <w:p w14:paraId="5E361B25">
      <w:pPr>
        <w:pStyle w:val="167"/>
      </w:pPr>
      <w:r>
        <w:rPr>
          <w:rFonts w:ascii="Arial" w:hAnsi="Arial" w:eastAsia="微软雅黑"/>
          <w:b/>
          <w:i w:val="0"/>
          <w:color w:val="1F4E79"/>
          <w:sz w:val="23"/>
        </w:rPr>
        <w:t>7.6 缺失处理</w:t>
      </w:r>
    </w:p>
    <w:p w14:paraId="0E1D5D11">
      <w:r>
        <w:rPr>
          <w:rFonts w:ascii="Arial" w:hAnsi="Arial" w:eastAsia="微软雅黑"/>
          <w:b w:val="0"/>
          <w:i w:val="0"/>
          <w:sz w:val="21"/>
        </w:rPr>
        <w:t>协变量缺失使用多重插补；失访进行 IPCW 或极端情景敏感性分析；空洞“可疑”病例以中央复核结果为准。</w:t>
      </w:r>
    </w:p>
    <w:p w14:paraId="2473CA1D">
      <w:pPr>
        <w:pStyle w:val="167"/>
      </w:pPr>
      <w:r>
        <w:rPr>
          <w:rFonts w:ascii="Arial" w:hAnsi="Arial" w:eastAsia="微软雅黑"/>
          <w:b/>
          <w:i w:val="0"/>
          <w:color w:val="1F4E79"/>
          <w:sz w:val="23"/>
        </w:rPr>
        <w:t>7.7 预设敏感性分析</w:t>
      </w:r>
    </w:p>
    <w:p w14:paraId="378B957E">
      <w:r>
        <w:t>（1）PLI 阈值改用 50%；（2）仅纳入病原学证实的 recurrent TB；（3）仅纳入统一方案人群；（4）仅纳入中央复核通过的影像；（5）仅纳入 DS-TB 或同一治疗算法人群；（6）将 probable recurrent TB 纳入扩展主要终点；（7）将空洞负荷变量（最大径/双侧/数量）替代单纯空洞有无进行探索性比较。</w:t>
      </w:r>
    </w:p>
    <w:p w14:paraId="4BFCFC5C">
      <w:pPr>
        <w:pStyle w:val="166"/>
      </w:pPr>
      <w:r>
        <w:rPr>
          <w:rFonts w:ascii="Arial" w:hAnsi="Arial" w:eastAsia="微软雅黑"/>
          <w:b/>
          <w:i w:val="0"/>
          <w:color w:val="1F4E79"/>
          <w:sz w:val="28"/>
        </w:rPr>
        <w:t>8 样本量与可行性建议</w:t>
      </w:r>
    </w:p>
    <w:p w14:paraId="420FD327">
      <w:pPr>
        <w:rPr>
          <w:rFonts w:hint="eastAsia" w:ascii="Arial" w:hAnsi="Arial" w:eastAsia="微软雅黑"/>
          <w:b w:val="0"/>
          <w:i w:val="0"/>
          <w:sz w:val="21"/>
        </w:rPr>
      </w:pPr>
      <w:r>
        <w:rPr>
          <w:rFonts w:hint="eastAsia" w:ascii="Arial" w:hAnsi="Arial" w:eastAsia="微软雅黑"/>
          <w:b w:val="0"/>
          <w:i w:val="0"/>
          <w:sz w:val="21"/>
        </w:rPr>
        <w:t>本研究优先嵌套于 TDSC 平台完成预设主分析。考虑到本研究为事件驱动型预后研究，较总样本量更关键的是主要终点事件数，尤其是用于稳定估计 PLI×空洞交互作用的有效事件数。</w:t>
      </w:r>
    </w:p>
    <w:p w14:paraId="5021F680">
      <w:pPr>
        <w:rPr>
          <w:rFonts w:hint="eastAsia" w:ascii="Arial" w:hAnsi="Arial" w:eastAsia="微软雅黑"/>
          <w:b w:val="0"/>
          <w:i w:val="0"/>
          <w:sz w:val="21"/>
        </w:rPr>
      </w:pPr>
      <w:r>
        <w:rPr>
          <w:rFonts w:hint="eastAsia" w:ascii="Arial" w:hAnsi="Arial" w:eastAsia="微软雅黑"/>
          <w:b w:val="0"/>
          <w:i w:val="0"/>
          <w:sz w:val="21"/>
        </w:rPr>
        <w:t>在 TDSC 平台内，优先完成主模型、四象限比较及内部验证；若主要终点事件数不足以稳定估计交互项或关键亚组效应，则进一步采用外部扩展验证、后续合并分析或平台延伸随访。</w:t>
      </w:r>
    </w:p>
    <w:p w14:paraId="4FCC28DC">
      <w:r>
        <w:rPr>
          <w:rFonts w:hint="eastAsia" w:ascii="Arial" w:hAnsi="Arial" w:eastAsia="微软雅黑"/>
          <w:b w:val="0"/>
          <w:i w:val="0"/>
          <w:sz w:val="21"/>
        </w:rPr>
        <w:t>因此，正式文件宜采用“事件数驱动的主分析 + 必要时外部验证”的两阶段表述，而不将 TDSC 单平台预设为足以完成全部交互推断的唯一来源。</w:t>
      </w:r>
      <w:bookmarkStart w:id="0" w:name="_GoBack"/>
      <w:bookmarkEnd w:id="0"/>
    </w:p>
    <w:p w14:paraId="3D2C39CE">
      <w:pPr>
        <w:pStyle w:val="166"/>
      </w:pPr>
      <w:r>
        <w:rPr>
          <w:rFonts w:ascii="Arial" w:hAnsi="Arial" w:eastAsia="微软雅黑"/>
          <w:b/>
          <w:i w:val="0"/>
          <w:color w:val="1F4E79"/>
          <w:sz w:val="28"/>
        </w:rPr>
        <w:t>9 研究优势、局限与结论</w:t>
      </w:r>
    </w:p>
    <w:p w14:paraId="092D3D12">
      <w:pPr>
        <w:pStyle w:val="167"/>
      </w:pPr>
      <w:r>
        <w:rPr>
          <w:rFonts w:ascii="Arial" w:hAnsi="Arial" w:eastAsia="微软雅黑"/>
          <w:b/>
          <w:i w:val="0"/>
          <w:color w:val="1F4E79"/>
          <w:sz w:val="23"/>
        </w:rPr>
        <w:t>优势</w:t>
      </w:r>
    </w:p>
    <w:p w14:paraId="3F937016">
      <w:r>
        <w:t>直接回答临床上真正有争议的问题；避免用一个总分掩盖两条不同风险通道；可产出可推广的二维影像分层规则；可自然衔接后续“分层内策略试验”；同时预留了与基线菌量指标联合建模的扩展空间，便于向更可推广的风险分层工具过渡。</w:t>
      </w:r>
    </w:p>
    <w:p w14:paraId="7D5A5A69">
      <w:pPr>
        <w:pStyle w:val="167"/>
      </w:pPr>
      <w:r>
        <w:rPr>
          <w:rFonts w:ascii="Arial" w:hAnsi="Arial" w:eastAsia="微软雅黑"/>
          <w:b/>
          <w:i w:val="0"/>
          <w:color w:val="1F4E79"/>
          <w:sz w:val="23"/>
        </w:rPr>
        <w:t>局限</w:t>
      </w:r>
    </w:p>
    <w:p w14:paraId="4D7E30CC">
      <w:r>
        <w:t>影像判读仍存在一定主观性；空洞有/无的二分类会损失部分信息，故需补充记录空洞负荷；若治疗方案差异较大，仍可能存在残余混杂；复发结局需要较长随访；本研究回答的是标准化治疗背景下的预后问题，而非自然病程因果问题；“影像 + 菌量”联合模型属于次级/扩展分析，不应取代本研究的核心二维影像主问题。</w:t>
      </w:r>
    </w:p>
    <w:p w14:paraId="2EB71800">
      <w:pPr>
        <w:pStyle w:val="167"/>
      </w:pPr>
      <w:r>
        <w:rPr>
          <w:rFonts w:ascii="Arial" w:hAnsi="Arial" w:eastAsia="微软雅黑"/>
          <w:b/>
          <w:i w:val="0"/>
          <w:color w:val="1F4E79"/>
          <w:sz w:val="23"/>
        </w:rPr>
        <w:t>结论</w:t>
      </w:r>
    </w:p>
    <w:p w14:paraId="42EF7E8B">
      <w:r>
        <w:t>对于当前科学问题，最优主研究不是新增随机试验，而是“嵌套于标准化治疗框架中的多中心前瞻性预后研究”。该设计能够较严谨地比较不同影像表型在标准化治疗背景下的预后差异，并在保持“PLI + 空洞”这一主问题清晰度的同时，进一步评估加入基线菌量后的增量预测价值，从而为构建二维影像风险分层规则及后续分层随机治疗策略试验提供依据。</w:t>
      </w:r>
    </w:p>
    <w:p w14:paraId="5ED1A9C0">
      <w:r>
        <w:t>Ralph AP, Ardian M, Wiguna A, et al. A simple, valid, numerical score for grading chest x-ray severity in adult smear-positive pulmonary tuberculosis. Thorax. 2010;65(10):863-869.</w:t>
      </w:r>
    </w:p>
    <w:p w14:paraId="154B5BD1">
      <w:r>
        <w:t>Thiel BA, Bark CM, Nakibali JG, et al. Reader variability and validation of the Timika X-ray score during treatment of pulmonary tuberculosis. Int J Tuberc Lung Dis. 2016;20(10):1358-1363.</w:t>
      </w:r>
    </w:p>
    <w:p w14:paraId="728F9B47">
      <w:r>
        <w:t>Chiang CY, Bern H, Goodall R, et al. Radiographic characteristics of rifampicin-resistant tuberculosis in the STREAM stage 1 trial and their influence on time to culture conversion in the short regimen. BMC Infect Dis. 2024;24:144.</w:t>
      </w:r>
    </w:p>
    <w:p w14:paraId="62844551">
      <w:r>
        <w:t>Chang VK, Imperial MZ, Phillips PPJ, et al. Risk-stratified treatment for drug-susceptible pulmonary tuberculosis. Nat Commun. 2024;15:9400.</w:t>
      </w:r>
    </w:p>
    <w:p w14:paraId="73A3DEB0">
      <w:r>
        <w:t>Bastard M, Hewison C, Khan U, et al. Evaluating newly approved drugs in combination regimens for multidrug-resistant tuberculosis with fluoroquinolone resistance (endTB-Q): study protocol for a multi-country randomized controlled trial. Trials. 2023;24:800.</w:t>
      </w:r>
    </w:p>
    <w:p w14:paraId="13223163">
      <w:r>
        <w:t>Imperial MZ, Nahid P, Phillips PPJ, et al. Precision-enhancing risk stratification tools for selecting optimal treatment durations in tuberculosis clinical trials. Am J Respir Crit Care Med. 2021;204(9):1086-1096.</w:t>
      </w:r>
    </w:p>
    <w:p w14:paraId="794F2974">
      <w:r>
        <w:t>World Health Organization. WHO consolidated guidelines on tuberculosis. Module 4: treatment - drug-susceptible tuberculosis treatment. Geneva: WHO; latest update consulted 2026.</w:t>
      </w:r>
    </w:p>
    <w:sectPr>
      <w:footerReference r:id="rId5" w:type="default"/>
      <w:pgSz w:w="12240" w:h="15840"/>
      <w:pgMar w:top="1020" w:right="1134" w:bottom="1020"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84AE74">
    <w:pPr>
      <w:pStyle w:val="24"/>
      <w:jc w:val="center"/>
    </w:pPr>
    <w:r>
      <w:rPr>
        <w:rFonts w:ascii="Arial" w:hAnsi="Arial" w:eastAsia="微软雅黑"/>
        <w:b w:val="0"/>
        <w:i w:val="0"/>
        <w:color w:val="777777"/>
        <w:sz w:val="17"/>
      </w:rPr>
      <w:t>研究方案框架｜供团队讨论使用</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73F4714"/>
    <w:rsid w:val="26393298"/>
    <w:rsid w:val="2C696A69"/>
    <w:rsid w:val="3535049A"/>
    <w:rsid w:val="43193DDE"/>
    <w:rsid w:val="43581E55"/>
    <w:rsid w:val="7CBE573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Arial" w:hAnsi="Arial"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MyTitle"/>
    <w:qFormat/>
    <w:uiPriority w:val="0"/>
    <w:pPr>
      <w:spacing w:after="200" w:line="276" w:lineRule="auto"/>
    </w:pPr>
    <w:rPr>
      <w:rFonts w:ascii="Arial" w:hAnsi="Arial" w:eastAsia="微软雅黑" w:cstheme="minorBidi"/>
      <w:b/>
      <w:color w:val="1F4E79"/>
      <w:sz w:val="40"/>
      <w:szCs w:val="22"/>
      <w:lang w:val="en-US" w:eastAsia="en-US" w:bidi="ar-SA"/>
    </w:rPr>
  </w:style>
  <w:style w:type="paragraph" w:customStyle="1" w:styleId="165">
    <w:name w:val="MySubtitle"/>
    <w:qFormat/>
    <w:uiPriority w:val="0"/>
    <w:pPr>
      <w:spacing w:after="200" w:line="276" w:lineRule="auto"/>
    </w:pPr>
    <w:rPr>
      <w:rFonts w:ascii="Arial" w:hAnsi="Arial" w:eastAsia="微软雅黑" w:cstheme="minorBidi"/>
      <w:color w:val="5B6770"/>
      <w:sz w:val="22"/>
      <w:szCs w:val="22"/>
      <w:lang w:val="en-US" w:eastAsia="en-US" w:bidi="ar-SA"/>
    </w:rPr>
  </w:style>
  <w:style w:type="paragraph" w:customStyle="1" w:styleId="166">
    <w:name w:val="MyH1"/>
    <w:qFormat/>
    <w:uiPriority w:val="0"/>
    <w:pPr>
      <w:spacing w:after="200" w:line="276" w:lineRule="auto"/>
    </w:pPr>
    <w:rPr>
      <w:rFonts w:ascii="Arial" w:hAnsi="Arial" w:eastAsia="微软雅黑" w:cstheme="minorBidi"/>
      <w:b/>
      <w:color w:val="1F4E79"/>
      <w:sz w:val="28"/>
      <w:szCs w:val="22"/>
      <w:lang w:val="en-US" w:eastAsia="en-US" w:bidi="ar-SA"/>
    </w:rPr>
  </w:style>
  <w:style w:type="paragraph" w:customStyle="1" w:styleId="167">
    <w:name w:val="MyH2"/>
    <w:qFormat/>
    <w:uiPriority w:val="0"/>
    <w:pPr>
      <w:spacing w:after="200" w:line="276" w:lineRule="auto"/>
    </w:pPr>
    <w:rPr>
      <w:rFonts w:ascii="Arial" w:hAnsi="Arial" w:eastAsia="微软雅黑" w:cstheme="minorBidi"/>
      <w:b/>
      <w:color w:val="1F4E79"/>
      <w:sz w:val="23"/>
      <w:szCs w:val="22"/>
      <w:lang w:val="en-US" w:eastAsia="en-US" w:bidi="ar-SA"/>
    </w:rPr>
  </w:style>
  <w:style w:type="paragraph" w:customStyle="1" w:styleId="168">
    <w:name w:val="MySmall"/>
    <w:qFormat/>
    <w:uiPriority w:val="0"/>
    <w:pPr>
      <w:spacing w:after="200" w:line="276" w:lineRule="auto"/>
    </w:pPr>
    <w:rPr>
      <w:rFonts w:ascii="Arial" w:hAnsi="Arial" w:eastAsia="微软雅黑" w:cstheme="minorBidi"/>
      <w:color w:val="666666"/>
      <w:sz w:val="18"/>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5562</Words>
  <Characters>7108</Characters>
  <Lines>0</Lines>
  <Paragraphs>0</Paragraphs>
  <TotalTime>11</TotalTime>
  <ScaleCrop>false</ScaleCrop>
  <LinksUpToDate>false</LinksUpToDate>
  <CharactersWithSpaces>7536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付亮</cp:lastModifiedBy>
  <dcterms:modified xsi:type="dcterms:W3CDTF">2026-03-11T04:58:08Z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97DA18E4DDB44321B316F4F08F8756EA_13</vt:lpwstr>
  </property>
  <property fmtid="{D5CDD505-2E9C-101B-9397-08002B2CF9AE}" pid="4" name="KSOTemplateDocerSaveRecord">
    <vt:lpwstr>eyJoZGlkIjoiZTY1YTEzNzUzNjc3OTdhYTczZDYyMDcwZjdjMDcyY2UiLCJ1c2VySWQiOiIyMDkyMjY1MzMifQ==</vt:lpwstr>
  </property>
</Properties>
</file>