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ans CJK SC"/>
          <w:b/>
          <w:color w:val="1F4E79"/>
          <w:sz w:val="36"/>
        </w:rPr>
        <w:t>TDSC 嵌套子研究（影像学第二子研究）</w:t>
      </w:r>
    </w:p>
    <w:p>
      <w:pPr>
        <w:jc w:val="center"/>
      </w:pPr>
      <w:r>
        <w:rPr>
          <w:rFonts w:ascii="Times New Roman" w:hAnsi="Times New Roman" w:eastAsia="Noto Sans CJK SC"/>
          <w:b/>
          <w:color w:val="595959"/>
          <w:sz w:val="23"/>
        </w:rPr>
        <w:t>肺结核胸部 CT 评分研究方案框架（v1.3，三级主分类版）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定位一句话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不是用 CT 取代胸片，而是在 TDSC 标准化平台中构建一个可重复、机制导向、少变量的第二层风险表型工具。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主分类框架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三级主分类：活动性 / 不确定性 / 非活动性；其中“活动性”内部保留“明确/倾向”副标记。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主评分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TB-CT Core Score v1.3 = E + C + B；主分析默认仅纳入“活动性-明确”病灶。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扩展模块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U（不确定性）、X（气道）、P（胸膜）、N（淋巴结）、D（结构损伤）。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pStyle w:val="TableText"/>
              <w:jc w:val="center"/>
            </w:pPr>
            <w:r>
              <w:rPr>
                <w:b/>
              </w:rPr>
              <w:t>研究角色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作为 TDSC 的第二层影像表型工具，不进入母研究实时治疗决策。</w:t>
            </w:r>
          </w:p>
        </w:tc>
      </w:tr>
    </w:tbl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1 研究背景与立论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国际大型结核病临床试验长期以胸片作为主平台，而不是以 CT 作为核心分层工具，原因不只是资源问题，更在于临床试验需要一种低复杂度、跨中心重复性较高的严重程度表征方法。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CT 虽然信息更丰富，但也带来更大的异质性。对于结核 CT，更合理的路线不是做一个大而全的总分，而是先定义一个少变量、半定量、可训练的核心表型工具。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根据活动性判断专家共识，肺结核影像学判断不宜采用简单二分法；同一患者可同时存在活动性征象、稳定性征象和不确定性征象。结合前期方案讨论，三级主分类更适合作为执行层面的主框架：活动性、非活动性和不确定性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为了保留方法学深度并兼顾执行简洁性，本研究进一步将“活动性”内部保留为两个副标记：活动性-明确和活动性-倾向。主分析以活动性-明确为主；活动性-倾向主要用于敏感性分析、训练和一致性评价。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2 研究定位与总体设计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本研究为嵌套于 TDSC 的多中心前瞻性影像学子研究，核心目标是构建并验证一个基于胸部 CT 的简化评分体系，并评估其在胸片二维框架与基线菌量之外是否提供增量预测价值。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研究不把 CT 作为实时治疗分配依据，而是把它定位为“第二层风险表型工具”。第一层由 CXR 完成总体病变范围与空洞的粗分层；第二层由 CT 进一步刻画空洞负荷、支气管播散和不确定/残留表型。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7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建议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研究性质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多中心前瞻性影像学嵌套子研究；以预后分层/风险表型研究为主，同时包含工具开发、内部验证和增量价值评估。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主暴露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TB-CT Core Score v1.3 主评分（E + C + B）；三级主分类 + 活动性内部副标记。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主分析口径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主评分默认仅基于“活动性-明确”病灶计算；“活动性-倾向”进入敏感性分析。</w:t>
            </w:r>
          </w:p>
        </w:tc>
      </w:tr>
      <w:tr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关键比较</w:t>
            </w:r>
          </w:p>
        </w:tc>
        <w:tc>
          <w:tcPr>
            <w:tcW w:type="dxa" w:w="4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CT 主评分与 8 周/2 月培养未转阴、培养转阴时间及关键长期结局的关系；以及对 CXR + 基线菌量模型的增量价值。</w:t>
            </w:r>
          </w:p>
        </w:tc>
      </w:tr>
    </w:tbl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3 研究目的与假设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主要目的：构建并内部验证 TB-CT Core Score v1.3，评价其可重复性，并分析其与 8 周/2 月培养未转阴及培养转阴时间之间的关联。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评估 CT 主评分与治疗失败、复发/再发、全因死亡及治疗结束时功能受损之间的关系。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评估在 CXR 二维框架和基线菌量指标基础上加入 CT 主评分后，模型区分度、校准度和重分类表现是否提升。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探索 X/P/N/D 模块与主要及次要结局之间的关系。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4 三级主分类与副标记框架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本研究采用“三级主分类 + 活动性内部副标记”的结构。EDC 主字段和读片主表统一使用三级主分类；只有在活动性分类下，才进一步填写“明确”或“倾向”副标记。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主分类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内部副标记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建议定义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处理原则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活动性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明确 / 倾向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活动性-明确：以 tree-in-bud、小叶中心结节成簇、边缘模糊结节、大小不等实变影、厚壁空洞伴周围活动征等高价值征象群为核心；活动性-倾向：整体偏活动但证据不完全充分。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主分析默认仅纳入“活动性-明确”；“活动性-倾向”进入敏感性分析。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不确定性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—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包括未钙化结核球、界限清楚但不规则实变、空气潴留、肺不张、支气管狭窄/闭塞、胸膜不规则增厚与包裹等。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进入 U 模块；不直接纳入主评分。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非活动性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—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包括钙化、纤细锐利条索影、胸膜钙化、净化性空洞、稳定支气管扩张/结构扭曲及其他陈旧性结构改变。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不进入主评分；与结构损伤相关者进入 D 模块。</w:t>
            </w:r>
          </w:p>
        </w:tc>
      </w:tr>
    </w:tbl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5 主评分与扩展模块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TB-CT Core Score v1.3 = E（活动性受累范围）+ C（空洞负荷）+ B（支气管播散负荷），总分范围 0–11 分。主分析默认仅对“活动性-明确”病灶计分。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组成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分值范围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pStyle w:val="TableText"/>
              <w:jc w:val="center"/>
            </w:pPr>
            <w:r>
              <w:rPr>
                <w:b/>
              </w:rPr>
              <w:t>定义要点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E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0–4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仅统计活动性-明确病灶的总体受累比例。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0–4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仅统计活动性-明确空洞的数量、最大径和分布。</w:t>
            </w:r>
          </w:p>
        </w:tc>
      </w:tr>
      <w:tr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B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0–3</w:t>
            </w:r>
          </w:p>
        </w:tc>
        <w:tc>
          <w:tcPr>
            <w:tcW w:type="dxa" w:w="3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</w:pPr>
            <w:r>
              <w:t>仅统计活动性-明确的 tree-in-bud / 小叶中心结节和沿支气管播散负荷。</w:t>
            </w:r>
          </w:p>
        </w:tc>
      </w:tr>
    </w:tbl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U 模块：记录不确定性病灶的类型、范围和总体判断。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X 模块：记录支气管壁增厚、管腔狭窄、阻塞、黏液栓等气道受累，必要时标明是否伴周围活动性播散征象。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P 模块：记录胸膜增厚、胸腔积液或包裹性胸膜病变；胸腔积液与胸膜不规则增厚/包裹应分层解释。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N 模块：记录肺门/纵隔淋巴结异常，包括大小和坏死倾向。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D 模块：记录纤维化、毁损肺、牵拉支扩、体积缩小等结构损伤。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6 阅片流程与质控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建议采用“2 名主阅片者 + 1 名裁决者 + 1 名结核临床专家参与疑难讨论”的组织模式。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正式阅片前先用 20–30 例训练集统一口径，形成图谱式判读手册。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每例 CT 由 2 名阅片者独立评分；若主分类、活动性副标记、E/C/B 主分或扩展模块主要等级不一致，则由第三阅片者裁决。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对可能影响主评分归类的边界病例，可提交影像—临床联合讨论。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7 终点与统计分析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主要终点：8 周/2 月培养未转阴，或培养转阴时间。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关键次要终点：治疗失败、复发/再发、死亡及治疗结束时功能受损。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主分析：仅使用活动性-明确病灶构成的 TB-CT 主评分建模；活动性-倾向并入敏感性分析。</w:t>
      </w:r>
    </w:p>
    <w:p>
      <w:pPr>
        <w:spacing w:after="60" w:line="312" w:lineRule="auto"/>
        <w:ind w:left="340" w:hanging="198"/>
      </w:pPr>
      <w:r>
        <w:rPr>
          <w:rFonts w:ascii="Times New Roman" w:hAnsi="Times New Roman" w:eastAsia="Noto Sans CJK SC"/>
          <w:b/>
        </w:rPr>
        <w:t xml:space="preserve">• </w:t>
      </w:r>
      <w:r>
        <w:rPr>
          <w:rFonts w:ascii="Times New Roman" w:hAnsi="Times New Roman" w:eastAsia="Noto Sans CJK SC"/>
        </w:rPr>
        <w:t>增量价值分析：比较“基线临床变量 + 菌量指标 + CXR”与“基线临床变量 + 菌量指标 + CXR + CT 主评分”的表现差异。</w:t>
      </w:r>
    </w:p>
    <w:p>
      <w:pPr>
        <w:pStyle w:val="Heading1"/>
        <w:spacing w:before="160" w:after="80"/>
      </w:pPr>
      <w:r>
        <w:rPr>
          <w:rFonts w:ascii="Times New Roman" w:hAnsi="Times New Roman" w:eastAsia="Noto Sans CJK SC"/>
          <w:b/>
          <w:color w:val="1F4E79"/>
          <w:sz w:val="28"/>
        </w:rPr>
        <w:t>8 结论性建议</w:t>
      </w:r>
    </w:p>
    <w:p>
      <w:pPr>
        <w:spacing w:after="80" w:line="324" w:lineRule="auto"/>
        <w:ind w:firstLine="420"/>
      </w:pPr>
      <w:r>
        <w:rPr>
          <w:rFonts w:ascii="Times New Roman" w:hAnsi="Times New Roman" w:eastAsia="Noto Sans CJK SC"/>
        </w:rPr>
        <w:t>三级主分类比 A/B/C/D 四级分类更适合作为前台执行框架；但活动性内部保留“明确/倾向”两个副标记，可在不增加一线执行复杂度的前提下保留敏感性分析与方法学弹性。这是当前在可执行性、重复性和研究深度之间最平衡的方案。</w:t>
      </w:r>
    </w:p>
    <w:sectPr w:rsidR="00FC693F" w:rsidRPr="0006063C" w:rsidSect="00034616"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rPr>
      <w:rFonts w:ascii="Times New Roman" w:hAnsi="Times New Roman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