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7B2D6">
      <w:pPr>
        <w:pStyle w:val="31"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TDSC 研究标准操作规程（SOP）</w:t>
      </w:r>
    </w:p>
    <w:p w14:paraId="5E2CE608">
      <w:pPr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</w:rPr>
        <w:t>SOP01：患者分层工具包（V1.4 修订版）</w:t>
      </w:r>
    </w:p>
    <w:p w14:paraId="613EAE9B">
      <w:pPr>
        <w:pStyle w:val="31"/>
        <w:widowControl/>
        <w:ind w:left="0" w:leftChars="0" w:firstLine="0" w:firstLineChars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Patient Stratification Toolkit</w:t>
      </w:r>
    </w:p>
    <w:p w14:paraId="3B941210">
      <w:pPr>
        <w:rPr>
          <w:rFonts w:hint="default" w:ascii="Times New Roman" w:hAnsi="Times New Roman" w:eastAsia="宋体" w:cs="Times New Roman"/>
          <w:sz w:val="24"/>
          <w:szCs w:val="24"/>
        </w:rPr>
      </w:pP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7"/>
        <w:gridCol w:w="6605"/>
      </w:tblGrid>
      <w:tr w14:paraId="47546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2" w:type="pct"/>
          </w:tcPr>
          <w:p w14:paraId="0822CCD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受控文件编号</w:t>
            </w:r>
          </w:p>
        </w:tc>
        <w:tc>
          <w:tcPr>
            <w:tcW w:w="3557" w:type="pct"/>
          </w:tcPr>
          <w:p w14:paraId="7763122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TDSC-SOP-01</w:t>
            </w:r>
          </w:p>
        </w:tc>
      </w:tr>
      <w:tr w14:paraId="7E62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2" w:type="pct"/>
          </w:tcPr>
          <w:p w14:paraId="5A514E39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版本</w:t>
            </w:r>
          </w:p>
        </w:tc>
        <w:tc>
          <w:tcPr>
            <w:tcW w:w="3557" w:type="pct"/>
          </w:tcPr>
          <w:p w14:paraId="287D952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V1.4</w:t>
            </w:r>
          </w:p>
        </w:tc>
      </w:tr>
      <w:tr w14:paraId="402F4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2" w:type="pct"/>
          </w:tcPr>
          <w:p w14:paraId="4574795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生效日期</w:t>
            </w:r>
          </w:p>
        </w:tc>
        <w:tc>
          <w:tcPr>
            <w:tcW w:w="3557" w:type="pct"/>
          </w:tcPr>
          <w:p w14:paraId="0665065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2026-03-20</w:t>
            </w:r>
          </w:p>
        </w:tc>
      </w:tr>
      <w:tr w14:paraId="74586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2" w:type="pct"/>
          </w:tcPr>
          <w:p w14:paraId="4C3AE8B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适用研究</w:t>
            </w:r>
          </w:p>
        </w:tc>
        <w:tc>
          <w:tcPr>
            <w:tcW w:w="3557" w:type="pct"/>
          </w:tcPr>
          <w:p w14:paraId="2907D4D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TDSC（TB-Diabetes Short Course）Study</w:t>
            </w:r>
          </w:p>
        </w:tc>
      </w:tr>
      <w:tr w14:paraId="64789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2" w:type="pct"/>
          </w:tcPr>
          <w:p w14:paraId="4C2CDE5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对应研究方案</w:t>
            </w:r>
          </w:p>
        </w:tc>
        <w:tc>
          <w:tcPr>
            <w:tcW w:w="3557" w:type="pct"/>
          </w:tcPr>
          <w:p w14:paraId="4DF8426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TDSC 研究方案 V2.0（2026-02-28）</w:t>
            </w:r>
          </w:p>
        </w:tc>
      </w:tr>
      <w:tr w14:paraId="6377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2" w:type="pct"/>
          </w:tcPr>
          <w:p w14:paraId="656FE84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起草</w:t>
            </w:r>
          </w:p>
        </w:tc>
        <w:tc>
          <w:tcPr>
            <w:tcW w:w="3557" w:type="pct"/>
          </w:tcPr>
          <w:p w14:paraId="4586BA0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____________</w:t>
            </w:r>
          </w:p>
        </w:tc>
      </w:tr>
      <w:tr w14:paraId="380D9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2" w:type="pct"/>
          </w:tcPr>
          <w:p w14:paraId="37FE329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审核</w:t>
            </w:r>
          </w:p>
        </w:tc>
        <w:tc>
          <w:tcPr>
            <w:tcW w:w="3557" w:type="pct"/>
          </w:tcPr>
          <w:p w14:paraId="169FB59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____________</w:t>
            </w:r>
          </w:p>
        </w:tc>
      </w:tr>
      <w:tr w14:paraId="14122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2" w:type="pct"/>
          </w:tcPr>
          <w:p w14:paraId="0BBE115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批准</w:t>
            </w:r>
          </w:p>
        </w:tc>
        <w:tc>
          <w:tcPr>
            <w:tcW w:w="3557" w:type="pct"/>
          </w:tcPr>
          <w:p w14:paraId="5C2F563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____________</w:t>
            </w:r>
          </w:p>
        </w:tc>
      </w:tr>
    </w:tbl>
    <w:p w14:paraId="4E3E6BB7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7699422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目的</w:t>
      </w:r>
    </w:p>
    <w:p w14:paraId="1F27AC39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建立一套可在多中心临床试验中直接执行的肺结核（pulmonary tuberculosis, PTB）患者分层工具包与操作流程，用于：</w:t>
      </w:r>
    </w:p>
    <w:p w14:paraId="34B3AAF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入组/随机前（Baseline）的风险分层与随机分层因子设定；</w:t>
      </w:r>
    </w:p>
    <w:p w14:paraId="2CAD10DE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治疗开始后的早期反应分层（On-treatment），用于风险提示、动态校正与预设亚组分析；</w:t>
      </w:r>
    </w:p>
    <w:p w14:paraId="231883B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保证跨中心实验室与影像判读的一致性，降低系统性偏倚。</w:t>
      </w:r>
    </w:p>
    <w:p w14:paraId="728836F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适用范围</w:t>
      </w:r>
    </w:p>
    <w:p w14:paraId="4409A028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本SOP适用于TDSC研究（TB-DM人群结核病短程治疗方案研究）及同类以药物治疗为核心的PTB临床试验，尤其适用于：</w:t>
      </w:r>
    </w:p>
    <w:p w14:paraId="01B252E3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分中心Xpert报告格式不一致（Ct值/半定量等级/平台差异）；</w:t>
      </w:r>
    </w:p>
    <w:p w14:paraId="50DF57AE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同时获取Xpert/Ultra与抗酸染色（AFB）结果，需要保守合并判定；</w:t>
      </w:r>
    </w:p>
    <w:p w14:paraId="31E00776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以胸片（CXR）为主要影像分层依据，胸部CT作为辅助信息。</w:t>
      </w:r>
    </w:p>
    <w:p w14:paraId="1E096A0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术语与缩略语</w:t>
      </w:r>
    </w:p>
    <w:p w14:paraId="2B9B8692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AFB：抗酸杆菌涂片。</w:t>
      </w:r>
    </w:p>
    <w:p w14:paraId="4EF0FB2F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CXR：胸部X线片（胸片）。</w:t>
      </w:r>
    </w:p>
    <w:p w14:paraId="5582D2E3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CT：胸部计算机断层扫描（本SOP仅作为补充记录）。</w:t>
      </w:r>
    </w:p>
    <w:p w14:paraId="713F0985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Ralph score：基于胸片病变范围与空洞情况评估肺结核影像严重程度的评分工具。</w:t>
      </w:r>
    </w:p>
    <w:p w14:paraId="4A1EB4DD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AFB原始分级：指实验室原始报告的抗酸染色分级，可为国内0/1/2/3/4、国内“报告菌数”、国际0/scanty/1+/2+/3+，或“+至++++”等形式。</w:t>
      </w:r>
    </w:p>
    <w:p w14:paraId="7429FD5E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AFBSeverity（三级）：将AFB原始结果折叠为S1〔阴性/报告菌数/scanty/rare〕、S2〔国内1–2级或国际1+，或单个“+”〕与S3〔国内3–4级或国际2+/3+，或“++”及以上〕三级，对应较低、边界及较高涂片菌量。</w:t>
      </w:r>
    </w:p>
    <w:p w14:paraId="A0595EED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Xpert：GeneXpert MTB/RIF；Ultra：GeneXpert MTB/RIF Ultra。</w:t>
      </w:r>
    </w:p>
    <w:p w14:paraId="7BEA0CBC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Ct：循环阈值（cycle threshold）。</w:t>
      </w:r>
    </w:p>
    <w:p w14:paraId="B25E7D5E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Bacteriological Severity（三级）：基于Xpert/Xpert Ultra平台特异性分子负荷与AFB三级分级综合判定的细菌学严重程度（低/中/高）。</w:t>
      </w:r>
    </w:p>
    <w:p w14:paraId="B035C7FE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Imaging Severity（三级）：基于Ralph score与空洞特征判定的胸片影像严重程度（轻/中/重）。</w:t>
      </w:r>
    </w:p>
    <w:p w14:paraId="1887F620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SeverityLayer（运行分层）：综合细菌学与影像学结果后判定为轻症、轻症扩展层或中重度；母研究正式两分类时，可按预设规则将轻症扩展层并入轻症或中重度。</w:t>
      </w:r>
    </w:p>
    <w:p w14:paraId="46FB6771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Red flag：高风险提示变量（如最大空洞径&gt;4 cm）。</w:t>
      </w:r>
    </w:p>
    <w:p w14:paraId="6C008B46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PCD（Persistent Clinical Disease）：Week 8时症状仍存在且涂片仍阳性。</w:t>
      </w:r>
    </w:p>
    <w:p w14:paraId="0D6967E4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PPTR（Possible Poor Treatment Response）：研究者怀疑疗效欠佳并考虑调整/延长/重启治疗的情形。</w:t>
      </w:r>
    </w:p>
    <w:p w14:paraId="46684F4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职责分工</w:t>
      </w:r>
    </w:p>
    <w:p w14:paraId="5A821AFD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主要研究者（PI）：批准分层规则与版本更新；对关键判定争议进行最终裁决。</w:t>
      </w:r>
    </w:p>
    <w:p w14:paraId="04ECB34F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分中心研究医生/CRC：按时间窗完成标本采集、结果录入与缺失补采；执行本SOP的质控触发与追溯。</w:t>
      </w:r>
    </w:p>
    <w:p w14:paraId="2B1B7603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实验室：按统一要求报告检测平台、报告格式与原始结果；对“不一致”情形进行复核。</w:t>
      </w:r>
    </w:p>
    <w:p w14:paraId="076E9863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影像科/中心阅片组：按统一空洞与范围定义进行判读；必要时进行双人阅片与仲裁。</w:t>
      </w:r>
    </w:p>
    <w:p w14:paraId="2607EFB6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数据管理（DM）：在EDC中实现派生变量与逻辑校验；生成分层报表与缺失/异常清单；负责随机前关键分层字段锁定。</w:t>
      </w:r>
    </w:p>
    <w:p w14:paraId="7C0401EA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中心研究临床医生（如设定）：对PPTR病例进行讨论并给出处置建议；协调必要的专家仲裁。</w:t>
      </w:r>
    </w:p>
    <w:p w14:paraId="2F74B6B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所需资料与工具</w:t>
      </w:r>
    </w:p>
    <w:p w14:paraId="3FBB0E98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实验室：Xpert或Xpert Ultra结果（优先记录Ct值；如仅报告半定量等级亦需保留原始结果），AFB涂片原始分级〔可为国内0/1/2/3/4、国内“报告菌数”、国际0/scanty/1+/2+/3+，或“+至++++”〕；培养结果（如研究方案要求）。</w:t>
      </w:r>
    </w:p>
    <w:p w14:paraId="90F71F85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影像学：基线CXR（必需，用于计算Ralph score并判定空洞）；胸部CT（可选，作为补充，不作为主分层口径）。</w:t>
      </w:r>
    </w:p>
    <w:p w14:paraId="26B74F72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EDC/eCRF：需包含第10节字段字典所列原始字段与派生字段，并具备逻辑核查与审计追踪。</w:t>
      </w:r>
    </w:p>
    <w:p w14:paraId="B50866BB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统一判读材料：Ralph score评分说明、空洞判读示例、症状清单、质控触发与处理记录表。</w:t>
      </w:r>
    </w:p>
    <w:p w14:paraId="4C2A4D8A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入组时患者分层（Baseline）</w:t>
      </w:r>
    </w:p>
    <w:p w14:paraId="46209715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时间窗</w:t>
      </w:r>
    </w:p>
    <w:p w14:paraId="2217B529">
      <w:pPr>
        <w:pStyle w:val="19"/>
        <w:widowControl/>
        <w:rPr>
          <w:rFonts w:hint="default" w:ascii="Times New Roman" w:hAnsi="Times New Roman" w:eastAsia="宋体" w:cs="Times New Roman"/>
          <w:b w:val="0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基线分层信息建议在首次给药前完成采集。若存在滞后，允许使用首次给药前7天内获得的最近一次结果（以采样日期为准）。</w:t>
      </w:r>
    </w:p>
    <w:p w14:paraId="1D21CEEB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痰菌阳性度轴：Xpert/Xpert Ultra与AFB的统一记录、换算与判定</w:t>
      </w:r>
    </w:p>
    <w:p w14:paraId="0A47AED4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本SOP采用“平台特异解释、原始结果留痕、重症信号优先但允许边界层综合判定”的原则：患者分层优先使用Xpert/Xpert Ultra原始报告（Ct值或半定量等级）与AFB原始分级；如同时存在多个指标，应先在各自平台内完成低/中/高分层，再进入综合判定，避免将Xpert与Ultra的Ct值直接视为可互换。</w:t>
      </w:r>
    </w:p>
    <w:p w14:paraId="178196F0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记录检测平台与报告格式（必填）</w:t>
      </w:r>
    </w:p>
    <w:p w14:paraId="E4527A9F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检测平台：可记录Xpert MTB/RIF Ultra或Xpert MTB/RIF；必须原样记录平台名称，不得在EDC中以统一Ct阈值替代平台信息。</w:t>
      </w:r>
    </w:p>
    <w:p w14:paraId="F90F73B6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报告格式：是否报告Ct值；是否报告半定量等级；AFB是否采用国内或国际分级体系。</w:t>
      </w:r>
    </w:p>
    <w:p w14:paraId="DBF76D62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原始结果：如有Ct须录入数值；如无Ct则录入半定量等级；AFB需保留原始报告文本。</w:t>
      </w:r>
    </w:p>
    <w:p w14:paraId="1C9266E2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Xpert/Xpert Ultra分子负荷判定规则</w:t>
      </w:r>
    </w:p>
    <w:p w14:paraId="52BDC9DC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若使用Xpert MTB/RIF：very low，或Ct＞28，判定为低分子负荷（B1）；low，或22＜Ct≤28，判定为中分子负荷（B2）；medium/high，或Ct≤22，判定为高分子负荷（B3）。</w:t>
      </w:r>
    </w:p>
    <w:p w14:paraId="0DD6C4AD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若使用Xpert MTB/RIF Ultra：trace或very low判定为低分子负荷（B1）；low判定为中分子负荷（B2）；medium/high判定为高分子负荷（B3）。</w:t>
      </w:r>
      <w:r>
        <w:rPr>
          <w:rFonts w:hint="default" w:ascii="Times New Roman" w:hAnsi="Times New Roman" w:eastAsia="宋体" w:cs="Times New Roman"/>
          <w:lang w:val="en-US" w:eastAsia="zh-CN"/>
        </w:rPr>
        <w:t>注意，对于 Xpert MTB/RIF Ultra，Cepheid 的官方说明书只明确列出结果等级为：high、medium、low、very low、trace，并没有像原始 Xpert 那样公开写出每一档固定对应的 Ct 区间。</w:t>
      </w:r>
    </w:p>
    <w:p w14:paraId="1FCC1EA5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如仅有半定量等级而无Ct值，应优先按该平台的半定量等级直接分层并保留原始结果；在随机/分层前无法确认平台或结果真实性时，不可直接判定为轻症，但可暂列待复核。</w:t>
      </w:r>
    </w:p>
    <w:p w14:paraId="103CC6C9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AFB原始分级、国内外对应关系与本SOP折叠规则</w:t>
      </w:r>
    </w:p>
    <w:p w14:paraId="B50F13CB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两套抗酸染色分级体系在低菌量区间的切点并不完全一致，而且国内标准还保留了一个“报告菌数（1–8条/300视野）”的过渡层。</w:t>
      </w:r>
    </w:p>
    <w:p w14:paraId="E5CEB159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若按萋-尼氏染色（Ziehl–Neelsen, ZN）、油镜读片来比较，国内标准为：阴性=300视野未见；报告菌数=1–8条/300视野；1=3–9条/100视野；2=1–9条/10视野；3=1–9条/每视野；4=≥10条/每视野。国际常用WHO/IUATLD体系通常写作：阴性、scanty/rare、1+、2+、3+；其阈值大致为0/100视野、1–9条/100视野、10–99条/100视野、1–10条/每视野、&gt;10条/每视野。国际上的scanty/rare（痕量）大致相当于中国分级体系中的极低度阳性涂片，涵盖中国标准中的“报告菌数”类别以及中国1的一部分；中国的2、3和4则大致分别对应国际标准中的1+、2+和3+。</w:t>
      </w:r>
    </w:p>
    <w:p w14:paraId="3E661218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在本SOP中，为便于与“轻症/中重度”分层衔接，AFB原始结果按三级折叠：</w:t>
      </w:r>
    </w:p>
    <w:p w14:paraId="137C79F3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S1：阴性、报告菌数、scanty/rare；S2：国内1–2级、国际1+，或单个“+”；S3：国内3–4级、国际2+/3+，或“++”至“++++”。</w:t>
      </w:r>
    </w:p>
    <w:p w14:paraId="CA18B2E8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如原始报告无法明确映射，应先保留原始文本并提交实验室/PI复核后再折叠。EDC中必须同时保留AFB原始报告文本、所用分级体系（国内/国际/其他）及折叠后的AFBSeverity。</w:t>
      </w:r>
    </w:p>
    <w:p w14:paraId="3F9B1F58">
      <w:pPr>
        <w:pStyle w:val="5"/>
        <w:widowControl/>
        <w:numPr>
          <w:ilvl w:val="0"/>
          <w:numId w:val="9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细菌学严重程度（Bacteriological Severity）判定</w:t>
      </w:r>
    </w:p>
    <w:p w14:paraId="5599DE7A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若同时具有分子结果与AFB结果：当分子负荷为B1且AFB为S1时，判定为“细菌学低”；当分子负荷为B3或AFB为S3时，判定为“细菌学高”；其余情形（如B2，或B1+S2）判定为“细菌学中间”。</w:t>
      </w:r>
    </w:p>
    <w:p w14:paraId="7150D72B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仅有一项指标：该指标为高层级时判定为“细菌学高”；该指标为中间层级时判定为“细菌学中间”；该指标为低层级时可判定为“细菌学低（单指标，待影像确认）”，但该情形仅可支持进入待综合判定或轻症扩展层，不可单独支持明确轻症。</w:t>
      </w:r>
    </w:p>
    <w:p w14:paraId="CA52A087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若关键细菌学信息缺失、不可判读或存在重大不一致，须在随机/分层前完成复核；未完成前不得直接判定为明确轻症，但可保留为“待综合判定/边界层”。</w:t>
      </w:r>
    </w:p>
    <w:p w14:paraId="91644D52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示例：Ultra trace且AFB阴性 → 细菌学低；Xpert low且AFB阴性 → 细菌学中间；Xpert Ct=31但AFB 1+ → 细菌学中间；Ultra medium且AFB阴性 → 细菌学高。</w:t>
      </w:r>
    </w:p>
    <w:p w14:paraId="1D18CD1D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胸片影像严重程度轴：Ralph score与空洞（以CXR为准）</w:t>
      </w:r>
    </w:p>
    <w:p w14:paraId="44036C8D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为保证跨中心可比性与全球可推广性，本SOP规定：Baseline分层的影像口径以CXR为主；CT信息仅作补充记录。若CXR不可判读，应优先复拍；无法复拍时提交中心阅片组裁定。</w:t>
      </w:r>
      <w:bookmarkStart w:id="0" w:name="_GoBack"/>
      <w:bookmarkEnd w:id="0"/>
    </w:p>
    <w:p w14:paraId="F8C527FC">
      <w:pPr>
        <w:pStyle w:val="5"/>
        <w:widowControl/>
        <w:numPr>
          <w:ilvl w:val="0"/>
          <w:numId w:val="10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CXR判读要素（必填）</w:t>
      </w:r>
    </w:p>
    <w:p w14:paraId="1E603C4C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Ralph score：记录数值及评分日期。</w:t>
      </w:r>
    </w:p>
    <w:p w14:paraId="1D75DDBB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空洞（cavity）有无：是/否/不可判读。</w:t>
      </w:r>
    </w:p>
    <w:p w14:paraId="4BBFD09A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最大空洞径：cm（如多发空洞记录最大者；无空洞则置空）。</w:t>
      </w:r>
    </w:p>
    <w:p w14:paraId="46385871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4C9FF73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为兼容 TDSC 的嵌套影像学子研究，建议在不改变母研究运行规则的前提下，于 EDC 同步结构化采集以下原始字段：PLI 原始分区或总 PLI、空洞数量、最大空洞径、单双侧以及单发/多发。上述字段主要用于发表性研究与增量分析，不替代本 SOP 的实时分层判定。</w:t>
      </w:r>
    </w:p>
    <w:p w14:paraId="969A7B2D">
      <w:pPr>
        <w:pStyle w:val="5"/>
        <w:widowControl/>
        <w:numPr>
          <w:ilvl w:val="0"/>
          <w:numId w:val="10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影像严重程度（Imaging Severity）判定规则</w:t>
      </w:r>
    </w:p>
    <w:p w14:paraId="BEA9311D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影像轻（I1）：</w:t>
      </w:r>
      <w:r>
        <w:rPr>
          <w:rFonts w:hint="default" w:ascii="Times New Roman" w:hAnsi="Times New Roman" w:eastAsia="宋体" w:cs="Times New Roman"/>
          <w:lang w:eastAsia="zh-CN"/>
        </w:rPr>
        <w:t>Ralph score＜50</w:t>
      </w:r>
      <w:r>
        <w:rPr>
          <w:rFonts w:hint="default" w:ascii="Times New Roman" w:hAnsi="Times New Roman" w:eastAsia="宋体" w:cs="Times New Roman"/>
        </w:rPr>
        <w:t>且无肺部空洞。</w:t>
      </w:r>
    </w:p>
    <w:p w14:paraId="A3E1CFE0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影像中间（I2）：</w:t>
      </w:r>
      <w:r>
        <w:rPr>
          <w:rFonts w:hint="default" w:ascii="Times New Roman" w:hAnsi="Times New Roman" w:eastAsia="宋体" w:cs="Times New Roman"/>
          <w:lang w:eastAsia="zh-CN"/>
        </w:rPr>
        <w:t>Ralph score＜50</w:t>
      </w:r>
      <w:r>
        <w:rPr>
          <w:rFonts w:hint="default" w:ascii="Times New Roman" w:hAnsi="Times New Roman" w:eastAsia="宋体" w:cs="Times New Roman"/>
        </w:rPr>
        <w:t>，但存在单发、小型或边界不清空洞（建议最大径＜2 cm），经阅片后认为总体病变仍偏局限。</w:t>
      </w:r>
    </w:p>
    <w:p w14:paraId="0A7F110F">
      <w:pPr>
        <w:pStyle w:val="19"/>
        <w:widowControl/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影像重（I3）：Ralph score≥50，或存在明确空洞（尤其多发、较大或结构破坏明显者）。</w:t>
      </w:r>
    </w:p>
    <w:p w14:paraId="F50E83FA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红旗变量（Red flags）：最大空洞径&gt;4 cm、双侧广泛受累、进行性破坏征象等应自动标记为“红旗=是”，用于风险提示与加强随访。</w:t>
      </w:r>
    </w:p>
    <w:p w14:paraId="ECB784EA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影像质量不足、Ralph score缺失或空洞状态不可判读：需在48小时内复拍或补评；无法完成者提交中心阅片组裁定并记录。对于小空洞/可疑空洞，优先进入I2而非直接按I3处理。</w:t>
      </w:r>
    </w:p>
    <w:p w14:paraId="9E6614D5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TDSC研究中的使用方式（母研究运行口径）</w:t>
      </w:r>
    </w:p>
    <w:p w14:paraId="2544E13E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当前 TDSC 母研究的官方基线队列分配工具为专家规则型工具，核心整合两条主轴：痰菌阳性度严重程度与胸片影像严重程度。</w:t>
      </w:r>
    </w:p>
    <w:p w14:paraId="3EAF4895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本SOP中的Bacteriological Severity、Imaging Severity与SeverityLayer属于母研究运行工具（trial operations tool），用于基线分层、队列分配、随机化实施和EDC留痕，其目的在于保证跨中心可复制、可审核，同时兼顾研究可招募性，不追求将所有灰区患者一律压入中重度。</w:t>
      </w:r>
    </w:p>
    <w:p w14:paraId="0B5DD7DD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随机化分层因素统一为：研究中心 + 菌负荷层级 + 影像范围层级 + HbA1c分层。具体变量名、阈值及“轻症扩展层”的系统映射规则以锁定版Randomization Specification与SAP为准，且EDC与随机系统必须保持一致。</w:t>
      </w:r>
    </w:p>
    <w:p w14:paraId="7BC1755F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轻症/中重度判定依本SOP的操作规则执行。HbA1c不参与轻症/中重度定义，也不参与队列B第6月微生物学安全门槛（Hard Gate）判定。</w:t>
      </w:r>
    </w:p>
    <w:p w14:paraId="57FA7F19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为避免概念混淆，基于 CXR 的嵌套影像学子研究可进一步使用 PLI 与空洞二维框架开展发表性分析，但不替代本 SOP 的实时分层规则。</w:t>
      </w:r>
    </w:p>
    <w:p w14:paraId="217A8E91">
      <w:pPr>
        <w:pStyle w:val="19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hint="default" w:ascii="Times New Roman" w:hAnsi="Times New Roman" w:eastAsia="宋体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明确轻症（definite mild）：需同时满足以下条件：</w:t>
      </w:r>
    </w:p>
    <w:p w14:paraId="664C0BB4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① 细菌学满足低层级且证据完整，即分子负荷为B1且AFB为S1；若仅有单一低层级细菌学指标，则不得判为明确轻症；② 影像为I1；③ 无红旗变量；④ 无其他明确中重度证据。</w:t>
      </w:r>
    </w:p>
    <w:p w14:paraId="96B8B91D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轻症扩展层（expanded mild）：总体偏轻，但允许存在1个边界项，或仅有单一低层级细菌学指标而影像仍为I1且无红旗。例如：B2+S1+I1；B1+S2+I1；B1+S1+I2；仅有B1+I1且无红旗；仅有S1+I1且无红旗。轻症扩展层可进入轻症路径，但须在EDC中单独标记，并在统计分析中开展敏感性分析。</w:t>
      </w:r>
    </w:p>
    <w:p w14:paraId="5EC562B7">
      <w:pPr>
        <w:pStyle w:val="19"/>
        <w:widowControl/>
        <w:numPr>
          <w:ilvl w:val="0"/>
          <w:numId w:val="11"/>
        </w:numPr>
        <w:topLinePunct w:val="0"/>
        <w:ind w:left="0" w:leftChars="0" w:firstLine="0" w:firstLineChars="0"/>
        <w:rPr>
          <w:rFonts w:hint="default" w:ascii="Times New Roman" w:hAnsi="Times New Roman" w:eastAsia="宋体" w:cs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中重度定义：满足以下任一条件即可判定为中重度——细菌学高层级（B3或S3），或影像为I3，或存在明确红旗变量。对于不满足明确轻症且边界项超过1项者，亦归入中重度。</w:t>
      </w:r>
    </w:p>
    <w:p w14:paraId="3A9F8E00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如影像/细菌学存在“不可判读”或重大不一致，应在随机/分配前完成复核或提交中心仲裁，并保留原始记录与最终裁定；未完成前可暂列待判，不直接进入明确轻症。</w:t>
      </w:r>
    </w:p>
    <w:p w14:paraId="C2A05B29">
      <w:pPr>
        <w:pStyle w:val="4"/>
        <w:widowControl/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缺失、不一致与保守判定规则</w:t>
      </w:r>
    </w:p>
    <w:p w14:paraId="D04593F5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为保证分层可复制、可核查且不因规则过严显著影响招募，本节规定关键指标缺失、不一致和保守处理的优先级，并允许符合条件的边界病例进入“轻症扩展层”。</w:t>
      </w:r>
    </w:p>
    <w:p w14:paraId="C712A175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细菌学缺失处理</w:t>
      </w:r>
    </w:p>
    <w:p w14:paraId="AC69574F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若分子结果缺失但AFB可得，则依据AFB先行分层；AFB为S3者直接判定为中重度，AFB为S1者仅在影像为I1且无红旗时可进入轻症扩展层，AFB为S2者进入待综合判定。</w:t>
      </w:r>
    </w:p>
    <w:p w14:paraId="4C022AA6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若AFB缺失但分子结果可得，则依据平台特异的分子负荷先行分层；B3者直接判定为中重度，B1者在影像为I1且无红旗时可进入轻症扩展层，B2者进入待综合判定。</w:t>
      </w:r>
    </w:p>
    <w:p w14:paraId="52C33134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影像缺失处理</w:t>
      </w:r>
    </w:p>
    <w:p w14:paraId="1DFED724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若Ralph score缺失或空洞状态不可判读，应优先在48小时内补做胸片评分/中心阅片；在完成前不得判定为明确轻症，但可暂列待判。</w:t>
      </w:r>
    </w:p>
    <w:p w14:paraId="35F2DE0D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指标不一致处理</w:t>
      </w:r>
    </w:p>
    <w:p w14:paraId="C196A119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如出现B1但AFB为S3，或</w:t>
      </w:r>
      <w:r>
        <w:rPr>
          <w:rFonts w:hint="default" w:ascii="Times New Roman" w:hAnsi="Times New Roman" w:eastAsia="宋体" w:cs="Times New Roman"/>
          <w:lang w:eastAsia="zh-CN"/>
        </w:rPr>
        <w:t>Ralph score＜50</w:t>
      </w:r>
      <w:r>
        <w:rPr>
          <w:rFonts w:hint="default" w:ascii="Times New Roman" w:hAnsi="Times New Roman" w:eastAsia="宋体" w:cs="Times New Roman"/>
        </w:rPr>
        <w:t>但存在明确多发/大空洞等情形，以中重度判定优先，同时触发第9节质控复核。若仅为单一边界项（如B2或I2），不直接按中重度处理。</w:t>
      </w:r>
    </w:p>
    <w:p w14:paraId="FA2F82BC">
      <w:pPr>
        <w:pStyle w:val="5"/>
        <w:widowControl/>
        <w:numPr>
          <w:ilvl w:val="0"/>
          <w:numId w:val="12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EDC字段（最小必填）</w:t>
      </w:r>
    </w:p>
    <w:p w14:paraId="0152B67D">
      <w:pPr>
        <w:pStyle w:val="19"/>
        <w:widowControl/>
        <w:rPr>
          <w:rFonts w:hint="default" w:ascii="Times New Roman" w:hAnsi="Times New Roman" w:eastAsia="宋体" w:cs="Times New Roman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</w:rPr>
        <w:t>检测平台、Ct值或半定量等级、AFB原始结果及分级体系、AFBSeverity（S1/S2/S3）、分子负荷层级（B1/B2/B3）、Ralph score、空洞有无、最大空洞径、Bacteriological Severity、Imaging Severity、SeverityLayer、轻症扩展层标记、红旗标记、缺失/复核原因。</w:t>
      </w:r>
    </w:p>
    <w:p w14:paraId="3F28A94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治疗开始后的早期反应分层（On-treatment）</w:t>
      </w:r>
    </w:p>
    <w:p w14:paraId="42883A20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关键时间点与窗口期</w:t>
      </w:r>
    </w:p>
    <w:p w14:paraId="2BCD08A9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推荐以Week 8（第56天）作为统一的早期反应分层节点。允许窗口期：第49-63天（±1周）。若超出窗口期，需记录原因，并在统计分析中进行敏感性处理。</w:t>
      </w:r>
    </w:p>
    <w:p w14:paraId="7F75D669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Week 8需采集的最小数据集</w:t>
      </w:r>
    </w:p>
    <w:p w14:paraId="3AD297B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临床症状：按附录A症状清单逐项判断“仍存在/已消失”。</w:t>
      </w:r>
    </w:p>
    <w:p w14:paraId="04276493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AFB涂片：阳性/阴性及分级（如有）。</w:t>
      </w:r>
    </w:p>
    <w:p w14:paraId="6F08679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痰培养（如研究方案采用培养触发或作为重要观察指标）：阳性/阴性/污染/缺失。</w:t>
      </w:r>
    </w:p>
    <w:p w14:paraId="1DF6D1C1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Xpert/Ultra（可选）：仅作为辅助反应指标，不作为单独决策阈值。</w:t>
      </w:r>
    </w:p>
    <w:p w14:paraId="21D2E7C6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关键派生指标：PCD（Persistent Clinical Disease）</w:t>
      </w:r>
    </w:p>
    <w:p w14:paraId="7DD58DBD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PCD定义：Week 8时同时满足：①结核相关症状仍存在；②痰涂片仍阳性。两者缺一不可。PCD用于早期风险提示与预设亚组分析。</w:t>
      </w:r>
    </w:p>
    <w:p w14:paraId="395A0B26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PPTR触发与处置（与研究方案对接）</w:t>
      </w:r>
    </w:p>
    <w:p w14:paraId="1040D304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当研究者在治疗全过程中任意时刻怀疑受试者出现“抗结核疗效欠佳/治疗反应不良（PPTR）”，或正在考虑任何形式的治疗调整（尤其是将疗程延长至超过随机分配方案、完成疗程后再次启动抗结核治疗、因疗效原因更改方案），应立即启动PPTR评估流程：</w:t>
      </w:r>
    </w:p>
    <w:p w14:paraId="6BDA659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第一时间联系中心研究临床医生进行病例讨论与处置建议；除紧急情况外，不应在未沟通前擅自延长或更改方案。</w:t>
      </w:r>
    </w:p>
    <w:p w14:paraId="0A3578AA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在患者病情允许的前提下，应尽可能在改变/延长/重启治疗之前完成评估：</w:t>
      </w:r>
    </w:p>
    <w:p w14:paraId="5E5D68EE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— 1周内采集≥3份痰标本（其中≥2份需在改变/延长/重启治疗前采集，且间隔≥4小时，尽量包含1份清晨痰）送研究实验室进行涂片与培养；若培养阳性则开展药敏试验并保存菌株；</w:t>
      </w:r>
    </w:p>
    <w:p w14:paraId="488E4AB4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— 完成胸部影像学评估（CXR）并填写“疗效欠佳”相关CRF；</w:t>
      </w:r>
    </w:p>
    <w:p w14:paraId="3912A650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— 必要时按受试者同意采集血/尿/痰等生物标志物样本。</w:t>
      </w:r>
    </w:p>
    <w:p w14:paraId="13012EE5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若在 Week 8 发现培养未转阴、症状未缓解、PCD 或 PPTR 信号，应作为早期风险提示并触发加强管理、病例讨论或预设亚组标记；但任何 Week 8 指标、PCD 或 PPTR 信号均不直接构成队列B第6月随机资格判定条件。队列B在26周（6个月）随机化前，仅依据《微生物学安全门槛（Hard Gate）评估与随机前资格判定（SOP02）》完成资格判定。</w:t>
      </w:r>
    </w:p>
    <w:p w14:paraId="1BBABC9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数据录入与派生变量（EDC实现要点）</w:t>
      </w:r>
    </w:p>
    <w:p w14:paraId="04B9C820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建议在EDC中实现自动派生与逻辑校验，避免人为计算差异。</w:t>
      </w:r>
    </w:p>
    <w:p w14:paraId="1EC436F2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派生变量：AFBSeverity（S1/S2/S3）、分子负荷层级（B1/B2/B3）、Bacteriological Severity（低/中/高）、Imaging Severity（I1/I2/I3）、SeverityLayer（轻症/轻症扩展层/中重度）、红旗、PCD等。</w:t>
      </w:r>
    </w:p>
    <w:p w14:paraId="2698F716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逻辑校验示例：B1但AFB=S3 → 自动生成质控工单并按中重度处理；</w:t>
      </w:r>
      <w:r>
        <w:rPr>
          <w:rFonts w:hint="default" w:ascii="Times New Roman" w:hAnsi="Times New Roman" w:eastAsia="宋体" w:cs="Times New Roman"/>
          <w:lang w:eastAsia="zh-CN"/>
        </w:rPr>
        <w:t>Ralph score＜50</w:t>
      </w:r>
      <w:r>
        <w:rPr>
          <w:rFonts w:hint="default" w:ascii="Times New Roman" w:hAnsi="Times New Roman" w:eastAsia="宋体" w:cs="Times New Roman"/>
        </w:rPr>
        <w:t>但空洞=是 → 自动提示进入I2或I3并要求复核；空洞=是但最大空洞径缺失 → 提示补录；轻症扩展层病例自动打标。</w:t>
      </w:r>
    </w:p>
    <w:p w14:paraId="5F55EE4A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关键分层字段须在随机前锁定；任何版本更新需同步更新EDC派生逻辑与培训材料。</w:t>
      </w:r>
    </w:p>
    <w:p w14:paraId="05954A9B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质量控制（QC）与一致性管理</w:t>
      </w:r>
    </w:p>
    <w:p w14:paraId="0AB42D6B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实验室QC</w:t>
      </w:r>
    </w:p>
    <w:p w14:paraId="1C43C6EE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统一培训：各中心实验室需理解并执行国内外AFB分级对应关系、AFBSeverity三级折叠规则及Xpert/Xpert Ultra平台特异的分子负荷分层规则。</w:t>
      </w:r>
    </w:p>
    <w:p w14:paraId="6CC6BF71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不一致触发复核：如低分子负荷但AFB为S3、仅有半定量等级且平台不明、原始报告与EDC折叠结果不一致，或边界病例累计过多等。复核措施可包括重复检测、复采样本、核对标本类型与采样时间。</w:t>
      </w:r>
    </w:p>
    <w:p w14:paraId="2E55BB2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记录与闭环：所有复核均需在EDC中记录触发原因、处理过程与最终结论。</w:t>
      </w:r>
    </w:p>
    <w:p w14:paraId="67DAEC1B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影像QC</w:t>
      </w:r>
    </w:p>
    <w:p w14:paraId="40CB4E4B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中心化阅片（建议）：至少对“Ralph score”“空洞有无”“最大空洞径”进行双人阅片与分歧仲裁。</w:t>
      </w:r>
    </w:p>
    <w:p w14:paraId="7B0072F0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一致性训练：入组前提供标准示例与判读要点；定期抽样复核一致性。</w:t>
      </w:r>
    </w:p>
    <w:p w14:paraId="7EFD318F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不可判读管理：出现不可判读影像时，优先复拍；无法复拍则提交中心阅片组裁定并记录。</w:t>
      </w:r>
    </w:p>
    <w:p w14:paraId="3B9D760B">
      <w:pPr>
        <w:pStyle w:val="4"/>
        <w:widowControl/>
        <w:numPr>
          <w:ilvl w:val="0"/>
          <w:numId w:val="14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数据QC</w:t>
      </w:r>
    </w:p>
    <w:p w14:paraId="367D8A59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DM定期生成缺失/异常清单并推动闭环；</w:t>
      </w:r>
    </w:p>
    <w:p w14:paraId="50DBB9D8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随机前关键字段完整性核查（无CXR/Ralph score或无任何细菌学结果原则上不允许随机；关键指标缺失者原则上不得进入明确轻症，但可暂列待判或轻症扩展层）；</w:t>
      </w:r>
    </w:p>
    <w:p w14:paraId="7AAB3BF1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运行期比例监测：完成前50例、100例、200例基线分层后，由DM与统计团队开展盲态运行监测，评估轻症/中重度比例。若轻症比例持续低于25%或高于70%，应启动预设的规则回顾与版本修订评估，但不得基于结局数据调整阈值。</w:t>
      </w:r>
    </w:p>
    <w:p w14:paraId="04F48EC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eCRF/EDC 字段字典（最小必填集）</w:t>
      </w:r>
    </w:p>
    <w:p w14:paraId="46D0DACF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说明：以下为建议最小必填字段集；各中心可按研究需要扩展。派生字段由EDC自动生成，研究者仅需核对与确认。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3574"/>
        <w:gridCol w:w="1728"/>
        <w:gridCol w:w="2321"/>
      </w:tblGrid>
      <w:tr w14:paraId="206DE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01646CC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域</w:t>
            </w:r>
          </w:p>
        </w:tc>
        <w:tc>
          <w:tcPr>
            <w:tcW w:w="1925" w:type="pct"/>
          </w:tcPr>
          <w:p w14:paraId="503B3A73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字段（示例）</w:t>
            </w:r>
          </w:p>
        </w:tc>
        <w:tc>
          <w:tcPr>
            <w:tcW w:w="931" w:type="pct"/>
          </w:tcPr>
          <w:p w14:paraId="2645443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类型/取值</w:t>
            </w:r>
          </w:p>
        </w:tc>
        <w:tc>
          <w:tcPr>
            <w:tcW w:w="1250" w:type="pct"/>
          </w:tcPr>
          <w:p w14:paraId="4ED26D7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备注</w:t>
            </w:r>
          </w:p>
        </w:tc>
      </w:tr>
      <w:tr w14:paraId="1C70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590ED4F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受试者信息</w:t>
            </w:r>
          </w:p>
        </w:tc>
        <w:tc>
          <w:tcPr>
            <w:tcW w:w="1925" w:type="pct"/>
          </w:tcPr>
          <w:p w14:paraId="33231B46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筛选/基线日期；首次给药日期</w:t>
            </w:r>
          </w:p>
        </w:tc>
        <w:tc>
          <w:tcPr>
            <w:tcW w:w="931" w:type="pct"/>
          </w:tcPr>
          <w:p w14:paraId="474AF1E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日期</w:t>
            </w:r>
          </w:p>
        </w:tc>
        <w:tc>
          <w:tcPr>
            <w:tcW w:w="1250" w:type="pct"/>
          </w:tcPr>
          <w:p w14:paraId="0067D99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用于确定时间窗与派生Week 8/M6节点</w:t>
            </w:r>
          </w:p>
        </w:tc>
      </w:tr>
      <w:tr w14:paraId="1C044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089646A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细菌学-平台</w:t>
            </w:r>
          </w:p>
        </w:tc>
        <w:tc>
          <w:tcPr>
            <w:tcW w:w="1925" w:type="pct"/>
          </w:tcPr>
          <w:p w14:paraId="76B0C35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检测平台（Xpert MTB/RIF或Xpert MTB/RIF Ultra）；报告格式（Ct/半定量）</w:t>
            </w:r>
          </w:p>
        </w:tc>
        <w:tc>
          <w:tcPr>
            <w:tcW w:w="931" w:type="pct"/>
          </w:tcPr>
          <w:p w14:paraId="78690F6A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枚举</w:t>
            </w:r>
          </w:p>
        </w:tc>
        <w:tc>
          <w:tcPr>
            <w:tcW w:w="1250" w:type="pct"/>
          </w:tcPr>
          <w:p w14:paraId="53CD96A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必填</w:t>
            </w:r>
          </w:p>
        </w:tc>
      </w:tr>
      <w:tr w14:paraId="52C8F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7771D3F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细菌学-原始结果</w:t>
            </w:r>
          </w:p>
        </w:tc>
        <w:tc>
          <w:tcPr>
            <w:tcW w:w="1925" w:type="pct"/>
          </w:tcPr>
          <w:p w14:paraId="71CBD03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Xpert/Ultra Ct值（如有）；半定量等级（high/medium/low/very low/trace）</w:t>
            </w:r>
          </w:p>
        </w:tc>
        <w:tc>
          <w:tcPr>
            <w:tcW w:w="931" w:type="pct"/>
          </w:tcPr>
          <w:p w14:paraId="2526C0D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数值/枚举</w:t>
            </w:r>
          </w:p>
        </w:tc>
        <w:tc>
          <w:tcPr>
            <w:tcW w:w="1250" w:type="pct"/>
          </w:tcPr>
          <w:p w14:paraId="5EA8223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保留原始报告信息；平台特异解释</w:t>
            </w:r>
          </w:p>
        </w:tc>
      </w:tr>
      <w:tr w14:paraId="7B4F4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6400A83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细菌学-涂片</w:t>
            </w:r>
          </w:p>
        </w:tc>
        <w:tc>
          <w:tcPr>
            <w:tcW w:w="1925" w:type="pct"/>
          </w:tcPr>
          <w:p w14:paraId="351BE94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AFB原始结果（国内0/1/2/3/4、国内“报告菌数”、国际0/scanty/1+/2+/3+或+至++++）；分级体系；AFBSeverity</w:t>
            </w:r>
          </w:p>
        </w:tc>
        <w:tc>
          <w:tcPr>
            <w:tcW w:w="931" w:type="pct"/>
          </w:tcPr>
          <w:p w14:paraId="9ED1476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文本/枚举</w:t>
            </w:r>
          </w:p>
        </w:tc>
        <w:tc>
          <w:tcPr>
            <w:tcW w:w="1250" w:type="pct"/>
          </w:tcPr>
          <w:p w14:paraId="3197043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建议保留原始文本并标明国内/国际/“+”体系；EDC应内置自动映射字典</w:t>
            </w:r>
          </w:p>
        </w:tc>
      </w:tr>
      <w:tr w14:paraId="03F8C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D3CCCAE4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细菌学-综合判定</w:t>
            </w:r>
          </w:p>
        </w:tc>
        <w:tc>
          <w:tcPr>
            <w:tcW w:w="1925" w:type="pct"/>
          </w:tcPr>
          <w:p w14:paraId="56A972E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分子负荷层级（B1/B2/B3）；AFBSeverity（S1/S2/S3）；Bacteriological Severity</w:t>
            </w:r>
          </w:p>
        </w:tc>
        <w:tc>
          <w:tcPr>
            <w:tcW w:w="931" w:type="pct"/>
          </w:tcPr>
          <w:p w14:paraId="1A5112E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枚举/文本</w:t>
            </w:r>
          </w:p>
        </w:tc>
        <w:tc>
          <w:tcPr>
            <w:tcW w:w="1250" w:type="pct"/>
          </w:tcPr>
          <w:p w14:paraId="3A3EB54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随机/分层前锁定；不得将Xpert与Ultra Ct直接等同</w:t>
            </w:r>
          </w:p>
        </w:tc>
      </w:tr>
      <w:tr w14:paraId="4E66E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630096A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培养（如适用）</w:t>
            </w:r>
          </w:p>
        </w:tc>
        <w:tc>
          <w:tcPr>
            <w:tcW w:w="1925" w:type="pct"/>
          </w:tcPr>
          <w:p w14:paraId="05EAB1A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培养结果：阳性/阴性/污染/缺失；报告日期</w:t>
            </w:r>
          </w:p>
        </w:tc>
        <w:tc>
          <w:tcPr>
            <w:tcW w:w="931" w:type="pct"/>
          </w:tcPr>
          <w:p w14:paraId="4DD24EC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枚举/日期</w:t>
            </w:r>
          </w:p>
        </w:tc>
        <w:tc>
          <w:tcPr>
            <w:tcW w:w="1250" w:type="pct"/>
          </w:tcPr>
          <w:p w14:paraId="2031A77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按研究方案要求执行</w:t>
            </w:r>
          </w:p>
        </w:tc>
      </w:tr>
      <w:tr w14:paraId="39FCC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6B9811B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影像学-原始结果</w:t>
            </w:r>
          </w:p>
        </w:tc>
        <w:tc>
          <w:tcPr>
            <w:tcW w:w="1925" w:type="pct"/>
          </w:tcPr>
          <w:p w14:paraId="647559E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CXR日期；Ralph score；空洞有无；最大空洞径；CT补充记录（如有）</w:t>
            </w:r>
          </w:p>
        </w:tc>
        <w:tc>
          <w:tcPr>
            <w:tcW w:w="931" w:type="pct"/>
          </w:tcPr>
          <w:p w14:paraId="9BDE51CB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日期/数值/枚举</w:t>
            </w:r>
          </w:p>
        </w:tc>
        <w:tc>
          <w:tcPr>
            <w:tcW w:w="1250" w:type="pct"/>
          </w:tcPr>
          <w:p w14:paraId="829FC3E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以CXR为主分层口径</w:t>
            </w:r>
          </w:p>
        </w:tc>
      </w:tr>
      <w:tr w14:paraId="1744F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F8D22FC7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派生-基线</w:t>
            </w:r>
          </w:p>
        </w:tc>
        <w:tc>
          <w:tcPr>
            <w:tcW w:w="1925" w:type="pct"/>
          </w:tcPr>
          <w:p w14:paraId="4C631EA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AFB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</w:rPr>
              <w:t>Severity；分子负荷层级；Bacteriological Severity；Imaging Severity；SeverityLayer；轻症扩展层标记；红旗</w:t>
            </w:r>
          </w:p>
        </w:tc>
        <w:tc>
          <w:tcPr>
            <w:tcW w:w="931" w:type="pct"/>
          </w:tcPr>
          <w:p w14:paraId="208188D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枚举</w:t>
            </w:r>
          </w:p>
        </w:tc>
        <w:tc>
          <w:tcPr>
            <w:tcW w:w="1250" w:type="pct"/>
          </w:tcPr>
          <w:p w14:paraId="3A63FC4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由EDC自动派生（随机/分配前锁定）</w:t>
            </w:r>
          </w:p>
        </w:tc>
      </w:tr>
      <w:tr w14:paraId="46262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3FE4664B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Week 8（±1周）</w:t>
            </w:r>
          </w:p>
        </w:tc>
        <w:tc>
          <w:tcPr>
            <w:tcW w:w="1925" w:type="pct"/>
          </w:tcPr>
          <w:p w14:paraId="7F2B0292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症状清单逐项（仍存在/已消失）；AFB折叠分级；培养结果（如适用）；PCD（是/否）</w:t>
            </w:r>
          </w:p>
        </w:tc>
        <w:tc>
          <w:tcPr>
            <w:tcW w:w="931" w:type="pct"/>
          </w:tcPr>
          <w:p w14:paraId="5E01070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枚举</w:t>
            </w:r>
          </w:p>
        </w:tc>
        <w:tc>
          <w:tcPr>
            <w:tcW w:w="1250" w:type="pct"/>
          </w:tcPr>
          <w:p w14:paraId="19B074D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用于早期反应表型与风险提示</w:t>
            </w:r>
          </w:p>
        </w:tc>
      </w:tr>
      <w:tr w14:paraId="21492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" w:type="pct"/>
          </w:tcPr>
          <w:p w14:paraId="25C08AD1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质控标记</w:t>
            </w:r>
          </w:p>
        </w:tc>
        <w:tc>
          <w:tcPr>
            <w:tcW w:w="1925" w:type="pct"/>
          </w:tcPr>
          <w:p w14:paraId="2666356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实验室不一致触发；影像不可判读；关键缺失；窗口外</w:t>
            </w:r>
          </w:p>
        </w:tc>
        <w:tc>
          <w:tcPr>
            <w:tcW w:w="931" w:type="pct"/>
          </w:tcPr>
          <w:p w14:paraId="2DF8743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是/否+原因</w:t>
            </w:r>
          </w:p>
        </w:tc>
        <w:tc>
          <w:tcPr>
            <w:tcW w:w="1250" w:type="pct"/>
          </w:tcPr>
          <w:p w14:paraId="527B1C8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用于追溯与敏感性分析</w:t>
            </w:r>
          </w:p>
        </w:tc>
      </w:tr>
    </w:tbl>
    <w:p w14:paraId="16280146">
      <w:pPr>
        <w:rPr>
          <w:rFonts w:hint="default" w:ascii="Times New Roman" w:hAnsi="Times New Roman" w:eastAsia="宋体" w:cs="Times New Roman"/>
          <w:sz w:val="24"/>
          <w:szCs w:val="24"/>
        </w:rPr>
      </w:pPr>
    </w:p>
    <w:p w14:paraId="5CD192C2">
      <w:pPr>
        <w:pStyle w:val="164"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附录A：Week 8 结核相关症状清单（建议）</w:t>
      </w:r>
    </w:p>
    <w:p w14:paraId="568C3B7A">
      <w:pPr>
        <w:pStyle w:val="19"/>
        <w:widowControl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b w:val="0"/>
          <w:sz w:val="24"/>
        </w:rPr>
        <w:t>建议采用“逐项评估 + 总体是否仍存在症状（w8_symptom_any）”的方式。以下任一症状仍存在，可记为“是”。</w:t>
      </w:r>
    </w:p>
    <w:p w14:paraId="3548550A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咳嗽/咳痰（与治疗前相比无明显改善或仍影响日常）</w:t>
      </w:r>
    </w:p>
    <w:p w14:paraId="7A8BF795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发热（腋温≥37.3°C或临床判断持续低热）</w:t>
      </w:r>
    </w:p>
    <w:p w14:paraId="3FFF0C4F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盗汗</w:t>
      </w:r>
    </w:p>
    <w:p w14:paraId="5D7B2C7D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胸痛/呼吸困难</w:t>
      </w:r>
    </w:p>
    <w:p w14:paraId="10F07E1B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咯血</w:t>
      </w:r>
    </w:p>
    <w:p w14:paraId="24A72F4C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乏力/体重下降（以临床判断为主）</w:t>
      </w:r>
    </w:p>
    <w:p w14:paraId="34A75726">
      <w:pPr>
        <w:pStyle w:val="164"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附录B：Baseline分层决策流程（文字版）</w:t>
      </w:r>
    </w:p>
    <w:p w14:paraId="681DB7D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1）收集Baseline实验室与影像字段（见第10节）。</w:t>
      </w:r>
    </w:p>
    <w:p w14:paraId="3C9EDC71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2）记录检测平台（Xpert或Ultra）、Ct值或半定量等级，并保留原始报告。</w:t>
      </w:r>
    </w:p>
    <w:p w14:paraId="00DC23CB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3）记录AFB原始结果、分级体系（国内/国际/其他）并按6.2.3派生AFBSeverity（S1/S2/S3）。</w:t>
      </w:r>
    </w:p>
    <w:p w14:paraId="DD22DDD1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4）按6.2.4判定Bacteriological Severity（低/中/高）及分子负荷层级（B1/B2/B3）。</w:t>
      </w:r>
    </w:p>
    <w:p w14:paraId="EB3A7449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5）按6.3.2判定Imaging Severity（I1/I2/I3），并按同节规则标记红旗。</w:t>
      </w:r>
    </w:p>
    <w:p w14:paraId="1A21169F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6）按6.4合并判定总体SeverityLayer（轻症/轻症扩展层/中重度）。</w:t>
      </w:r>
    </w:p>
    <w:p w14:paraId="B71313F6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7）在随机系统中使用“研究中心 + 菌负荷层级 + 影像范围层级 + HbA1c 分层”作为随机化分层因素，并在EDC中锁定分层变量；如母研究正式使用两分类，轻症扩展层的映射规则须预先锁定。</w:t>
      </w:r>
    </w:p>
    <w:p w14:paraId="1DD537DB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8）如出现不可判读、关键缺失或指标不一致，按第6.5节和第9节流程处理后方可随机/分配。</w:t>
      </w:r>
    </w:p>
    <w:p w14:paraId="53D31DAC">
      <w:pPr>
        <w:pStyle w:val="164"/>
        <w:widowControl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附录C：常见问题与处理原则（摘选）</w:t>
      </w:r>
    </w:p>
    <w:p w14:paraId="5EA659C5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仅有Xpert/Ultra半定量、无Ct：须保留原始结果；可按对应平台半定量等级直接进入B1/B2/B3分层，不必因无Ct而一律排除轻症。</w:t>
      </w:r>
    </w:p>
    <w:p w14:paraId="EBDE340A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Ultra报告trace：应保留原始报告并结合AFB与影像综合判断；若AFB为S1、影像为I1且细菌学证据完整，可进入明确轻症；若仅具单一低层级细菌学证据或存在其他边界项，则进入轻症扩展层；如存在相反高危证据，则不得归入轻症。</w:t>
      </w:r>
    </w:p>
    <w:p w14:paraId="D621B657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低分子负荷但AFB为S3：按中重度分层，同时触发实验室复核；不得因“疑似异常”而降级。</w:t>
      </w:r>
    </w:p>
    <w:p w14:paraId="A1426DE9">
      <w:pPr>
        <w:pStyle w:val="19"/>
        <w:widowControl/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</w:rPr>
        <w:t>CXR与CT对空洞判读不一致：Baseline分层以CXR为准；CT差异作为补充记录。对于小型/可疑空洞，优先提交中心阅片仲裁并考虑归入I2。</w:t>
      </w:r>
    </w:p>
    <w:p w14:paraId="4EEE2426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</w:rPr>
        <w:t>版本管理与修订记录</w:t>
      </w:r>
    </w:p>
    <w:tbl>
      <w:tblPr>
        <w:tblStyle w:val="33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1675"/>
        <w:gridCol w:w="4176"/>
        <w:gridCol w:w="2319"/>
      </w:tblGrid>
      <w:tr w14:paraId="1848D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6D2E9C9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版本</w:t>
            </w:r>
          </w:p>
        </w:tc>
        <w:tc>
          <w:tcPr>
            <w:tcW w:w="902" w:type="pct"/>
          </w:tcPr>
          <w:p w14:paraId="55168C9E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日期</w:t>
            </w:r>
          </w:p>
        </w:tc>
        <w:tc>
          <w:tcPr>
            <w:tcW w:w="2249" w:type="pct"/>
          </w:tcPr>
          <w:p w14:paraId="7D75A75F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修订说明</w:t>
            </w:r>
          </w:p>
        </w:tc>
        <w:tc>
          <w:tcPr>
            <w:tcW w:w="1249" w:type="pct"/>
          </w:tcPr>
          <w:p w14:paraId="6EC36FFC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批准</w:t>
            </w:r>
          </w:p>
        </w:tc>
      </w:tr>
      <w:tr w14:paraId="72A71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78FF1517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V1.0</w:t>
            </w:r>
          </w:p>
        </w:tc>
        <w:tc>
          <w:tcPr>
            <w:tcW w:w="902" w:type="pct"/>
          </w:tcPr>
          <w:p w14:paraId="4DAF3F7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2026-02-06</w:t>
            </w:r>
          </w:p>
        </w:tc>
        <w:tc>
          <w:tcPr>
            <w:tcW w:w="2249" w:type="pct"/>
          </w:tcPr>
          <w:p w14:paraId="63A1723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首次发布。</w:t>
            </w:r>
          </w:p>
        </w:tc>
        <w:tc>
          <w:tcPr>
            <w:tcW w:w="1249" w:type="pct"/>
          </w:tcPr>
          <w:p w14:paraId="1848C270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</w:t>
            </w:r>
          </w:p>
        </w:tc>
      </w:tr>
      <w:tr w14:paraId="6B3D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1AC4AA98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V1.1</w:t>
            </w:r>
          </w:p>
        </w:tc>
        <w:tc>
          <w:tcPr>
            <w:tcW w:w="902" w:type="pct"/>
          </w:tcPr>
          <w:p w14:paraId="42A62A35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2026-03-04</w:t>
            </w:r>
          </w:p>
        </w:tc>
        <w:tc>
          <w:tcPr>
            <w:tcW w:w="2249" w:type="pct"/>
          </w:tcPr>
          <w:p w14:paraId="1421331A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按研究方案V2.0更新：补充HbA1c分层（6.5）并纳入随机分层/队列归类；修订SmearTier口径（≥1+不再归低负荷）；更新队列B门槛评估的SOP02引用与EDC字段。</w:t>
            </w:r>
          </w:p>
        </w:tc>
        <w:tc>
          <w:tcPr>
            <w:tcW w:w="1249" w:type="pct"/>
          </w:tcPr>
          <w:p w14:paraId="079E2384">
            <w:pPr>
              <w:spacing w:after="0" w:line="240" w:lineRule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_____</w:t>
            </w:r>
          </w:p>
        </w:tc>
      </w:tr>
      <w:tr w14:paraId="4C554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8" w:type="pct"/>
          </w:tcPr>
          <w:p w14:paraId="B362766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V1.2</w:t>
            </w:r>
          </w:p>
        </w:tc>
        <w:tc>
          <w:tcPr>
            <w:tcW w:w="902" w:type="pct"/>
          </w:tcPr>
          <w:p w14:paraId="A291522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2026-03-10</w:t>
            </w:r>
          </w:p>
        </w:tc>
        <w:tc>
          <w:tcPr>
            <w:tcW w:w="2249" w:type="pct"/>
          </w:tcPr>
          <w:p w14:paraId="A4758668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新增国内外AFB分级对应说明；将患者分层改为基于痰菌阳性度和胸片影像严重程度的轻/重症二级分层；同步更新EDC字段、流程与质控。</w:t>
            </w:r>
          </w:p>
        </w:tc>
        <w:tc>
          <w:tcPr>
            <w:tcW w:w="1249" w:type="pct"/>
          </w:tcPr>
          <w:p w14:paraId="68977F2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_____</w:t>
            </w:r>
          </w:p>
        </w:tc>
      </w:tr>
      <w:tr w14:paraId="31267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 w14:paraId="2668BFF5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V1.3</w:t>
            </w:r>
          </w:p>
        </w:tc>
        <w:tc>
          <w:tcPr>
            <w:tcW w:w="1675" w:type="dxa"/>
          </w:tcPr>
          <w:p w14:paraId="34E8B836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2026-03-17</w:t>
            </w:r>
          </w:p>
        </w:tc>
        <w:tc>
          <w:tcPr>
            <w:tcW w:w="4176" w:type="dxa"/>
          </w:tcPr>
          <w:p w14:paraId="497B55E3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依据多中心混用Xpert/Ultra的讨论，改为平台特异三级细菌学分层；新增影像中间层与“轻症扩展层”；补充运行期轻症比例监测机制，以兼顾安全性与可招募性。</w:t>
            </w:r>
          </w:p>
        </w:tc>
        <w:tc>
          <w:tcPr>
            <w:tcW w:w="2319" w:type="dxa"/>
          </w:tcPr>
          <w:p w14:paraId="17C1F02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_____</w:t>
            </w:r>
          </w:p>
        </w:tc>
      </w:tr>
      <w:tr w14:paraId="4341B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0" w:type="dxa"/>
          </w:tcPr>
          <w:p w14:paraId="5645229C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V1.4</w:t>
            </w:r>
          </w:p>
        </w:tc>
        <w:tc>
          <w:tcPr>
            <w:tcW w:w="1675" w:type="dxa"/>
          </w:tcPr>
          <w:p w14:paraId="243461BD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2026-03-20</w:t>
            </w:r>
          </w:p>
        </w:tc>
        <w:tc>
          <w:tcPr>
            <w:tcW w:w="4176" w:type="dxa"/>
          </w:tcPr>
          <w:p w14:paraId="2D2D0F7E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统一并细化AFB国内/国际/“+”体系折叠规则；明确“单一低层级细菌学指标”仅可进入轻症扩展层而不可直接定义为明确轻症；修正附录交叉引用错误、删除重复语句，并统一Xpert/Xpert Ultra字段表述。</w:t>
            </w:r>
          </w:p>
        </w:tc>
        <w:tc>
          <w:tcPr>
            <w:tcW w:w="2319" w:type="dxa"/>
          </w:tcPr>
          <w:p w14:paraId="54F1838F">
            <w:pPr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_____</w:t>
            </w:r>
          </w:p>
        </w:tc>
      </w:tr>
    </w:tbl>
    <w:p w14:paraId="6CB0BD05">
      <w:pPr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522684"/>
    <w:multiLevelType w:val="singleLevel"/>
    <w:tmpl w:val="A7522684"/>
    <w:lvl w:ilvl="0" w:tentative="0">
      <w:start w:val="1"/>
      <w:numFmt w:val="decimal"/>
      <w:suff w:val="space"/>
      <w:lvlText w:val="6.2.%1"/>
      <w:lvlJc w:val="left"/>
      <w:pPr>
        <w:ind w:left="0" w:firstLine="0"/>
      </w:pPr>
      <w:rPr>
        <w:rFonts w:hint="default"/>
      </w:rPr>
    </w:lvl>
  </w:abstractNum>
  <w:abstractNum w:abstractNumId="1">
    <w:nsid w:val="B1EAD836"/>
    <w:multiLevelType w:val="singleLevel"/>
    <w:tmpl w:val="B1EAD836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2">
    <w:nsid w:val="CDD02917"/>
    <w:multiLevelType w:val="singleLevel"/>
    <w:tmpl w:val="CDD02917"/>
    <w:lvl w:ilvl="0" w:tentative="0">
      <w:start w:val="1"/>
      <w:numFmt w:val="decimal"/>
      <w:suff w:val="space"/>
      <w:lvlText w:val="6.3.%1"/>
      <w:lvlJc w:val="left"/>
      <w:pPr>
        <w:ind w:left="0" w:firstLine="0"/>
      </w:pPr>
      <w:rPr>
        <w:rFonts w:hint="default"/>
      </w:rPr>
    </w:lvl>
  </w:abstractNum>
  <w:abstractNum w:abstractNumId="3">
    <w:nsid w:val="CE59C385"/>
    <w:multiLevelType w:val="singleLevel"/>
    <w:tmpl w:val="CE59C385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4">
    <w:nsid w:val="00000000"/>
    <w:multiLevelType w:val="singleLevel"/>
    <w:tmpl w:val="00000000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00000001"/>
    <w:multiLevelType w:val="singleLevel"/>
    <w:tmpl w:val="00000001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00000002"/>
    <w:multiLevelType w:val="singleLevel"/>
    <w:tmpl w:val="0000000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00000003"/>
    <w:multiLevelType w:val="singleLevel"/>
    <w:tmpl w:val="0000000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00000004"/>
    <w:multiLevelType w:val="singleLevel"/>
    <w:tmpl w:val="00000004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00000005"/>
    <w:multiLevelType w:val="singleLevel"/>
    <w:tmpl w:val="00000005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1EAB0116"/>
    <w:multiLevelType w:val="singleLevel"/>
    <w:tmpl w:val="1EAB0116"/>
    <w:lvl w:ilvl="0" w:tentative="0">
      <w:start w:val="1"/>
      <w:numFmt w:val="decimal"/>
      <w:suff w:val="space"/>
      <w:lvlText w:val="6.5.%1"/>
      <w:lvlJc w:val="left"/>
      <w:pPr>
        <w:ind w:left="0" w:firstLine="0"/>
      </w:pPr>
      <w:rPr>
        <w:rFonts w:hint="default"/>
      </w:rPr>
    </w:lvl>
  </w:abstractNum>
  <w:abstractNum w:abstractNumId="11">
    <w:nsid w:val="29EABE2F"/>
    <w:multiLevelType w:val="singleLevel"/>
    <w:tmpl w:val="29EABE2F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12">
    <w:nsid w:val="49422FF9"/>
    <w:multiLevelType w:val="singleLevel"/>
    <w:tmpl w:val="49422FF9"/>
    <w:lvl w:ilvl="0" w:tentative="0">
      <w:start w:val="1"/>
      <w:numFmt w:val="decimal"/>
      <w:suff w:val="space"/>
      <w:lvlText w:val="9.%1"/>
      <w:lvlJc w:val="left"/>
      <w:pPr>
        <w:ind w:left="0" w:firstLine="0"/>
      </w:pPr>
      <w:rPr>
        <w:rFonts w:hint="default"/>
      </w:rPr>
    </w:lvl>
  </w:abstractNum>
  <w:abstractNum w:abstractNumId="13">
    <w:nsid w:val="55C83E18"/>
    <w:multiLevelType w:val="singleLevel"/>
    <w:tmpl w:val="55C83E1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6"/>
  </w:num>
  <w:num w:numId="5">
    <w:abstractNumId w:val="4"/>
  </w:num>
  <w:num w:numId="6">
    <w:abstractNumId w:val="7"/>
  </w:num>
  <w:num w:numId="7">
    <w:abstractNumId w:val="13"/>
  </w:num>
  <w:num w:numId="8">
    <w:abstractNumId w:val="1"/>
  </w:num>
  <w:num w:numId="9">
    <w:abstractNumId w:val="0"/>
  </w:num>
  <w:num w:numId="10">
    <w:abstractNumId w:val="2"/>
  </w:num>
  <w:num w:numId="11">
    <w:abstractNumId w:val="11"/>
  </w:num>
  <w:num w:numId="12">
    <w:abstractNumId w:val="10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6A2DB6"/>
    <w:rsid w:val="11687794"/>
    <w:rsid w:val="12D9220E"/>
    <w:rsid w:val="1C24274C"/>
    <w:rsid w:val="2D81246E"/>
    <w:rsid w:val="2EBC43DC"/>
    <w:rsid w:val="307C20E1"/>
    <w:rsid w:val="34EA02E5"/>
    <w:rsid w:val="37E877C2"/>
    <w:rsid w:val="43345FE1"/>
    <w:rsid w:val="46B336CE"/>
    <w:rsid w:val="4A8561FD"/>
    <w:rsid w:val="50D13F4A"/>
    <w:rsid w:val="54B27BEE"/>
    <w:rsid w:val="56E00DEB"/>
    <w:rsid w:val="584C5969"/>
    <w:rsid w:val="5C0A5ADC"/>
    <w:rsid w:val="5D423AA9"/>
    <w:rsid w:val="61300818"/>
    <w:rsid w:val="6259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99" w:semiHidden="0" w:name="macro"/>
    <w:lsdException w:unhideWhenUsed="0" w:uiPriority="0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="宋体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widowControl/>
      <w:spacing w:before="200" w:after="80" w:line="240" w:lineRule="auto"/>
      <w:ind w:left="0" w:leftChars="0" w:firstLine="0" w:firstLineChars="0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qFormat/>
    <w:uiPriority w:val="9"/>
    <w:pPr>
      <w:widowControl/>
      <w:spacing w:before="200" w:after="80" w:line="240" w:lineRule="auto"/>
      <w:ind w:left="0" w:leftChars="0" w:firstLine="0" w:firstLineChars="0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qFormat/>
    <w:uiPriority w:val="9"/>
    <w:pPr>
      <w:widowControl/>
      <w:spacing w:before="160" w:after="40" w:line="240" w:lineRule="auto"/>
      <w:ind w:left="0" w:leftChars="0" w:firstLine="0" w:firstLineChars="0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qFormat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qFormat/>
    <w:uiPriority w:val="99"/>
    <w:pPr>
      <w:widowControl/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qFormat/>
    <w:uiPriority w:val="99"/>
    <w:pPr>
      <w:ind w:left="720" w:hanging="360"/>
      <w:contextualSpacing/>
    </w:pPr>
  </w:style>
  <w:style w:type="paragraph" w:styleId="22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29">
    <w:name w:val="List Continue 2"/>
    <w:basedOn w:val="1"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widowControl/>
      <w:spacing w:before="240" w:after="120" w:line="240" w:lineRule="auto"/>
      <w:ind w:firstLine="2249" w:firstLineChars="700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/>
      </w:tcPr>
    </w:tblStylePr>
    <w:tblStylePr w:type="band1Horz">
      <w:tblPr/>
      <w:tcPr>
        <w:shd w:val="clear" w:color="auto" w:fill="D7D7D7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7F7F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C0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e5bfb90a-e954-4a89-9e9a-bfb4c924ca92"/>
    <w:basedOn w:val="132"/>
    <w:link w:val="25"/>
    <w:qFormat/>
    <w:uiPriority w:val="99"/>
  </w:style>
  <w:style w:type="character" w:customStyle="1" w:styleId="136">
    <w:name w:val="Footer Char_9fc92665-622b-4a64-9eb3-04d791a02f69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38">
    <w:name w:val="Heading 1 Char_b57e6bbf-6050-498d-b2c4-f616caf37cad"/>
    <w:basedOn w:val="132"/>
    <w:link w:val="3"/>
    <w:qFormat/>
    <w:uiPriority w:val="9"/>
    <w:rPr>
      <w:rFonts w:ascii="Calibri" w:hAnsi="Calibri" w:eastAsia="MS Gothic" w:cs="宋体"/>
      <w:b/>
      <w:bCs/>
      <w:color w:val="376092"/>
      <w:sz w:val="28"/>
      <w:szCs w:val="28"/>
    </w:rPr>
  </w:style>
  <w:style w:type="character" w:customStyle="1" w:styleId="139">
    <w:name w:val="Heading 2 Char_e24c4726-d7b3-46e2-b08b-102dd88b9ab9"/>
    <w:basedOn w:val="132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84c03ec5-9864-46fa-a730-d7bfd3ebe44e"/>
    <w:basedOn w:val="132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7af7dce7-dcf3-4225-959b-e7080c07c646"/>
    <w:basedOn w:val="132"/>
    <w:link w:val="31"/>
    <w:qFormat/>
    <w:uiPriority w:val="10"/>
    <w:rPr>
      <w:rFonts w:ascii="Calibri" w:hAnsi="Calibri" w:eastAsia="MS Gothic" w:cs="宋体"/>
      <w:color w:val="17375E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cb41dfb9-41de-4d52-b8bc-09301e80a27d"/>
    <w:basedOn w:val="132"/>
    <w:link w:val="148"/>
    <w:qFormat/>
    <w:uiPriority w:val="29"/>
    <w:rPr>
      <w:i/>
      <w:iCs/>
      <w:color w:val="000000"/>
    </w:rPr>
  </w:style>
  <w:style w:type="character" w:customStyle="1" w:styleId="150">
    <w:name w:val="Heading 4 Char_7ea7e50f-586a-4f01-ab2e-75b0051a04d4"/>
    <w:basedOn w:val="132"/>
    <w:link w:val="6"/>
    <w:qFormat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5a0e3743-4a4e-444f-b8ac-9acee62a2211"/>
    <w:basedOn w:val="132"/>
    <w:link w:val="7"/>
    <w:qFormat/>
    <w:uiPriority w:val="9"/>
    <w:rPr>
      <w:rFonts w:ascii="Calibri" w:hAnsi="Calibri" w:eastAsia="MS Gothic" w:cs="宋体"/>
      <w:color w:val="254061"/>
    </w:rPr>
  </w:style>
  <w:style w:type="character" w:customStyle="1" w:styleId="152">
    <w:name w:val="Heading 6 Char_12415d56-1c07-4b59-b188-5bf683ca318b"/>
    <w:basedOn w:val="132"/>
    <w:link w:val="8"/>
    <w:qFormat/>
    <w:uiPriority w:val="9"/>
    <w:rPr>
      <w:rFonts w:ascii="Calibri" w:hAnsi="Calibri" w:eastAsia="MS Gothic" w:cs="宋体"/>
      <w:i/>
      <w:iCs/>
      <w:color w:val="254061"/>
    </w:rPr>
  </w:style>
  <w:style w:type="character" w:customStyle="1" w:styleId="153">
    <w:name w:val="Heading 7 Char_e138e0fc-7527-4042-b631-4788dd3df872"/>
    <w:basedOn w:val="132"/>
    <w:link w:val="9"/>
    <w:qFormat/>
    <w:uiPriority w:val="9"/>
    <w:rPr>
      <w:rFonts w:ascii="Calibri" w:hAnsi="Calibri" w:eastAsia="MS Gothic" w:cs="宋体"/>
      <w:i/>
      <w:iCs/>
      <w:color w:val="3F3F3F"/>
    </w:rPr>
  </w:style>
  <w:style w:type="character" w:customStyle="1" w:styleId="154">
    <w:name w:val="Heading 8 Char_021b366a-737d-4e96-9170-4c100a1fa704"/>
    <w:basedOn w:val="132"/>
    <w:link w:val="10"/>
    <w:qFormat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b3dda999-5d95-4798-8574-e8a816ab6d4a"/>
    <w:basedOn w:val="132"/>
    <w:link w:val="11"/>
    <w:qFormat/>
    <w:uiPriority w:val="9"/>
    <w:rPr>
      <w:rFonts w:ascii="Calibri" w:hAnsi="Calibri" w:eastAsia="MS Gothic" w:cs="宋体"/>
      <w:i/>
      <w:iCs/>
      <w:color w:val="3F3F3F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81156602-a4a1-4fe5-afc6-4fefe21051f0"/>
    <w:basedOn w:val="132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_1c5d0e5e-c022-4435-b71f-eafa881f7e3d"/>
    <w:basedOn w:val="132"/>
    <w:qFormat/>
    <w:uiPriority w:val="19"/>
    <w:rPr>
      <w:i/>
      <w:iCs/>
      <w:color w:val="7F7F7F"/>
    </w:rPr>
  </w:style>
  <w:style w:type="character" w:customStyle="1" w:styleId="159">
    <w:name w:val="Intense Emphasis_b60f5aab-b8f3-4390-bc13-8d8e785fbd15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_dc98bc4b-b8d8-4e87-8b66-43c726ee7cf7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_af665110-7cdb-48c6-a289-53b3d0f78ba7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_817f7347-d0a8-42fa-a89e-dd11e31a8240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_a09b28bc-07ab-4c8d-9d52-ccfe4e5d8982"/>
    <w:basedOn w:val="3"/>
    <w:next w:val="1"/>
    <w:qFormat/>
    <w:uiPriority w:val="39"/>
    <w:pPr>
      <w:outlineLvl w:val="9"/>
    </w:pPr>
  </w:style>
  <w:style w:type="paragraph" w:customStyle="1" w:styleId="164">
    <w:name w:val="附录标题"/>
    <w:next w:val="1"/>
    <w:qFormat/>
    <w:uiPriority w:val="0"/>
    <w:pPr>
      <w:widowControl/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7380</Words>
  <Characters>9697</Characters>
  <Paragraphs>258</Paragraphs>
  <TotalTime>63</TotalTime>
  <ScaleCrop>false</ScaleCrop>
  <LinksUpToDate>false</LinksUpToDate>
  <CharactersWithSpaces>9872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2026-03-24T02:11:40Z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eyJoZGlkIjoiZGQxYWVjOGUyMzZjNWRhOTA0ZjJhNWQ1ODFkOGE1ZDkiLCJ1c2VySWQiOiIyMDkyMjY1MzMifQ==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CF90E7FDC2BB45BEADF5C349A39FB577_13</vt:lpwstr>
  </property>
</Properties>
</file>