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B8746">
      <w:pPr>
        <w:pStyle w:val="31"/>
        <w:widowControl/>
        <w:ind w:firstLine="1285" w:firstLineChars="400"/>
      </w:pPr>
      <w:bookmarkStart w:id="0" w:name="_GoBack"/>
      <w:bookmarkEnd w:id="0"/>
      <w:r>
        <w:t>TDSC 研究标准操作规程（SOP）</w:t>
      </w:r>
      <w:r>
        <w:br w:type="textWrapping"/>
      </w:r>
      <w:r>
        <w:t>SOP02：队列B微生物学安全门槛（Hard Gate）评估与M6随机化资格判定</w:t>
      </w:r>
    </w:p>
    <w:p w14:paraId="636889C0">
      <w:pPr>
        <w:pStyle w:val="31"/>
        <w:widowControl/>
      </w:pPr>
      <w:r>
        <w:t>Microbiological Hard Gate Assessment and Randomization Eligibility at Month 6 (Cohort B)</w:t>
      </w:r>
    </w:p>
    <w:p w14:paraId="61FA6009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116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320" w:type="dxa"/>
            <w:vAlign w:val="top"/>
          </w:tcPr>
          <w:p w14:paraId="1EDD4158">
            <w:r>
              <w:t>受控文件编号</w:t>
            </w:r>
          </w:p>
        </w:tc>
        <w:tc>
          <w:tcPr>
            <w:tcW w:w="4320" w:type="dxa"/>
            <w:vAlign w:val="top"/>
          </w:tcPr>
          <w:p w14:paraId="3F2FD480">
            <w:r>
              <w:t>TDSC-SOP-02</w:t>
            </w:r>
          </w:p>
        </w:tc>
      </w:tr>
      <w:tr w14:paraId="7E06E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320" w:type="dxa"/>
            <w:vAlign w:val="top"/>
          </w:tcPr>
          <w:p w14:paraId="1D1A5073">
            <w:r>
              <w:t>版本</w:t>
            </w:r>
          </w:p>
        </w:tc>
        <w:tc>
          <w:tcPr>
            <w:tcW w:w="4320" w:type="dxa"/>
            <w:vAlign w:val="top"/>
          </w:tcPr>
          <w:p w14:paraId="3C268350">
            <w:r>
              <w:t>V1.1</w:t>
            </w:r>
          </w:p>
        </w:tc>
      </w:tr>
      <w:tr w14:paraId="4BEE6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320" w:type="dxa"/>
            <w:vAlign w:val="top"/>
          </w:tcPr>
          <w:p w14:paraId="159D3E5E">
            <w:r>
              <w:t>生效日期</w:t>
            </w:r>
          </w:p>
        </w:tc>
        <w:tc>
          <w:tcPr>
            <w:tcW w:w="4320" w:type="dxa"/>
            <w:vAlign w:val="top"/>
          </w:tcPr>
          <w:p w14:paraId="7674B5C8">
            <w:r>
              <w:t>2026-03-04</w:t>
            </w:r>
          </w:p>
        </w:tc>
      </w:tr>
      <w:tr w14:paraId="54C7F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320" w:type="dxa"/>
            <w:vAlign w:val="top"/>
          </w:tcPr>
          <w:p w14:paraId="23383706">
            <w:r>
              <w:t>适用研究</w:t>
            </w:r>
          </w:p>
        </w:tc>
        <w:tc>
          <w:tcPr>
            <w:tcW w:w="4320" w:type="dxa"/>
            <w:vAlign w:val="top"/>
          </w:tcPr>
          <w:p w14:paraId="548A9630">
            <w:r>
              <w:t>TDSC（TB-Diabetes Short Course）Study</w:t>
            </w:r>
          </w:p>
        </w:tc>
      </w:tr>
      <w:tr w14:paraId="486B2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320" w:type="dxa"/>
            <w:vAlign w:val="top"/>
          </w:tcPr>
          <w:p w14:paraId="2420899A">
            <w:r>
              <w:t>对应研究方案</w:t>
            </w:r>
          </w:p>
        </w:tc>
        <w:tc>
          <w:tcPr>
            <w:tcW w:w="4320" w:type="dxa"/>
            <w:vAlign w:val="top"/>
          </w:tcPr>
          <w:p w14:paraId="09B9450B">
            <w:r>
              <w:t>TDSC 研究方案 V2.0（2026-02-28）</w:t>
            </w:r>
          </w:p>
        </w:tc>
      </w:tr>
      <w:tr w14:paraId="16F8C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320" w:type="dxa"/>
            <w:vAlign w:val="top"/>
          </w:tcPr>
          <w:p w14:paraId="0F1F917F">
            <w:r>
              <w:t>起草</w:t>
            </w:r>
          </w:p>
        </w:tc>
        <w:tc>
          <w:tcPr>
            <w:tcW w:w="4320" w:type="dxa"/>
            <w:vAlign w:val="top"/>
          </w:tcPr>
          <w:p w14:paraId="0BE98243">
            <w:r>
              <w:t>____________</w:t>
            </w:r>
          </w:p>
        </w:tc>
      </w:tr>
      <w:tr w14:paraId="24593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320" w:type="dxa"/>
            <w:vAlign w:val="top"/>
          </w:tcPr>
          <w:p w14:paraId="5AEE4842">
            <w:r>
              <w:t>审核</w:t>
            </w:r>
          </w:p>
        </w:tc>
        <w:tc>
          <w:tcPr>
            <w:tcW w:w="4320" w:type="dxa"/>
            <w:vAlign w:val="top"/>
          </w:tcPr>
          <w:p w14:paraId="6787594D">
            <w:r>
              <w:t>____________</w:t>
            </w:r>
          </w:p>
        </w:tc>
      </w:tr>
      <w:tr w14:paraId="7647C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320" w:type="dxa"/>
            <w:vAlign w:val="top"/>
          </w:tcPr>
          <w:p w14:paraId="1A68C62F">
            <w:r>
              <w:t>批准</w:t>
            </w:r>
          </w:p>
        </w:tc>
        <w:tc>
          <w:tcPr>
            <w:tcW w:w="4320" w:type="dxa"/>
            <w:vAlign w:val="top"/>
          </w:tcPr>
          <w:p w14:paraId="482E180A">
            <w:r>
              <w:t>____________</w:t>
            </w:r>
          </w:p>
        </w:tc>
      </w:tr>
    </w:tbl>
    <w:p w14:paraId="195F7463"/>
    <w:p w14:paraId="170D115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目的</w:t>
      </w:r>
    </w:p>
    <w:p w14:paraId="6CEBD773">
      <w:pPr>
        <w:pStyle w:val="19"/>
        <w:widowControl/>
      </w:pPr>
      <w:r>
        <w:t>规范TDSC研究中队列B在M6（W24，D168±7）随机化前的“微生物学安全门槛（Hard Gate）”评估流程、操作学定义与可核查留痕，确保跨中心一致执行。</w:t>
      </w:r>
    </w:p>
    <w:p w14:paraId="531DBF8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适用范围</w:t>
      </w:r>
    </w:p>
    <w:p w14:paraId="0FA54DD2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适用于所有入组至队列B的受试者，在M6随机化前进行资格判定。</w:t>
      </w:r>
    </w:p>
    <w:p w14:paraId="49DAD5EF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本SOP仅规定Hard Gate（仅微生物学）作为随机化资格条件；TB22、影像学、临床评分等如按方案收集，均不用于资格判定（可作为探索性/支持性数据，遵循相应SOP与信息防火墙要求）。</w:t>
      </w:r>
    </w:p>
    <w:p w14:paraId="2D8F8C31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默认采取保守原则：关键微生物学结果不可得/不可评价 → 不进入随机化。</w:t>
      </w:r>
    </w:p>
    <w:p w14:paraId="16FB455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术语与缩略语</w:t>
      </w:r>
    </w:p>
    <w:p w14:paraId="50A1812F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M6决策点：队列B治疗开始后第24周访视（W24，D168±7）。</w:t>
      </w:r>
    </w:p>
    <w:p w14:paraId="1AC1A2DF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Hard Gate（微生物学安全门槛）：用于M6随机化前资格判定的唯一门槛标准（见第6节）。</w:t>
      </w:r>
    </w:p>
    <w:p w14:paraId="7D2FB1CF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培养结果（Culture）：以痰培养为主（液体/固体培养均可），以“标本采集日期”为时间基准。</w:t>
      </w:r>
    </w:p>
    <w:p w14:paraId="50A5B61E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污染/无效：实验室报告为污染、无效或无法判读，需要按本SOP尽快补采。</w:t>
      </w:r>
    </w:p>
    <w:p w14:paraId="0A6EEB4A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晚到结果（Late-arriving result）：标本在随机化前采集，但培养结果在随机化后返回。</w:t>
      </w:r>
    </w:p>
    <w:p w14:paraId="7E77CFC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职责分工</w:t>
      </w:r>
    </w:p>
    <w:p w14:paraId="1273B8CB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研究医师/PI：确认Hard Gate资格结论并签字；对异常/晚到结果启动临床处置与记录。</w:t>
      </w:r>
    </w:p>
    <w:p w14:paraId="5F927596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CRC：组织M6前关键标本采集与结果追踪；核对源文件与eCRF一致性；收集与归档证据链。</w:t>
      </w:r>
    </w:p>
    <w:p w14:paraId="55C5A237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实验室：按统一方法学出具培养报告（含方法/平台/日期）；对污染/无效尽快反馈并协助补采。</w:t>
      </w:r>
    </w:p>
    <w:p w14:paraId="15930CA3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数据管理（DM）：在EDC中实现Hard Gate字段、逻辑校验与锁定；输出缺失/异常清单供中心整改。</w:t>
      </w:r>
    </w:p>
    <w:p w14:paraId="44A686A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所需资料与数据来源</w:t>
      </w:r>
    </w:p>
    <w:p w14:paraId="4B2C825E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痰培养源文件：报告单/检验系统截图（必须包含标本采集日期、报告日期、培养方法或平台、结果判定）。</w:t>
      </w:r>
    </w:p>
    <w:p w14:paraId="77A1F464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实验室台账/标本流转记录（如有）：用于核对采集日期与结果追溯。</w:t>
      </w:r>
    </w:p>
    <w:p w14:paraId="279F8DFD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eCRF/EDC记录：培养结果字段、Hard Gate判定字段、缺失/污染处理记录与PI签字日期。</w:t>
      </w:r>
    </w:p>
    <w:p w14:paraId="33BBA3F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Hard Gate 操作学定义（唯一资格条件）</w:t>
      </w:r>
    </w:p>
    <w:p w14:paraId="62FFC46F">
      <w:pPr>
        <w:pStyle w:val="19"/>
        <w:widowControl/>
      </w:pPr>
      <w:r>
        <w:t>队列B受试者满足以下全部条件，方可进入M6随机化：</w:t>
      </w:r>
    </w:p>
    <w:p w14:paraId="6EB7B166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在M6访视前4个月内（含）获得 ≥2 次培养阴性结果；两次阴性标本采集日期间隔 ≥7天。</w:t>
      </w:r>
    </w:p>
    <w:p w14:paraId="6EB244A6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从M4开始至M6随机化前不得出现培养阳性（含随机化前采集但结果晚到的阳性）。</w:t>
      </w:r>
    </w:p>
    <w:p w14:paraId="0EF47B78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污染/无效需尽快补采并在允许窗口内获得可评价结果；若无法获得可评价培养结果（unassessable），则视为未达标，不进入随机化（保守）。</w:t>
      </w:r>
    </w:p>
    <w:p w14:paraId="57840C3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评估时点、窗口期与最低采样要求</w:t>
      </w:r>
    </w:p>
    <w:p w14:paraId="3F6B676E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M6目标访视：W24（D168±7）。</w:t>
      </w:r>
    </w:p>
    <w:p w14:paraId="33567CFE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Hard Gate评估窗口：以M6访视日期为锚点向前回溯4个月（以标本采集日期计算）。</w:t>
      </w:r>
    </w:p>
    <w:p w14:paraId="6BDF6E5C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建议最小采样：M4–M6期间至少每月1次痰培养，以降低M6前结果缺失风险（具体采样频率以研究方案与随访表为准）。</w:t>
      </w:r>
    </w:p>
    <w:p w14:paraId="7595EF6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操作流程</w:t>
      </w:r>
    </w:p>
    <w:p w14:paraId="4A13827B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/>
        </w:rPr>
      </w:pPr>
      <w:r>
        <w:t>结果核对与资格判定（步骤）</w:t>
      </w:r>
    </w:p>
    <w:p w14:paraId="220C85F3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步骤1：CRC在M6访视前核对M4–M6期间已完成的培养采样与预计出报告时间，必要时提前提醒补采。</w:t>
      </w:r>
    </w:p>
    <w:p w14:paraId="4D8CF2A9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步骤2：收集并核对培养源文件，确认每条结果的标本采集日期、报告日期、培养方法与结果（阴性/阳性/污染/无效）。</w:t>
      </w:r>
    </w:p>
    <w:p w14:paraId="5E0EF2CC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步骤3：在EDC中录入培养结果与关键日期，EDC自动计算阴性次数与间隔并提示是否满足“≥2次阴性且间隔≥7天”。</w:t>
      </w:r>
    </w:p>
    <w:p w14:paraId="759ADE09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步骤4：核查M4至随机化前是否出现任何培养阳性（包括随机化前采集、随机化后回报的阳性）。如有 → 未达标。</w:t>
      </w:r>
    </w:p>
    <w:p w14:paraId="523D026D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步骤5：PI复核Hard Gate结论并签字锁定；仅在Hard Gate=达标且字段锁定后方可触发随机化。</w:t>
      </w:r>
    </w:p>
    <w:p w14:paraId="071763CE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/>
        </w:rPr>
      </w:pPr>
      <w:r>
        <w:t>污染/无效/缺失处理</w:t>
      </w:r>
    </w:p>
    <w:p w14:paraId="61F1C388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污染/无效：实验室一经报告，应在最短时间内补采（建议48–72小时内完成）并记录原因与纠正措施。</w:t>
      </w:r>
    </w:p>
    <w:p w14:paraId="4FA22888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缺失：若关键培养在窗口期内无法获得可评价结果，Hard Gate按未达标处理（不随机），并记录缺失原因与CAPA。</w:t>
      </w:r>
    </w:p>
    <w:p w14:paraId="0FE56803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若受试者治疗中断/临床恶化：优先补做微生物学评估并按研究方案记录事件与处置。</w:t>
      </w:r>
    </w:p>
    <w:p w14:paraId="74FE3A46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/>
        </w:rPr>
      </w:pPr>
      <w:r>
        <w:t>晚到结果（Late-arriving results）处理</w:t>
      </w:r>
    </w:p>
    <w:p w14:paraId="1FC8786A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定义：标本在随机化前采集，但结果在随机化后返回。</w:t>
      </w:r>
    </w:p>
    <w:p w14:paraId="4E93C73F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若晚到结果为阴性：不影响既定Hard Gate结论；补充录入并归档。</w:t>
      </w:r>
    </w:p>
    <w:p w14:paraId="02479C58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若晚到结果为阳性：立即通知PI进行临床复评与补采；按研究方案/偏差管理SOP记录为“随机化后发现随机化前阳性”的重要偏差情形，并按数据管理要求更新EDC（分析按ITT原则执行）。</w:t>
      </w:r>
    </w:p>
    <w:p w14:paraId="74BCEBA6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必要时按研究治理结构要求向DSMB/项目管理组报告（以研究方案与治理SOP为准）。</w:t>
      </w:r>
    </w:p>
    <w:p w14:paraId="403F991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决策输出与随机化触发</w:t>
      </w:r>
    </w:p>
    <w:p w14:paraId="776BB8BC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Hard Gate=达标：允许进入M6随机化（6个月停药 vs 继续至9个月）。</w:t>
      </w:r>
    </w:p>
    <w:p w14:paraId="585F8095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Hard Gate=未达标：不进入随机化；继续完成既定治疗路径并按随访表继续随访（具体路径按研究方案执行）。</w:t>
      </w:r>
    </w:p>
    <w:p w14:paraId="17A5780F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所有资格结论须在eCRF/EDC中可追溯：含证据来源、关键日期、PI签字与锁定时间。</w:t>
      </w:r>
    </w:p>
    <w:p w14:paraId="73C8010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记录、归档与追溯要求</w:t>
      </w:r>
    </w:p>
    <w:p w14:paraId="2FC74D60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源文件归档：培养报告单/系统截图、标本流转记录（如有）、补采记录与说明。</w:t>
      </w:r>
    </w:p>
    <w:p w14:paraId="1EA20E91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EDC字段：培养结果（含采集/报告日期、方法）、Hard Gate结论（达标/未达标）、缺失/污染原因、PI签字日期与锁定标记。</w:t>
      </w:r>
    </w:p>
    <w:p w14:paraId="7C115151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所有更正须保留审计追踪（audit trail），不得覆盖原始信息。</w:t>
      </w:r>
    </w:p>
    <w:p w14:paraId="1B1271F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培训与质控</w:t>
      </w:r>
    </w:p>
    <w:p w14:paraId="349DD9D7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研究启动培训：统一Hard Gate定义、日期口径（以采集日期为准）、污染/缺失处理与随机化触发条件。</w:t>
      </w:r>
    </w:p>
    <w:p w14:paraId="6B0692A0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实验室质控：统一报告要素（方法/平台/采集日期/报告日期/结果）；定期抽查一致性。</w:t>
      </w:r>
    </w:p>
    <w:p w14:paraId="5F921FBC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数据质控：DM定期输出Hard Gate相关缺失/异常清单；中心整改并闭环记录（CAPA）。</w:t>
      </w:r>
    </w:p>
    <w:p w14:paraId="2D42D9A2">
      <w:pPr>
        <w:pStyle w:val="164"/>
        <w:widowControl/>
      </w:pPr>
      <w:r>
        <w:t>附录A：Hard Gate 核对清单（Checklist）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2C0D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BA982DF">
            <w:pPr>
              <w:spacing w:after="0" w:line="240" w:lineRule="auto"/>
            </w:pPr>
            <w:r>
              <w:t>项目</w:t>
            </w:r>
          </w:p>
        </w:tc>
        <w:tc>
          <w:tcPr>
            <w:tcW w:w="2500" w:type="pct"/>
          </w:tcPr>
          <w:p w14:paraId="0C40E15C">
            <w:pPr>
              <w:spacing w:after="0" w:line="240" w:lineRule="auto"/>
            </w:pPr>
            <w:r>
              <w:t>完成/备注</w:t>
            </w:r>
          </w:p>
        </w:tc>
      </w:tr>
      <w:tr w14:paraId="05393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6CA13D2">
            <w:pPr>
              <w:spacing w:after="0" w:line="240" w:lineRule="auto"/>
            </w:pPr>
            <w:r>
              <w:t>M6访视日期（W24，D168±7）已确认</w:t>
            </w:r>
          </w:p>
        </w:tc>
        <w:tc>
          <w:tcPr>
            <w:tcW w:w="2500" w:type="pct"/>
          </w:tcPr>
          <w:p w14:paraId="51EFFFC4">
            <w:pPr>
              <w:spacing w:after="0" w:line="240" w:lineRule="auto"/>
            </w:pPr>
          </w:p>
        </w:tc>
      </w:tr>
      <w:tr w14:paraId="0C216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29D1EED">
            <w:pPr>
              <w:spacing w:after="0" w:line="240" w:lineRule="auto"/>
            </w:pPr>
            <w:r>
              <w:t>M6前4个月内培养结果已收集并归档（含采集日期/报告日期/方法）</w:t>
            </w:r>
          </w:p>
        </w:tc>
        <w:tc>
          <w:tcPr>
            <w:tcW w:w="2500" w:type="pct"/>
          </w:tcPr>
          <w:p w14:paraId="2D3ED56A">
            <w:pPr>
              <w:spacing w:after="0" w:line="240" w:lineRule="auto"/>
            </w:pPr>
          </w:p>
        </w:tc>
      </w:tr>
      <w:tr w14:paraId="7EAAF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CEF6E4E">
            <w:pPr>
              <w:spacing w:after="0" w:line="240" w:lineRule="auto"/>
            </w:pPr>
            <w:r>
              <w:t>满足≥2次培养阴性且间隔≥7天（以采集日期计算）</w:t>
            </w:r>
          </w:p>
        </w:tc>
        <w:tc>
          <w:tcPr>
            <w:tcW w:w="2500" w:type="pct"/>
          </w:tcPr>
          <w:p w14:paraId="48F6F662">
            <w:pPr>
              <w:spacing w:after="0" w:line="240" w:lineRule="auto"/>
            </w:pPr>
          </w:p>
        </w:tc>
      </w:tr>
      <w:tr w14:paraId="78A7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805A3AD">
            <w:pPr>
              <w:spacing w:after="0" w:line="240" w:lineRule="auto"/>
            </w:pPr>
            <w:r>
              <w:t>M4至随机化前无培养阳性（含晚到结果核查）</w:t>
            </w:r>
          </w:p>
        </w:tc>
        <w:tc>
          <w:tcPr>
            <w:tcW w:w="2500" w:type="pct"/>
          </w:tcPr>
          <w:p w14:paraId="6FF80ED7">
            <w:pPr>
              <w:spacing w:after="0" w:line="240" w:lineRule="auto"/>
            </w:pPr>
          </w:p>
        </w:tc>
      </w:tr>
      <w:tr w14:paraId="7A206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8953A19">
            <w:pPr>
              <w:spacing w:after="0" w:line="240" w:lineRule="auto"/>
            </w:pPr>
            <w:r>
              <w:t>污染/无效已补采且获得可评价结果；或已按未达标处理并说明</w:t>
            </w:r>
          </w:p>
        </w:tc>
        <w:tc>
          <w:tcPr>
            <w:tcW w:w="2500" w:type="pct"/>
          </w:tcPr>
          <w:p w14:paraId="4FAA6484">
            <w:pPr>
              <w:spacing w:after="0" w:line="240" w:lineRule="auto"/>
            </w:pPr>
          </w:p>
        </w:tc>
      </w:tr>
      <w:tr w14:paraId="77EF6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9535C65">
            <w:pPr>
              <w:spacing w:after="0" w:line="240" w:lineRule="auto"/>
            </w:pPr>
            <w:r>
              <w:t>Hard Gate结论已在EDC录入并锁定</w:t>
            </w:r>
          </w:p>
        </w:tc>
        <w:tc>
          <w:tcPr>
            <w:tcW w:w="2500" w:type="pct"/>
          </w:tcPr>
          <w:p w14:paraId="608DE14F">
            <w:pPr>
              <w:spacing w:after="0" w:line="240" w:lineRule="auto"/>
            </w:pPr>
          </w:p>
        </w:tc>
      </w:tr>
      <w:tr w14:paraId="0B08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3DCE486">
            <w:pPr>
              <w:spacing w:after="0" w:line="240" w:lineRule="auto"/>
            </w:pPr>
            <w:r>
              <w:t>PI签字完成</w:t>
            </w:r>
          </w:p>
        </w:tc>
        <w:tc>
          <w:tcPr>
            <w:tcW w:w="2500" w:type="pct"/>
          </w:tcPr>
          <w:p w14:paraId="2124F6B4">
            <w:pPr>
              <w:spacing w:after="0" w:line="240" w:lineRule="auto"/>
            </w:pPr>
          </w:p>
        </w:tc>
      </w:tr>
    </w:tbl>
    <w:p w14:paraId="12087C34"/>
    <w:p w14:paraId="63BE754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版本管理与修订记录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094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0" w:type="pct"/>
          </w:tcPr>
          <w:p w14:paraId="009C69DE">
            <w:pPr>
              <w:spacing w:after="0" w:line="240" w:lineRule="auto"/>
            </w:pPr>
            <w:r>
              <w:t>版本</w:t>
            </w:r>
          </w:p>
        </w:tc>
        <w:tc>
          <w:tcPr>
            <w:tcW w:w="1250" w:type="pct"/>
          </w:tcPr>
          <w:p w14:paraId="50067851">
            <w:pPr>
              <w:spacing w:after="0" w:line="240" w:lineRule="auto"/>
            </w:pPr>
            <w:r>
              <w:t>日期</w:t>
            </w:r>
          </w:p>
        </w:tc>
        <w:tc>
          <w:tcPr>
            <w:tcW w:w="1250" w:type="pct"/>
          </w:tcPr>
          <w:p w14:paraId="0B18B668">
            <w:pPr>
              <w:spacing w:after="0" w:line="240" w:lineRule="auto"/>
            </w:pPr>
            <w:r>
              <w:t>修订说明</w:t>
            </w:r>
          </w:p>
        </w:tc>
        <w:tc>
          <w:tcPr>
            <w:tcW w:w="1250" w:type="pct"/>
          </w:tcPr>
          <w:p w14:paraId="21563E02">
            <w:pPr>
              <w:spacing w:after="0" w:line="240" w:lineRule="auto"/>
            </w:pPr>
            <w:r>
              <w:t>批准</w:t>
            </w:r>
          </w:p>
        </w:tc>
      </w:tr>
      <w:tr w14:paraId="4434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7E06A45">
            <w:pPr>
              <w:spacing w:after="0" w:line="240" w:lineRule="auto"/>
            </w:pPr>
            <w:r>
              <w:t>V1.0</w:t>
            </w:r>
          </w:p>
        </w:tc>
        <w:tc>
          <w:tcPr>
            <w:tcW w:w="1250" w:type="pct"/>
          </w:tcPr>
          <w:p w14:paraId="5C7FFB03">
            <w:pPr>
              <w:spacing w:after="0" w:line="240" w:lineRule="auto"/>
            </w:pPr>
            <w:r>
              <w:t>2026-02-06</w:t>
            </w:r>
          </w:p>
        </w:tc>
        <w:tc>
          <w:tcPr>
            <w:tcW w:w="1250" w:type="pct"/>
          </w:tcPr>
          <w:p w14:paraId="600A003A">
            <w:pPr>
              <w:spacing w:after="0" w:line="240" w:lineRule="auto"/>
            </w:pPr>
            <w:r>
              <w:t>首次发布：M6决策点工具包（包含多维度评估）。</w:t>
            </w:r>
          </w:p>
        </w:tc>
        <w:tc>
          <w:tcPr>
            <w:tcW w:w="1250" w:type="pct"/>
          </w:tcPr>
          <w:p w14:paraId="4EA19A15">
            <w:pPr>
              <w:spacing w:after="0" w:line="240" w:lineRule="auto"/>
            </w:pPr>
            <w:r>
              <w:t>_____</w:t>
            </w:r>
          </w:p>
        </w:tc>
      </w:tr>
      <w:tr w14:paraId="19822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7E7FABA">
            <w:pPr>
              <w:spacing w:after="0" w:line="240" w:lineRule="auto"/>
            </w:pPr>
            <w:r>
              <w:t>V1.1</w:t>
            </w:r>
          </w:p>
        </w:tc>
        <w:tc>
          <w:tcPr>
            <w:tcW w:w="1250" w:type="pct"/>
          </w:tcPr>
          <w:p w14:paraId="716EF587">
            <w:pPr>
              <w:spacing w:after="0" w:line="240" w:lineRule="auto"/>
            </w:pPr>
            <w:r>
              <w:t>2026-03-04</w:t>
            </w:r>
          </w:p>
        </w:tc>
        <w:tc>
          <w:tcPr>
            <w:tcW w:w="1250" w:type="pct"/>
          </w:tcPr>
          <w:p w14:paraId="5AD01B7F">
            <w:pPr>
              <w:spacing w:after="0" w:line="240" w:lineRule="auto"/>
            </w:pPr>
            <w:r>
              <w:t>与研究方案V2.0对齐：将队列B M6随机前资格判定统一为“仅微生物学Hard Gate”；补充晚到结果处理、缺失/污染保守规则与核对清单。</w:t>
            </w:r>
          </w:p>
        </w:tc>
        <w:tc>
          <w:tcPr>
            <w:tcW w:w="1250" w:type="pct"/>
          </w:tcPr>
          <w:p w14:paraId="14361881">
            <w:pPr>
              <w:spacing w:after="0" w:line="240" w:lineRule="auto"/>
            </w:pPr>
            <w:r>
              <w:t>_____</w:t>
            </w:r>
          </w:p>
        </w:tc>
      </w:tr>
    </w:tbl>
    <w:p w14:paraId="377E360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79A4B"/>
    <w:multiLevelType w:val="singleLevel"/>
    <w:tmpl w:val="8FB79A4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DEFA6FED"/>
    <w:multiLevelType w:val="singleLevel"/>
    <w:tmpl w:val="DEFA6FE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E5DC56CB"/>
    <w:multiLevelType w:val="singleLevel"/>
    <w:tmpl w:val="E5DC56C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EE706A51"/>
    <w:multiLevelType w:val="singleLevel"/>
    <w:tmpl w:val="EE706A5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82B911C"/>
    <w:multiLevelType w:val="singleLevel"/>
    <w:tmpl w:val="F82B911C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24A3BD32"/>
    <w:multiLevelType w:val="singleLevel"/>
    <w:tmpl w:val="24A3BD3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2F81573D"/>
    <w:multiLevelType w:val="singleLevel"/>
    <w:tmpl w:val="2F81573D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12">
    <w:nsid w:val="540A52C8"/>
    <w:multiLevelType w:val="singleLevel"/>
    <w:tmpl w:val="540A52C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60D33E43"/>
    <w:multiLevelType w:val="singleLevel"/>
    <w:tmpl w:val="60D33E43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4">
    <w:nsid w:val="614B5071"/>
    <w:multiLevelType w:val="singleLevel"/>
    <w:tmpl w:val="614B507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6EA75440"/>
    <w:multiLevelType w:val="singleLevel"/>
    <w:tmpl w:val="6EA75440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769B3A8B"/>
    <w:multiLevelType w:val="singleLevel"/>
    <w:tmpl w:val="769B3A8B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7">
    <w:nsid w:val="76BFB820"/>
    <w:multiLevelType w:val="singleLevel"/>
    <w:tmpl w:val="76BFB820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8">
    <w:nsid w:val="7E7484FD"/>
    <w:multiLevelType w:val="singleLevel"/>
    <w:tmpl w:val="7E7484FD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9"/>
  </w:num>
  <w:num w:numId="3">
    <w:abstractNumId w:val="16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4"/>
  </w:num>
  <w:num w:numId="9">
    <w:abstractNumId w:val="10"/>
  </w:num>
  <w:num w:numId="10">
    <w:abstractNumId w:val="15"/>
  </w:num>
  <w:num w:numId="11">
    <w:abstractNumId w:val="3"/>
  </w:num>
  <w:num w:numId="12">
    <w:abstractNumId w:val="2"/>
  </w:num>
  <w:num w:numId="13">
    <w:abstractNumId w:val="11"/>
  </w:num>
  <w:num w:numId="14">
    <w:abstractNumId w:val="12"/>
  </w:num>
  <w:num w:numId="15">
    <w:abstractNumId w:val="18"/>
  </w:num>
  <w:num w:numId="16">
    <w:abstractNumId w:val="14"/>
  </w:num>
  <w:num w:numId="17">
    <w:abstractNumId w:val="0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867E5D"/>
    <w:rsid w:val="16C91C0C"/>
    <w:rsid w:val="1DA52BB5"/>
    <w:rsid w:val="2C84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2249</Words>
  <Characters>2788</Characters>
  <Lines>0</Lines>
  <Paragraphs>0</Paragraphs>
  <TotalTime>18</TotalTime>
  <ScaleCrop>false</ScaleCrop>
  <LinksUpToDate>false</LinksUpToDate>
  <CharactersWithSpaces>2840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2026-03-12T23:46:54Z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eyJoZGlkIjoiN2ZkN2U0NTE2ZWZjNGNkOGYwMTY5ODIwZjEyYjUxNGMiLCJ1c2VySWQiOiI5NjExNDM1MzcifQ==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BEE33E112905416EA7DA4191EF156185_12</vt:lpwstr>
  </property>
</Properties>
</file>