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28769">
      <w:pPr>
        <w:pStyle w:val="31"/>
        <w:widowControl/>
        <w:ind w:firstLine="2891" w:firstLineChars="900"/>
      </w:pPr>
      <w:r>
        <w:t>TDSC Study SOP03</w:t>
      </w:r>
    </w:p>
    <w:p w14:paraId="392FB4BE">
      <w:pPr>
        <w:pStyle w:val="31"/>
        <w:widowControl/>
        <w:ind w:firstLine="1928" w:firstLineChars="600"/>
      </w:pPr>
      <w:r>
        <w:t>纳入/排除标准与TB-DM确诊标准</w:t>
      </w:r>
    </w:p>
    <w:p w14:paraId="27F02403">
      <w:pPr>
        <w:pStyle w:val="26"/>
        <w:widowControl/>
        <w:rPr>
          <w:rFonts w:ascii="Times New Roman" w:hAnsi="Times New Roman" w:eastAsia="宋体" w:cs="Times New Roman"/>
          <w:b/>
          <w:kern w:val="0"/>
          <w:sz w:val="32"/>
          <w:szCs w:val="22"/>
          <w:lang w:bidi="ar-SA"/>
        </w:rPr>
      </w:pPr>
      <w:r>
        <w:rPr>
          <w:rFonts w:ascii="Times New Roman" w:hAnsi="Times New Roman" w:eastAsia="宋体" w:cs="Times New Roman"/>
          <w:b/>
          <w:kern w:val="0"/>
          <w:sz w:val="32"/>
          <w:szCs w:val="22"/>
          <w:lang w:bidi="ar-SA"/>
        </w:rPr>
        <w:t>（含资格判定与留痕要求）</w:t>
      </w:r>
    </w:p>
    <w:p w14:paraId="03822C82">
      <w:pPr>
        <w:pStyle w:val="19"/>
        <w:widowControl/>
      </w:pPr>
      <w:r>
        <w:t>版本：V1.0    适用：TDSC研究方案 V2.0（2026-02-28）    生效日期：2026-03-04</w:t>
      </w:r>
    </w:p>
    <w:p w14:paraId="32593ADE">
      <w:pPr>
        <w:pStyle w:val="3"/>
        <w:widowControl/>
        <w:numPr>
          <w:ilvl w:val="0"/>
          <w:numId w:val="7"/>
        </w:numPr>
        <w:ind w:left="0" w:leftChars="0" w:firstLine="0" w:firstLineChars="0"/>
        <w:rPr>
          <w:b/>
        </w:rPr>
      </w:pPr>
      <w:r>
        <w:t>目的</w:t>
      </w:r>
    </w:p>
    <w:p w14:paraId="0E074FAE">
      <w:pPr>
        <w:pStyle w:val="19"/>
        <w:widowControl/>
      </w:pPr>
      <w:r>
        <w:t>规范TDSC研究中受试者入组资格判定的操作流程与记录要求，确保：（1）纳入/排除标准判定一致、可追溯；（2）TB-DM（糖尿病合并药敏活动性肺结核）确诊标准明确、证据充分；（3）随机化或治疗策略分配前完成资格确认，降低选择偏倚与合规风险。</w:t>
      </w:r>
    </w:p>
    <w:p w14:paraId="3C66D4CA">
      <w:pPr>
        <w:pStyle w:val="3"/>
        <w:widowControl/>
        <w:numPr>
          <w:ilvl w:val="0"/>
          <w:numId w:val="7"/>
        </w:numPr>
        <w:ind w:left="0" w:leftChars="0" w:firstLine="0" w:firstLineChars="0"/>
        <w:rPr>
          <w:b/>
        </w:rPr>
      </w:pPr>
      <w:r>
        <w:t>适用范围</w:t>
      </w:r>
    </w:p>
    <w:p w14:paraId="7CE313E1">
      <w:pPr>
        <w:pStyle w:val="19"/>
        <w:widowControl/>
      </w:pPr>
      <w:r>
        <w:t>适用于TDSC研究所有参研中心开展受试者预筛选、筛选、TB-DM确诊、纳入/排除标准核查、入组资格最终判定与归档的全过程。</w:t>
      </w:r>
    </w:p>
    <w:p w14:paraId="3DF23651">
      <w:pPr>
        <w:pStyle w:val="3"/>
        <w:widowControl/>
        <w:numPr>
          <w:ilvl w:val="0"/>
          <w:numId w:val="7"/>
        </w:numPr>
        <w:ind w:left="0" w:leftChars="0" w:firstLine="0" w:firstLineChars="0"/>
        <w:rPr>
          <w:b/>
        </w:rPr>
      </w:pPr>
      <w:r>
        <w:t>参考文件</w:t>
      </w:r>
    </w:p>
    <w:p w14:paraId="610DA06A">
      <w:pPr>
        <w:pStyle w:val="16"/>
        <w:bidi w:val="0"/>
        <w:ind w:left="360" w:leftChars="0" w:hanging="360" w:firstLineChars="0"/>
        <w:rPr>
          <w:rFonts w:ascii="Times New Roman" w:hAnsi="Calibri" w:eastAsia="宋体" w:cs="Times New Roman"/>
          <w:sz w:val="24"/>
        </w:rPr>
      </w:pPr>
      <w:r>
        <w:rPr>
          <w:rFonts w:ascii="Times New Roman" w:hAnsi="Calibri" w:eastAsia="宋体" w:cs="Times New Roman"/>
          <w:sz w:val="24"/>
        </w:rPr>
        <w:t>TDSC研究方案 V2.0（2026-02-28）：第6.4入选标准、第6.5排除标准；以及与筛选/入组/随机相关章节。</w:t>
      </w:r>
    </w:p>
    <w:p w14:paraId="5C86F51E">
      <w:pPr>
        <w:pStyle w:val="16"/>
        <w:bidi w:val="0"/>
        <w:ind w:left="360" w:leftChars="0" w:hanging="360" w:firstLineChars="0"/>
        <w:rPr>
          <w:rFonts w:ascii="Times New Roman" w:hAnsi="Calibri" w:eastAsia="宋体" w:cs="Times New Roman"/>
          <w:sz w:val="24"/>
        </w:rPr>
      </w:pPr>
      <w:r>
        <w:rPr>
          <w:rFonts w:ascii="Times New Roman" w:hAnsi="Calibri" w:eastAsia="宋体" w:cs="Times New Roman"/>
          <w:sz w:val="24"/>
        </w:rPr>
        <w:t>TDSC Study Protocol V2.0 (2026-02-28): Section 6.4 Inclusion Criteria and 6.5 Exclusion Criteria.</w:t>
      </w:r>
    </w:p>
    <w:p w14:paraId="4CFD78E5">
      <w:pPr>
        <w:pStyle w:val="16"/>
        <w:bidi w:val="0"/>
        <w:ind w:left="360" w:leftChars="0" w:hanging="360" w:firstLineChars="0"/>
        <w:rPr>
          <w:rFonts w:ascii="Times New Roman" w:hAnsi="Calibri" w:eastAsia="宋体" w:cs="Times New Roman"/>
          <w:sz w:val="24"/>
        </w:rPr>
      </w:pPr>
      <w:r>
        <w:rPr>
          <w:rFonts w:ascii="Times New Roman" w:hAnsi="Calibri" w:eastAsia="宋体" w:cs="Times New Roman"/>
          <w:sz w:val="24"/>
        </w:rPr>
        <w:t>SOP11：筛选与知情同意流程（含再同意、撤回同意、脆弱人群）。</w:t>
      </w:r>
    </w:p>
    <w:p w14:paraId="4442978D">
      <w:pPr>
        <w:pStyle w:val="16"/>
        <w:bidi w:val="0"/>
        <w:ind w:left="360" w:leftChars="0" w:hanging="360" w:firstLineChars="0"/>
        <w:rPr>
          <w:rFonts w:ascii="Times New Roman" w:hAnsi="Calibri" w:eastAsia="宋体" w:cs="Times New Roman"/>
          <w:sz w:val="24"/>
        </w:rPr>
      </w:pPr>
      <w:r>
        <w:rPr>
          <w:rFonts w:ascii="Times New Roman" w:hAnsi="Calibri" w:eastAsia="宋体" w:cs="Times New Roman"/>
          <w:sz w:val="24"/>
        </w:rPr>
        <w:t>SOP12：随机与分配实施（含分层变量、分层内随机、盲态/信息隔离要素）。</w:t>
      </w:r>
    </w:p>
    <w:p w14:paraId="11420684">
      <w:pPr>
        <w:pStyle w:val="16"/>
        <w:bidi w:val="0"/>
        <w:ind w:left="360" w:leftChars="0" w:hanging="360" w:firstLineChars="0"/>
        <w:rPr>
          <w:rFonts w:ascii="Times New Roman" w:hAnsi="Calibri" w:eastAsia="宋体" w:cs="Times New Roman"/>
          <w:sz w:val="24"/>
        </w:rPr>
      </w:pPr>
      <w:r>
        <w:rPr>
          <w:rFonts w:ascii="Times New Roman" w:hAnsi="Calibri" w:eastAsia="宋体" w:cs="Times New Roman"/>
          <w:sz w:val="24"/>
        </w:rPr>
        <w:t>适用的GCP与当地法律法规/机构政策（以各中心伦理委员会与机构要求为准）。</w:t>
      </w:r>
    </w:p>
    <w:p w14:paraId="4A5A7D45">
      <w:pPr>
        <w:pStyle w:val="16"/>
        <w:bidi w:val="0"/>
        <w:ind w:left="360" w:leftChars="0" w:hanging="360" w:firstLineChars="0"/>
      </w:pPr>
      <w:r>
        <w:rPr>
          <w:rFonts w:ascii="Times New Roman" w:hAnsi="Calibri" w:eastAsia="宋体" w:cs="Times New Roman"/>
          <w:sz w:val="24"/>
        </w:rPr>
        <w:t>WHO 1999 与 ADA（现行版本）关于糖尿病诊断的通用标准（用于操作学定义与证据核查）</w:t>
      </w:r>
      <w:r>
        <w:t>。</w:t>
      </w:r>
    </w:p>
    <w:p w14:paraId="5BAD3479">
      <w:pPr>
        <w:pStyle w:val="3"/>
        <w:widowControl/>
        <w:numPr>
          <w:ilvl w:val="0"/>
          <w:numId w:val="7"/>
        </w:numPr>
        <w:ind w:left="0" w:leftChars="0" w:firstLine="0" w:firstLineChars="0"/>
        <w:rPr>
          <w:b/>
        </w:rPr>
      </w:pPr>
      <w:r>
        <w:t>术语与缩写</w:t>
      </w:r>
    </w:p>
    <w:p w14:paraId="1355A6A5">
      <w:pPr>
        <w:pStyle w:val="19"/>
        <w:widowControl/>
        <w:numPr>
          <w:ilvl w:val="0"/>
          <w:numId w:val="8"/>
        </w:numPr>
        <w:ind w:left="360" w:leftChars="0" w:hanging="360" w:firstLineChars="0"/>
      </w:pPr>
      <w:r>
        <w:t>TB：结核病；PTB：肺结核；TB-DM：糖尿病合并肺结核。</w:t>
      </w:r>
    </w:p>
    <w:p w14:paraId="5AF48F8E">
      <w:pPr>
        <w:pStyle w:val="19"/>
        <w:widowControl/>
        <w:numPr>
          <w:ilvl w:val="0"/>
          <w:numId w:val="8"/>
        </w:numPr>
        <w:ind w:left="360" w:leftChars="0" w:hanging="360" w:firstLineChars="0"/>
      </w:pPr>
      <w:r>
        <w:t>DM：糖尿病；T2DM：2型糖尿病。</w:t>
      </w:r>
    </w:p>
    <w:p w14:paraId="7528A5A8">
      <w:pPr>
        <w:pStyle w:val="19"/>
        <w:widowControl/>
        <w:numPr>
          <w:ilvl w:val="0"/>
          <w:numId w:val="8"/>
        </w:numPr>
        <w:ind w:left="360" w:leftChars="0" w:hanging="360" w:firstLineChars="0"/>
      </w:pPr>
      <w:r>
        <w:t>ICF：知情同意书；ULN：正常值上限；eGFR：估算肾小球滤过率；QTcF：Fridericia校正QT间期。</w:t>
      </w:r>
    </w:p>
    <w:p w14:paraId="05A8AA94">
      <w:pPr>
        <w:pStyle w:val="19"/>
        <w:widowControl/>
        <w:numPr>
          <w:ilvl w:val="0"/>
          <w:numId w:val="8"/>
        </w:numPr>
        <w:ind w:left="360" w:leftChars="0" w:hanging="360" w:firstLineChars="0"/>
      </w:pPr>
      <w:r>
        <w:t>DKA：糖尿病酮症酸中毒；HHS：高血糖高渗状态；NTM：非结核分枝杆菌。</w:t>
      </w:r>
    </w:p>
    <w:p w14:paraId="067FF12E">
      <w:pPr>
        <w:pStyle w:val="19"/>
        <w:widowControl/>
        <w:numPr>
          <w:ilvl w:val="0"/>
          <w:numId w:val="8"/>
        </w:numPr>
        <w:ind w:left="360" w:leftChars="0" w:hanging="360" w:firstLineChars="0"/>
      </w:pPr>
      <w:r>
        <w:t>Xpert：Xpert MTB/RIF；Ultra：Xpert MTB/RIF Ultra；tNGS：靶向宏基因组测序（按方案定义/平台验证）。</w:t>
      </w:r>
    </w:p>
    <w:p w14:paraId="17E8F334">
      <w:pPr>
        <w:pStyle w:val="3"/>
        <w:widowControl/>
        <w:numPr>
          <w:ilvl w:val="0"/>
          <w:numId w:val="7"/>
        </w:numPr>
        <w:ind w:left="0" w:leftChars="0" w:firstLine="0" w:firstLineChars="0"/>
        <w:rPr>
          <w:b/>
        </w:rPr>
      </w:pPr>
      <w:r>
        <w:t>职责分工</w:t>
      </w:r>
    </w:p>
    <w:p w14:paraId="26838D3A">
      <w:pPr>
        <w:pStyle w:val="19"/>
        <w:widowControl/>
        <w:numPr>
          <w:ilvl w:val="0"/>
          <w:numId w:val="9"/>
        </w:numPr>
        <w:ind w:left="360" w:leftChars="0" w:hanging="360" w:firstLineChars="0"/>
      </w:pPr>
      <w:r>
        <w:t>研究者（PI/分中心负责人）：对入组资格最终判定负责；签署《资格判定表》并确保源文件完整。</w:t>
      </w:r>
    </w:p>
    <w:p w14:paraId="4B823283">
      <w:pPr>
        <w:pStyle w:val="19"/>
        <w:widowControl/>
        <w:numPr>
          <w:ilvl w:val="0"/>
          <w:numId w:val="9"/>
        </w:numPr>
        <w:ind w:left="360" w:leftChars="0" w:hanging="360" w:firstLineChars="0"/>
      </w:pPr>
      <w:r>
        <w:t>研究医生/研究护士：执行筛选评估；收集并核对TB与T2DM确诊证据；完成排除标准核查。</w:t>
      </w:r>
    </w:p>
    <w:p w14:paraId="0F10A857">
      <w:pPr>
        <w:pStyle w:val="19"/>
        <w:widowControl/>
        <w:numPr>
          <w:ilvl w:val="0"/>
          <w:numId w:val="9"/>
        </w:numPr>
        <w:ind w:left="360" w:leftChars="0" w:hanging="360" w:firstLineChars="0"/>
      </w:pPr>
      <w:r>
        <w:t>CRC：维护筛选日志；组织材料归档；推动缺失证据补齐；协助EDC录入与查询关闭。</w:t>
      </w:r>
    </w:p>
    <w:p w14:paraId="2590214F">
      <w:pPr>
        <w:pStyle w:val="19"/>
        <w:widowControl/>
        <w:numPr>
          <w:ilvl w:val="0"/>
          <w:numId w:val="9"/>
        </w:numPr>
        <w:ind w:left="360" w:leftChars="0" w:hanging="360" w:firstLineChars="0"/>
      </w:pPr>
      <w:r>
        <w:t>检验/微生物实验室：出具并回传分子检测/培养/生化等报告；对结果更正/复核留痕。</w:t>
      </w:r>
    </w:p>
    <w:p w14:paraId="697A786B">
      <w:pPr>
        <w:pStyle w:val="19"/>
        <w:widowControl/>
        <w:numPr>
          <w:ilvl w:val="0"/>
          <w:numId w:val="9"/>
        </w:numPr>
        <w:ind w:left="360" w:leftChars="0" w:hanging="360" w:firstLineChars="0"/>
      </w:pPr>
      <w:r>
        <w:t>影像科：提供胸片/CT报告；必要时参与不可判读或分歧情况的复核。</w:t>
      </w:r>
    </w:p>
    <w:p w14:paraId="548934BE">
      <w:pPr>
        <w:pStyle w:val="19"/>
        <w:widowControl/>
        <w:numPr>
          <w:ilvl w:val="0"/>
          <w:numId w:val="9"/>
        </w:numPr>
        <w:ind w:left="360" w:leftChars="0" w:hanging="360" w:firstLineChars="0"/>
      </w:pPr>
      <w:r>
        <w:t>数据管理/PMO：配置EDC字段与逻辑校验；对资格判定一致性进行监测与稽核。</w:t>
      </w:r>
    </w:p>
    <w:p w14:paraId="1BD4EFD3">
      <w:pPr>
        <w:pStyle w:val="3"/>
        <w:widowControl/>
        <w:numPr>
          <w:ilvl w:val="0"/>
          <w:numId w:val="7"/>
        </w:numPr>
        <w:ind w:left="0" w:leftChars="0" w:firstLine="0" w:firstLineChars="0"/>
        <w:rPr>
          <w:b/>
        </w:rPr>
      </w:pPr>
      <w:r>
        <w:t>关键原则（必须遵守）</w:t>
      </w:r>
    </w:p>
    <w:p w14:paraId="4F6FA2CA">
      <w:pPr>
        <w:pStyle w:val="19"/>
        <w:widowControl/>
        <w:numPr>
          <w:ilvl w:val="0"/>
          <w:numId w:val="10"/>
        </w:numPr>
        <w:ind w:left="360" w:leftChars="0" w:hanging="360" w:firstLineChars="0"/>
      </w:pPr>
      <w:r>
        <w:t>任何研究特定程序前必须完成书面知情同意（见SOP11）。常规诊疗已完成的检查/检验可用于资格判定，但不得因研究目的额外增加检查或采样。</w:t>
      </w:r>
    </w:p>
    <w:p w14:paraId="7F59FD22">
      <w:pPr>
        <w:pStyle w:val="19"/>
        <w:widowControl/>
        <w:numPr>
          <w:ilvl w:val="0"/>
          <w:numId w:val="10"/>
        </w:numPr>
        <w:ind w:left="360" w:leftChars="0" w:hanging="360" w:firstLineChars="0"/>
      </w:pPr>
      <w:r>
        <w:t>入组资格必须在随机化或队列分配实施前完成并留痕；不得“先随机后补证据”。</w:t>
      </w:r>
    </w:p>
    <w:p w14:paraId="7C31943C">
      <w:pPr>
        <w:pStyle w:val="19"/>
        <w:widowControl/>
        <w:numPr>
          <w:ilvl w:val="0"/>
          <w:numId w:val="10"/>
        </w:numPr>
        <w:ind w:left="360" w:leftChars="0" w:hanging="360" w:firstLineChars="0"/>
      </w:pPr>
      <w:r>
        <w:t>证据以源文件为准（检验/影像报告、病历、用药记录等），并满足ALCOA+原则。</w:t>
      </w:r>
    </w:p>
    <w:p w14:paraId="0947B80A">
      <w:pPr>
        <w:pStyle w:val="19"/>
        <w:widowControl/>
        <w:numPr>
          <w:ilvl w:val="0"/>
          <w:numId w:val="10"/>
        </w:numPr>
        <w:ind w:left="360" w:leftChars="0" w:hanging="360" w:firstLineChars="0"/>
      </w:pPr>
      <w:r>
        <w:t>遇到边界/不确定情形，采用保守规则：不能明确满足纳入标准或不能排除排除标准者，不得入组。</w:t>
      </w:r>
    </w:p>
    <w:p w14:paraId="51AFEE31">
      <w:pPr>
        <w:pStyle w:val="3"/>
        <w:widowControl/>
        <w:numPr>
          <w:ilvl w:val="0"/>
          <w:numId w:val="7"/>
        </w:numPr>
        <w:ind w:left="0" w:leftChars="0" w:firstLine="0" w:firstLineChars="0"/>
        <w:rPr>
          <w:b/>
        </w:rPr>
      </w:pPr>
      <w:r>
        <w:t>操作流程</w:t>
      </w:r>
    </w:p>
    <w:p w14:paraId="4309A4D2">
      <w:pPr>
        <w:pStyle w:val="4"/>
        <w:widowControl/>
        <w:numPr>
          <w:ilvl w:val="0"/>
          <w:numId w:val="11"/>
        </w:numPr>
        <w:ind w:left="0" w:leftChars="0" w:firstLine="0" w:firstLineChars="0"/>
        <w:rPr>
          <w:b/>
        </w:rPr>
      </w:pPr>
      <w:r>
        <w:t>预筛选（Pre-screening）</w:t>
      </w:r>
    </w:p>
    <w:p w14:paraId="316777E1">
      <w:pPr>
        <w:pStyle w:val="19"/>
        <w:widowControl/>
        <w:numPr>
          <w:ilvl w:val="0"/>
          <w:numId w:val="12"/>
        </w:numPr>
        <w:ind w:left="360" w:leftChars="0" w:hanging="360" w:firstLineChars="0"/>
      </w:pPr>
      <w:r>
        <w:t>在门诊/住院常规诊疗流程中识别潜在TB-DM患者；仅基于最小必要信息判断是否可能符合条件（年龄、TB与T2DM提示、初步耐药风险）。</w:t>
      </w:r>
    </w:p>
    <w:p w14:paraId="4899E653">
      <w:pPr>
        <w:pStyle w:val="19"/>
        <w:widowControl/>
        <w:numPr>
          <w:ilvl w:val="0"/>
          <w:numId w:val="12"/>
        </w:numPr>
        <w:ind w:left="360" w:leftChars="0" w:hanging="360" w:firstLineChars="0"/>
      </w:pPr>
      <w:r>
        <w:t>建立筛选日志（Screening Log），记录筛选编号、初步符合/不符合原因及日期。</w:t>
      </w:r>
    </w:p>
    <w:p w14:paraId="29561B18">
      <w:pPr>
        <w:pStyle w:val="4"/>
        <w:widowControl/>
        <w:numPr>
          <w:ilvl w:val="0"/>
          <w:numId w:val="11"/>
        </w:numPr>
        <w:ind w:left="0" w:leftChars="0" w:firstLine="0" w:firstLineChars="0"/>
        <w:rPr>
          <w:b/>
        </w:rPr>
      </w:pPr>
      <w:r>
        <w:t>知情同意（ICF）</w:t>
      </w:r>
    </w:p>
    <w:p w14:paraId="276FBF52">
      <w:pPr>
        <w:pStyle w:val="19"/>
        <w:widowControl/>
      </w:pPr>
      <w:r>
        <w:t>在开展任何研究特定程序（如研究专用采样、随机化、研究专用评分/问卷等）前，必须获得伦理批准版本的书面知情同意（详见SOP11）。</w:t>
      </w:r>
    </w:p>
    <w:p w14:paraId="562ACFB9">
      <w:pPr>
        <w:pStyle w:val="4"/>
        <w:widowControl/>
        <w:numPr>
          <w:ilvl w:val="0"/>
          <w:numId w:val="11"/>
        </w:numPr>
        <w:ind w:left="0" w:leftChars="0" w:firstLine="0" w:firstLineChars="0"/>
        <w:rPr>
          <w:b/>
        </w:rPr>
      </w:pPr>
      <w:r>
        <w:t>TB-DM确诊标准与证据核查</w:t>
      </w:r>
    </w:p>
    <w:p w14:paraId="5DFEEA8B">
      <w:pPr>
        <w:pStyle w:val="5"/>
        <w:widowControl/>
        <w:numPr>
          <w:ilvl w:val="0"/>
          <w:numId w:val="13"/>
        </w:numPr>
        <w:ind w:left="0" w:leftChars="0" w:firstLine="0" w:firstLineChars="0"/>
        <w:rPr>
          <w:b/>
        </w:rPr>
      </w:pPr>
      <w:r>
        <w:t>T2DM确诊标准（WHO 1999 或 ADA）</w:t>
      </w:r>
    </w:p>
    <w:p w14:paraId="6FA6EE73">
      <w:pPr>
        <w:pStyle w:val="19"/>
        <w:widowControl/>
      </w:pPr>
      <w:r>
        <w:t>受试者须为2型糖尿病（既往确诊或筛选期新确诊）。操作学判定满足以下任一条即可：</w:t>
      </w:r>
    </w:p>
    <w:p w14:paraId="4C5B46AF">
      <w:pPr>
        <w:pStyle w:val="19"/>
        <w:widowControl/>
        <w:numPr>
          <w:ilvl w:val="0"/>
          <w:numId w:val="14"/>
        </w:numPr>
        <w:ind w:left="0" w:leftChars="0" w:firstLine="0" w:firstLineChars="0"/>
        <w:rPr>
          <w:b w:val="0"/>
        </w:rPr>
      </w:pPr>
      <w:r>
        <w:t>既往由合格医疗机构明确诊断T2DM，并有病历/出院小结/门诊病历或长期降糖药物处方记录支持；</w:t>
      </w:r>
    </w:p>
    <w:p w14:paraId="45A5A374">
      <w:pPr>
        <w:pStyle w:val="19"/>
        <w:widowControl/>
        <w:numPr>
          <w:ilvl w:val="0"/>
          <w:numId w:val="14"/>
        </w:numPr>
        <w:ind w:left="0" w:leftChars="0" w:firstLine="0" w:firstLineChars="0"/>
        <w:rPr>
          <w:b w:val="0"/>
        </w:rPr>
      </w:pPr>
      <w:r>
        <w:t>筛选期检测满足糖尿病诊断阈值：HbA1c ≥6.5%（NGSP/IFCC换算可追溯），或空腹血糖(FPG) ≥7.0 mmol/L，或75 g OGTT 2小时血糖 ≥11.1 mmol/L，或随机血糖 ≥11.1 mmol/L并伴典型症状；</w:t>
      </w:r>
    </w:p>
    <w:p w14:paraId="011B77BD">
      <w:pPr>
        <w:pStyle w:val="19"/>
        <w:widowControl/>
        <w:numPr>
          <w:ilvl w:val="0"/>
          <w:numId w:val="14"/>
        </w:numPr>
        <w:ind w:left="0" w:leftChars="0" w:firstLine="0" w:firstLineChars="0"/>
        <w:rPr>
          <w:b w:val="0"/>
        </w:rPr>
      </w:pPr>
      <w:r>
        <w:t>如无“明确高血糖”临床证据，建议按临床常规对异常结果进行复测确认；复测结果、临床判断与处置需在病历/筛选记录中留痕。</w:t>
      </w:r>
    </w:p>
    <w:p w14:paraId="1CA11AB5">
      <w:pPr>
        <w:pStyle w:val="19"/>
        <w:widowControl/>
      </w:pPr>
      <w:r>
        <w:t>排除：1型糖尿病、妊娠糖尿病、明确的继发性糖尿病（如长期激素、胰腺切除等）应按研究者判断不纳入。</w:t>
      </w:r>
    </w:p>
    <w:p w14:paraId="46D60472">
      <w:pPr>
        <w:pStyle w:val="5"/>
        <w:widowControl/>
        <w:numPr>
          <w:ilvl w:val="0"/>
          <w:numId w:val="13"/>
        </w:numPr>
        <w:ind w:left="0" w:leftChars="0" w:firstLine="0" w:firstLineChars="0"/>
        <w:rPr>
          <w:b/>
        </w:rPr>
      </w:pPr>
      <w:r>
        <w:t>活动性肺结核（药敏）确诊标准</w:t>
      </w:r>
    </w:p>
    <w:p w14:paraId="6EAB7387">
      <w:pPr>
        <w:pStyle w:val="19"/>
        <w:widowControl/>
      </w:pPr>
      <w:r>
        <w:t>受试者须为活动性肺结核，且分子检测提示对利福平敏感。需同时满足以下条件：</w:t>
      </w:r>
    </w:p>
    <w:p w14:paraId="04984491">
      <w:pPr>
        <w:pStyle w:val="19"/>
        <w:widowControl/>
        <w:numPr>
          <w:ilvl w:val="0"/>
          <w:numId w:val="15"/>
        </w:numPr>
        <w:ind w:left="360" w:leftChars="0" w:hanging="360" w:firstLineChars="0"/>
      </w:pPr>
      <w:r>
        <w:t>（a）结核分枝杆菌分子检测阳性：Xpert MTB/RIF、Xpert Ultra 或 tNGS 之一阳性；</w:t>
      </w:r>
    </w:p>
    <w:p w14:paraId="15E6CBC1">
      <w:pPr>
        <w:pStyle w:val="19"/>
        <w:widowControl/>
        <w:numPr>
          <w:ilvl w:val="0"/>
          <w:numId w:val="15"/>
        </w:numPr>
        <w:ind w:left="360" w:leftChars="0" w:hanging="360" w:firstLineChars="0"/>
      </w:pPr>
      <w:r>
        <w:t>（b）同一检测体系提示利福平敏感：Xpert/Ultra显示RIF未检出耐药（RIF-susceptible）；tNGS未检出rpoB相关耐药突变（按平台报告口径）；</w:t>
      </w:r>
    </w:p>
    <w:p w14:paraId="44912886">
      <w:pPr>
        <w:pStyle w:val="19"/>
        <w:widowControl/>
        <w:numPr>
          <w:ilvl w:val="0"/>
          <w:numId w:val="15"/>
        </w:numPr>
        <w:ind w:left="360" w:leftChars="0" w:hanging="360" w:firstLineChars="0"/>
      </w:pPr>
      <w:r>
        <w:t>（c）影像学支持：胸片或CT提示与活动性肺结核相符的肺部病变；</w:t>
      </w:r>
    </w:p>
    <w:p w14:paraId="3A4A8AAC">
      <w:pPr>
        <w:pStyle w:val="19"/>
        <w:widowControl/>
        <w:numPr>
          <w:ilvl w:val="0"/>
          <w:numId w:val="15"/>
        </w:numPr>
        <w:ind w:left="360" w:leftChars="0" w:hanging="360" w:firstLineChars="0"/>
      </w:pPr>
      <w:r>
        <w:t>（d）病变范围：单纯肺结核，或肺结核合并结核性胸膜炎、支气管结核或纵隔淋巴结核。</w:t>
      </w:r>
    </w:p>
    <w:p w14:paraId="5B4EBB70">
      <w:pPr>
        <w:pStyle w:val="19"/>
        <w:widowControl/>
      </w:pPr>
      <w:r>
        <w:t>说明：仅影像学可疑但缺乏分子学证据者不符合纳入；若高度疑似非结核分枝杆菌肺病（NTM；例如分子检测“M.tb未检出”但涂片阳性），应按排除标准处理。</w:t>
      </w:r>
    </w:p>
    <w:p w14:paraId="2518F9B2">
      <w:pPr>
        <w:pStyle w:val="5"/>
        <w:widowControl/>
        <w:numPr>
          <w:ilvl w:val="0"/>
          <w:numId w:val="13"/>
        </w:numPr>
        <w:ind w:left="0" w:leftChars="0" w:firstLine="0" w:firstLineChars="0"/>
        <w:rPr>
          <w:b/>
        </w:rPr>
      </w:pPr>
      <w:r>
        <w:t>既往治疗史与耐药风险排除</w:t>
      </w:r>
    </w:p>
    <w:p w14:paraId="2D6688AB">
      <w:pPr>
        <w:pStyle w:val="19"/>
        <w:widowControl/>
        <w:numPr>
          <w:ilvl w:val="0"/>
          <w:numId w:val="16"/>
        </w:numPr>
        <w:ind w:left="360" w:leftChars="0" w:hanging="360" w:firstLineChars="0"/>
      </w:pPr>
      <w:r>
        <w:t>本次发病未接受抗结核治疗，或接受抗结核治疗（包括氟喹诺酮类或注射类抗结核药物）时间≤7天。</w:t>
      </w:r>
    </w:p>
    <w:p w14:paraId="27D56A0C">
      <w:pPr>
        <w:pStyle w:val="19"/>
        <w:widowControl/>
        <w:numPr>
          <w:ilvl w:val="0"/>
          <w:numId w:val="16"/>
        </w:numPr>
        <w:ind w:left="360" w:leftChars="0" w:hanging="360" w:firstLineChars="0"/>
      </w:pPr>
      <w:r>
        <w:t>已知或疑似对研究核心药物（异烟肼、利福霉素类、氟喹诺酮类、吡嗪酰胺）耐药，或无法在随机前排除耐药风险者，不得入组。</w:t>
      </w:r>
    </w:p>
    <w:p w14:paraId="790EB1C8">
      <w:pPr>
        <w:pStyle w:val="19"/>
        <w:widowControl/>
        <w:numPr>
          <w:ilvl w:val="0"/>
          <w:numId w:val="16"/>
        </w:numPr>
        <w:ind w:left="360" w:leftChars="0" w:hanging="360" w:firstLineChars="0"/>
      </w:pPr>
      <w:r>
        <w:t>耐药风险排除的证据包括：分子检测RIF敏感结果；以及研究中心规定的快速耐药筛查/病史评估。任何“无法解释的既往长期用药/复治史/接触史”需记录并由研究者判定。</w:t>
      </w:r>
    </w:p>
    <w:p w14:paraId="0C2C4381">
      <w:pPr>
        <w:pStyle w:val="4"/>
        <w:widowControl/>
        <w:numPr>
          <w:ilvl w:val="0"/>
          <w:numId w:val="11"/>
        </w:numPr>
        <w:ind w:left="0" w:leftChars="0" w:firstLine="0" w:firstLineChars="0"/>
        <w:rPr>
          <w:b/>
        </w:rPr>
      </w:pPr>
      <w:r>
        <w:t>纳入标准核查（逐条）</w:t>
      </w:r>
    </w:p>
    <w:p w14:paraId="5871C872">
      <w:pPr>
        <w:pStyle w:val="19"/>
        <w:widowControl/>
      </w:pPr>
      <w:r>
        <w:t>受试者必须同时满足以下所有条件方可入组（与研究方案一致）：</w:t>
      </w:r>
    </w:p>
    <w:p w14:paraId="62A094F7">
      <w:pPr>
        <w:pStyle w:val="19"/>
        <w:widowControl/>
        <w:numPr>
          <w:ilvl w:val="0"/>
          <w:numId w:val="17"/>
        </w:numPr>
        <w:ind w:left="0" w:leftChars="0" w:firstLine="0" w:firstLineChars="0"/>
        <w:rPr>
          <w:b w:val="0"/>
        </w:rPr>
      </w:pPr>
      <w:r>
        <w:t>知情同意：受试者（或其法定代理人）在进行任何研究相关程序前，自愿签署书面ICF，并能够遵守研究访视计划与检查要求。</w:t>
      </w:r>
    </w:p>
    <w:p w14:paraId="5DCA876E">
      <w:pPr>
        <w:pStyle w:val="19"/>
        <w:widowControl/>
        <w:numPr>
          <w:ilvl w:val="0"/>
          <w:numId w:val="17"/>
        </w:numPr>
        <w:ind w:left="0" w:leftChars="0" w:firstLine="0" w:firstLineChars="0"/>
        <w:rPr>
          <w:b w:val="0"/>
        </w:rPr>
      </w:pPr>
      <w:r>
        <w:t>年龄：签署ICF时年龄为18至70周岁（含界值），性别不限。</w:t>
      </w:r>
    </w:p>
    <w:p w14:paraId="0DD7B110">
      <w:pPr>
        <w:pStyle w:val="19"/>
        <w:widowControl/>
        <w:numPr>
          <w:ilvl w:val="0"/>
          <w:numId w:val="17"/>
        </w:numPr>
        <w:ind w:left="0" w:leftChars="0" w:firstLine="0" w:firstLineChars="0"/>
        <w:rPr>
          <w:b w:val="0"/>
        </w:rPr>
      </w:pPr>
      <w:r>
        <w:t>T2DM确诊：符合WHO（1999）或ADA诊断标准确诊的2型糖尿病（既往确诊或筛选期新确诊）。</w:t>
      </w:r>
    </w:p>
    <w:p w14:paraId="46C2B7C7">
      <w:pPr>
        <w:pStyle w:val="19"/>
        <w:widowControl/>
        <w:numPr>
          <w:ilvl w:val="0"/>
          <w:numId w:val="17"/>
        </w:numPr>
        <w:ind w:left="0" w:leftChars="0" w:firstLine="0" w:firstLineChars="0"/>
        <w:rPr>
          <w:b w:val="0"/>
        </w:rPr>
      </w:pPr>
      <w:r>
        <w:t>活动性肺结核确诊：同时满足（a）结核分枝杆菌分子检测阳性（Xpert MTB/RIF，Xpert Ultra 或 tNGS之一）；（b）分子检测证实对利福平敏感（Xpert MTB/RIF，Xpert Ultra 或 tNGS之一）；（c）影像学支持（胸片或CT提示与活动性肺结核相符的肺部病变）；（d）病变范围包括单纯肺结核，或肺结核合并结核性胸膜炎、支气管结核或纵隔淋巴结核。</w:t>
      </w:r>
    </w:p>
    <w:p w14:paraId="2384031A">
      <w:pPr>
        <w:pStyle w:val="19"/>
        <w:widowControl/>
        <w:numPr>
          <w:ilvl w:val="0"/>
          <w:numId w:val="17"/>
        </w:numPr>
        <w:ind w:left="0" w:leftChars="0" w:firstLine="0" w:firstLineChars="0"/>
        <w:rPr>
          <w:b w:val="0"/>
        </w:rPr>
      </w:pPr>
      <w:r>
        <w:t>既往治疗史：本次发病未接受抗结核治疗，或接受抗结核治疗（包括氟喹诺酮类或注射类抗结核药物）的时间≤7天。</w:t>
      </w:r>
    </w:p>
    <w:p w14:paraId="6E60E99A">
      <w:pPr>
        <w:pStyle w:val="19"/>
        <w:widowControl/>
        <w:numPr>
          <w:ilvl w:val="0"/>
          <w:numId w:val="17"/>
        </w:numPr>
        <w:ind w:left="0" w:leftChars="0" w:firstLine="0" w:firstLineChars="0"/>
        <w:rPr>
          <w:b w:val="0"/>
        </w:rPr>
      </w:pPr>
      <w:r>
        <w:t>体重：筛选时体重≥30 kg且&lt;90 kg。</w:t>
      </w:r>
    </w:p>
    <w:p w14:paraId="71499518">
      <w:pPr>
        <w:pStyle w:val="19"/>
        <w:widowControl/>
        <w:numPr>
          <w:ilvl w:val="0"/>
          <w:numId w:val="17"/>
        </w:numPr>
        <w:ind w:left="0" w:leftChars="0" w:firstLine="0" w:firstLineChars="0"/>
        <w:rPr>
          <w:b w:val="0"/>
        </w:rPr>
      </w:pPr>
      <w:r>
        <w:t>避孕要求：有生育能力的女性筛选期血清或尿液妊娠试验阴性；所有具备生育能力的受试者（无论男女）同意自签署ICF起至末次给药后至少6个月内采取高效避孕措施（年失败率&lt;1%）；男性受试者全程使用避孕套。</w:t>
      </w:r>
    </w:p>
    <w:p w14:paraId="23BED0CB">
      <w:pPr>
        <w:pStyle w:val="19"/>
        <w:widowControl/>
        <w:numPr>
          <w:ilvl w:val="0"/>
          <w:numId w:val="17"/>
        </w:numPr>
        <w:ind w:left="0" w:leftChars="0" w:firstLine="0" w:firstLineChars="0"/>
        <w:rPr>
          <w:b w:val="0"/>
        </w:rPr>
      </w:pPr>
      <w:r>
        <w:t>依从性与设备：研究者判断受试者具备完成治疗与长期随访的能力，并具备可靠联系方式/可完成电子化随访或等价替代随访。</w:t>
      </w:r>
    </w:p>
    <w:p w14:paraId="415AD50C">
      <w:pPr>
        <w:pStyle w:val="4"/>
        <w:widowControl/>
      </w:pPr>
      <w:r>
        <w:t>7.5 排除标准核查（逐条）</w:t>
      </w:r>
    </w:p>
    <w:p w14:paraId="3632BD02">
      <w:pPr>
        <w:pStyle w:val="19"/>
        <w:widowControl/>
      </w:pPr>
      <w:r>
        <w:t>符合下列任一条件的受试者不得入组（与研究方案一致）：</w:t>
      </w:r>
    </w:p>
    <w:p w14:paraId="3926CB81">
      <w:pPr>
        <w:pStyle w:val="19"/>
        <w:widowControl/>
        <w:numPr>
          <w:ilvl w:val="0"/>
          <w:numId w:val="18"/>
        </w:numPr>
        <w:ind w:left="0" w:leftChars="0" w:firstLine="0" w:firstLineChars="0"/>
        <w:rPr>
          <w:b w:val="0"/>
        </w:rPr>
      </w:pPr>
      <w:r>
        <w:t>耐药风险：已知或疑似对研究核心药物（异烟肼、利福霉素类、氟喹诺酮类、吡嗪酰胺）耐药，或无法在随机前排除耐药风险。</w:t>
      </w:r>
    </w:p>
    <w:p w14:paraId="78F06A37">
      <w:pPr>
        <w:pStyle w:val="19"/>
        <w:widowControl/>
        <w:numPr>
          <w:ilvl w:val="0"/>
          <w:numId w:val="18"/>
        </w:numPr>
        <w:ind w:left="0" w:leftChars="0" w:firstLine="0" w:firstLineChars="0"/>
        <w:rPr>
          <w:b w:val="0"/>
        </w:rPr>
      </w:pPr>
      <w:r>
        <w:t>需延长或特殊治疗的肺外结核病：粟粒性结核、结核性脑膜炎/脑脊髓膜炎、脊柱/骨关节结核、腹部结核、泌尿生殖系统结核、心包结核等。</w:t>
      </w:r>
    </w:p>
    <w:p w14:paraId="19EB5769">
      <w:pPr>
        <w:pStyle w:val="19"/>
        <w:widowControl/>
        <w:numPr>
          <w:ilvl w:val="0"/>
          <w:numId w:val="18"/>
        </w:numPr>
        <w:ind w:left="0" w:leftChars="0" w:firstLine="0" w:firstLineChars="0"/>
        <w:rPr>
          <w:b w:val="0"/>
        </w:rPr>
      </w:pPr>
      <w:r>
        <w:t>非结核分枝杆菌（NTM）：筛选期证据高度提示为NTM肺病（例如分子检测“M.tb未检出”但涂片阳性，或tNGS/培养鉴定为NTM）。</w:t>
      </w:r>
    </w:p>
    <w:p w14:paraId="06DA4C97">
      <w:pPr>
        <w:pStyle w:val="19"/>
        <w:widowControl/>
        <w:numPr>
          <w:ilvl w:val="0"/>
          <w:numId w:val="18"/>
        </w:numPr>
        <w:ind w:left="0" w:leftChars="0" w:firstLine="0" w:firstLineChars="0"/>
        <w:rPr>
          <w:b w:val="0"/>
        </w:rPr>
      </w:pPr>
      <w:r>
        <w:t>糖尿病急性并发症：筛选期存在糖尿病酮症酸中毒（DKA）或高血糖高渗状态（HHS）等需紧急住院纠正的急性代谢紊乱。</w:t>
      </w:r>
    </w:p>
    <w:p w14:paraId="23455DB9">
      <w:pPr>
        <w:pStyle w:val="19"/>
        <w:widowControl/>
        <w:numPr>
          <w:ilvl w:val="0"/>
          <w:numId w:val="18"/>
        </w:numPr>
        <w:ind w:left="0" w:leftChars="0" w:firstLine="0" w:firstLineChars="0"/>
        <w:rPr>
          <w:b w:val="0"/>
        </w:rPr>
      </w:pPr>
      <w:r>
        <w:t>干扰评估的严重慢性并发症：包括严重周围神经病变（≥2级，按DAIDS或研究预设神经毒性分级标准评估）或增殖性糖尿病视网膜病变/严重眼底出血史等。</w:t>
      </w:r>
    </w:p>
    <w:p w14:paraId="762DC8C2">
      <w:pPr>
        <w:pStyle w:val="19"/>
        <w:widowControl/>
        <w:numPr>
          <w:ilvl w:val="0"/>
          <w:numId w:val="18"/>
        </w:numPr>
        <w:ind w:left="0" w:leftChars="0" w:firstLine="0" w:firstLineChars="0"/>
        <w:rPr>
          <w:b w:val="0"/>
        </w:rPr>
      </w:pPr>
      <w:r>
        <w:t>实验室检查安全红线（筛选期前14天内）：ALT或AST≥3×ULN，或TBIL≥2×ULN；血清肌酐≥2×ULN或eGFR&lt;30 mL/min/1.73 m²；血红蛋白&lt;70 g/L；血小板&lt;100×10⁹/L；白细胞&lt;2.0×10⁹/L或中性粒细胞&lt;1.0×10⁹/L；血钾&lt;3.5 mmol/L或&gt;5.5 mmol/L（低钾血症允许纠正后复测一次，合格可入组）。</w:t>
      </w:r>
    </w:p>
    <w:p w14:paraId="00DA2F6E">
      <w:pPr>
        <w:pStyle w:val="19"/>
        <w:widowControl/>
        <w:numPr>
          <w:ilvl w:val="0"/>
          <w:numId w:val="18"/>
        </w:numPr>
        <w:ind w:left="0" w:leftChars="0" w:firstLine="0" w:firstLineChars="0"/>
        <w:rPr>
          <w:b w:val="0"/>
        </w:rPr>
      </w:pPr>
      <w:r>
        <w:t>心脏安全性排除：筛选期心电图QTcF男性&gt;450 ms、女性&gt;470 ms（首次异常可复测一次取平均值）；或既往长QT综合征家族史、临床意义心律失常、近六个月心肌梗死、充血性心力衰竭等。</w:t>
      </w:r>
    </w:p>
    <w:p w14:paraId="547B4A00">
      <w:pPr>
        <w:pStyle w:val="19"/>
        <w:widowControl/>
        <w:numPr>
          <w:ilvl w:val="0"/>
          <w:numId w:val="18"/>
        </w:numPr>
        <w:ind w:left="0" w:leftChars="0" w:firstLine="0" w:firstLineChars="0"/>
        <w:rPr>
          <w:b w:val="0"/>
        </w:rPr>
      </w:pPr>
      <w:r>
        <w:t>药物相互作用：必须长期使用与利福霉素类存在严重相互作用且无法替代的药物。</w:t>
      </w:r>
    </w:p>
    <w:p w14:paraId="293D5F50">
      <w:pPr>
        <w:pStyle w:val="19"/>
        <w:widowControl/>
        <w:numPr>
          <w:ilvl w:val="0"/>
          <w:numId w:val="18"/>
        </w:numPr>
        <w:ind w:left="0" w:leftChars="0" w:firstLine="0" w:firstLineChars="0"/>
        <w:rPr>
          <w:b w:val="0"/>
        </w:rPr>
      </w:pPr>
      <w:r>
        <w:t>免疫抑制与特殊状态：HIV阳性；筛选前2周内接受全身性糖皮质激素治疗；正在使用免疫抑制剂/生物制剂；或患有严重自身免疫性疾病。</w:t>
      </w:r>
    </w:p>
    <w:p w14:paraId="61974BE9">
      <w:pPr>
        <w:pStyle w:val="19"/>
        <w:widowControl/>
        <w:numPr>
          <w:ilvl w:val="0"/>
          <w:numId w:val="18"/>
        </w:numPr>
        <w:ind w:left="0" w:leftChars="0" w:firstLine="0" w:firstLineChars="0"/>
        <w:rPr>
          <w:b w:val="0"/>
        </w:rPr>
      </w:pPr>
      <w:r>
        <w:t>其他影响安全性或依从性的情况：既往氟喹诺酮相关肌腱炎/肌腱断裂史；对研究药物成分过敏；严重精神障碍；或重度慢性肺部疾病（研究者判断可能影响结局评估）。</w:t>
      </w:r>
    </w:p>
    <w:p w14:paraId="117634F7">
      <w:pPr>
        <w:pStyle w:val="19"/>
        <w:widowControl/>
        <w:numPr>
          <w:ilvl w:val="0"/>
          <w:numId w:val="18"/>
        </w:numPr>
        <w:ind w:left="0" w:leftChars="0" w:firstLine="0" w:firstLineChars="0"/>
        <w:rPr>
          <w:b w:val="0"/>
        </w:rPr>
      </w:pPr>
      <w:r>
        <w:t>妊娠或哺乳：正在妊娠或哺乳期的女性。</w:t>
      </w:r>
    </w:p>
    <w:p w14:paraId="568B21EC">
      <w:pPr>
        <w:pStyle w:val="4"/>
        <w:widowControl/>
        <w:numPr>
          <w:ilvl w:val="0"/>
          <w:numId w:val="19"/>
        </w:numPr>
        <w:ind w:left="0" w:leftChars="0" w:firstLine="0" w:firstLineChars="0"/>
        <w:rPr>
          <w:b/>
        </w:rPr>
      </w:pPr>
      <w:r>
        <w:t>边界情形与复核规则（建议）</w:t>
      </w:r>
    </w:p>
    <w:p w14:paraId="6AB7D389">
      <w:pPr>
        <w:pStyle w:val="19"/>
        <w:widowControl/>
        <w:numPr>
          <w:ilvl w:val="0"/>
          <w:numId w:val="20"/>
        </w:numPr>
        <w:ind w:left="360" w:leftChars="0" w:hanging="360" w:firstLineChars="0"/>
      </w:pPr>
      <w:r>
        <w:t>实验室/心电图首次超阈值但允许复测者：按方案与本SOP条款完成一次复测，并记录复测时间、结果与采用的判定规则（如取平均值）。</w:t>
      </w:r>
    </w:p>
    <w:p w14:paraId="4C2A6DB0">
      <w:pPr>
        <w:pStyle w:val="19"/>
        <w:widowControl/>
        <w:numPr>
          <w:ilvl w:val="0"/>
          <w:numId w:val="20"/>
        </w:numPr>
        <w:ind w:left="360" w:leftChars="0" w:hanging="360" w:firstLineChars="0"/>
      </w:pPr>
      <w:r>
        <w:t>低钾血症：允许纠正后复测一次；复测仍不合格者不得入组。</w:t>
      </w:r>
    </w:p>
    <w:p w14:paraId="0B0BDA7E">
      <w:pPr>
        <w:pStyle w:val="19"/>
        <w:widowControl/>
        <w:numPr>
          <w:ilvl w:val="0"/>
          <w:numId w:val="20"/>
        </w:numPr>
        <w:ind w:left="360" w:leftChars="0" w:hanging="360" w:firstLineChars="0"/>
      </w:pPr>
      <w:r>
        <w:t>影像不可判读或结论不一致：应在不增加受试者额外负担的前提下复核既往影像或申请中心内二次判读；仍不确定者按保守规则不入组。</w:t>
      </w:r>
    </w:p>
    <w:p w14:paraId="14713A41">
      <w:pPr>
        <w:pStyle w:val="19"/>
        <w:widowControl/>
        <w:numPr>
          <w:ilvl w:val="0"/>
          <w:numId w:val="20"/>
        </w:numPr>
        <w:ind w:left="360" w:leftChars="0" w:hanging="360" w:firstLineChars="0"/>
      </w:pPr>
      <w:r>
        <w:t>出现提示NTM的组合证据（如M.tb未检出但涂片阳性）：不入组，并记录原因与后续临床处置（如送培养鉴定）。</w:t>
      </w:r>
    </w:p>
    <w:p w14:paraId="205C1E94">
      <w:pPr>
        <w:pStyle w:val="4"/>
        <w:widowControl/>
        <w:numPr>
          <w:ilvl w:val="0"/>
          <w:numId w:val="19"/>
        </w:numPr>
        <w:ind w:left="0" w:leftChars="0" w:firstLine="0" w:firstLineChars="0"/>
        <w:rPr>
          <w:b/>
        </w:rPr>
      </w:pPr>
      <w:r>
        <w:t>资格判定记录、EDC录入与归档</w:t>
      </w:r>
    </w:p>
    <w:p w14:paraId="0164998C">
      <w:pPr>
        <w:pStyle w:val="19"/>
        <w:widowControl/>
        <w:numPr>
          <w:ilvl w:val="0"/>
          <w:numId w:val="21"/>
        </w:numPr>
        <w:ind w:left="360" w:leftChars="0" w:hanging="360" w:firstLineChars="0"/>
      </w:pPr>
      <w:r>
        <w:t>完成《入组资格判定表》（见附录A/B/C）并由研究者签名日期确认。</w:t>
      </w:r>
    </w:p>
    <w:p w14:paraId="31468FAD">
      <w:pPr>
        <w:pStyle w:val="19"/>
        <w:widowControl/>
        <w:numPr>
          <w:ilvl w:val="0"/>
          <w:numId w:val="21"/>
        </w:numPr>
        <w:ind w:left="360" w:leftChars="0" w:hanging="360" w:firstLineChars="0"/>
      </w:pPr>
      <w:r>
        <w:t>将关键证据上传/归档：分子检测报告（含RIF敏感结论）、影像报告、糖尿病诊断证据、筛选期实验室与心电图、妊娠试验、用药史与既往治疗史。</w:t>
      </w:r>
    </w:p>
    <w:p w14:paraId="53103000">
      <w:pPr>
        <w:pStyle w:val="19"/>
        <w:widowControl/>
        <w:numPr>
          <w:ilvl w:val="0"/>
          <w:numId w:val="21"/>
        </w:numPr>
        <w:ind w:left="360" w:leftChars="0" w:hanging="360" w:firstLineChars="0"/>
      </w:pPr>
      <w:r>
        <w:t>在EDC中录入纳入/排除标准判定结果与关键时间点；对逻辑校验触发的查询及时回复并闭环。</w:t>
      </w:r>
    </w:p>
    <w:p w14:paraId="230448BE">
      <w:pPr>
        <w:pStyle w:val="3"/>
        <w:widowControl/>
        <w:numPr>
          <w:ilvl w:val="0"/>
          <w:numId w:val="22"/>
        </w:numPr>
        <w:ind w:left="0" w:leftChars="0" w:firstLine="0" w:firstLineChars="0"/>
        <w:rPr>
          <w:b/>
        </w:rPr>
      </w:pPr>
      <w:r>
        <w:t>记录与归档清单（Minimum Auditable Set）</w:t>
      </w:r>
    </w:p>
    <w:p w14:paraId="07C39ED4">
      <w:pPr>
        <w:pStyle w:val="19"/>
        <w:widowControl/>
        <w:numPr>
          <w:ilvl w:val="0"/>
          <w:numId w:val="23"/>
        </w:numPr>
        <w:ind w:left="360" w:leftChars="0" w:hanging="360" w:firstLineChars="0"/>
      </w:pPr>
      <w:r>
        <w:t>筛选日志（Screening Log）。</w:t>
      </w:r>
    </w:p>
    <w:p w14:paraId="3931653B">
      <w:pPr>
        <w:pStyle w:val="19"/>
        <w:widowControl/>
        <w:numPr>
          <w:ilvl w:val="0"/>
          <w:numId w:val="23"/>
        </w:numPr>
        <w:ind w:left="360" w:leftChars="0" w:hanging="360" w:firstLineChars="0"/>
      </w:pPr>
      <w:r>
        <w:t>签署的ICF/PIS（含版本号、签名与日期）。</w:t>
      </w:r>
    </w:p>
    <w:p w14:paraId="0101FB58">
      <w:pPr>
        <w:pStyle w:val="19"/>
        <w:widowControl/>
        <w:numPr>
          <w:ilvl w:val="0"/>
          <w:numId w:val="23"/>
        </w:numPr>
        <w:ind w:left="360" w:leftChars="0" w:hanging="360" w:firstLineChars="0"/>
      </w:pPr>
      <w:r>
        <w:t>TB证据：Xpert/Ultra/tNGS报告（含RIF敏感）、必要的培养/涂片报告（如适用）、影像报告（CXR/CT）。</w:t>
      </w:r>
    </w:p>
    <w:p w14:paraId="6859EAA8">
      <w:pPr>
        <w:pStyle w:val="19"/>
        <w:widowControl/>
        <w:numPr>
          <w:ilvl w:val="0"/>
          <w:numId w:val="23"/>
        </w:numPr>
        <w:ind w:left="360" w:leftChars="0" w:hanging="360" w:firstLineChars="0"/>
      </w:pPr>
      <w:r>
        <w:t>DM证据：既往诊断记录或筛选期HbA1c/FPG/OGTT/随机血糖报告；降糖药处方/用药记录（如适用）。</w:t>
      </w:r>
    </w:p>
    <w:p w14:paraId="1A4B9FE7">
      <w:pPr>
        <w:pStyle w:val="19"/>
        <w:widowControl/>
        <w:numPr>
          <w:ilvl w:val="0"/>
          <w:numId w:val="23"/>
        </w:numPr>
        <w:ind w:left="360" w:leftChars="0" w:hanging="360" w:firstLineChars="0"/>
      </w:pPr>
      <w:r>
        <w:t>筛选期安全性实验室（肝肾功能、血常规、电解质等）与心电图（含QTcF计算方式）。</w:t>
      </w:r>
    </w:p>
    <w:p w14:paraId="36D728DA">
      <w:pPr>
        <w:pStyle w:val="19"/>
        <w:widowControl/>
        <w:numPr>
          <w:ilvl w:val="0"/>
          <w:numId w:val="23"/>
        </w:numPr>
        <w:ind w:left="360" w:leftChars="0" w:hanging="360" w:firstLineChars="0"/>
      </w:pPr>
      <w:r>
        <w:t>妊娠试验（如适用）与避孕承诺记录。</w:t>
      </w:r>
    </w:p>
    <w:p w14:paraId="3B216588">
      <w:pPr>
        <w:pStyle w:val="19"/>
        <w:widowControl/>
        <w:numPr>
          <w:ilvl w:val="0"/>
          <w:numId w:val="23"/>
        </w:numPr>
        <w:ind w:left="360" w:leftChars="0" w:hanging="360" w:firstLineChars="0"/>
      </w:pPr>
      <w:r>
        <w:t>《入组资格判定表》及任何复测/复核记录。</w:t>
      </w:r>
    </w:p>
    <w:p w14:paraId="5A5C9BDB">
      <w:pPr>
        <w:pStyle w:val="19"/>
        <w:widowControl/>
        <w:numPr>
          <w:ilvl w:val="0"/>
          <w:numId w:val="23"/>
        </w:numPr>
        <w:ind w:left="360" w:leftChars="0" w:hanging="360" w:firstLineChars="0"/>
      </w:pPr>
      <w:r>
        <w:t>偏差/违背方案记录（如发生）。</w:t>
      </w:r>
    </w:p>
    <w:p w14:paraId="53B141DD">
      <w:pPr>
        <w:pStyle w:val="3"/>
        <w:widowControl/>
        <w:numPr>
          <w:ilvl w:val="0"/>
          <w:numId w:val="22"/>
        </w:numPr>
        <w:ind w:left="0" w:leftChars="0" w:firstLine="0" w:firstLineChars="0"/>
        <w:rPr>
          <w:b/>
        </w:rPr>
      </w:pPr>
      <w:r>
        <w:t>质量控制与偏差处理</w:t>
      </w:r>
    </w:p>
    <w:p w14:paraId="2F7AAA10">
      <w:pPr>
        <w:pStyle w:val="19"/>
        <w:widowControl/>
        <w:numPr>
          <w:ilvl w:val="0"/>
          <w:numId w:val="24"/>
        </w:numPr>
        <w:ind w:left="360" w:leftChars="0" w:hanging="360" w:firstLineChars="0"/>
      </w:pPr>
      <w:r>
        <w:t>资格判定错误（误入组/漏排除）属于重大质量事件，应在发现后24小时内报告分中心PI与PMO，并按方案与机构要求上报伦理/监管（如适用）。</w:t>
      </w:r>
    </w:p>
    <w:p w14:paraId="13252C9E">
      <w:pPr>
        <w:pStyle w:val="19"/>
        <w:widowControl/>
        <w:numPr>
          <w:ilvl w:val="0"/>
          <w:numId w:val="24"/>
        </w:numPr>
        <w:ind w:left="360" w:leftChars="0" w:hanging="360" w:firstLineChars="0"/>
      </w:pPr>
      <w:r>
        <w:t>对已随机/已给药的误入组受试者：临床处置以受试者安全为先，同时按方案区分“停止研究治疗”与“退出研究”，并保留随访（除非受试者撤回同意）。</w:t>
      </w:r>
    </w:p>
    <w:p w14:paraId="4175E67A">
      <w:pPr>
        <w:pStyle w:val="19"/>
        <w:widowControl/>
        <w:numPr>
          <w:ilvl w:val="0"/>
          <w:numId w:val="24"/>
        </w:numPr>
        <w:ind w:left="360" w:leftChars="0" w:hanging="360" w:firstLineChars="0"/>
      </w:pPr>
      <w:r>
        <w:t>PMO/数据管理应定期抽查资格判定证据完整性与一致性，并形成问题清单与整改闭环。</w:t>
      </w:r>
    </w:p>
    <w:p w14:paraId="570B18EC">
      <w:pPr>
        <w:pStyle w:val="3"/>
        <w:widowControl/>
        <w:numPr>
          <w:ilvl w:val="0"/>
          <w:numId w:val="22"/>
        </w:numPr>
        <w:ind w:left="0" w:leftChars="0" w:firstLine="0" w:firstLineChars="0"/>
      </w:pPr>
      <w:r>
        <w:t>附录（表单模板）</w:t>
      </w:r>
    </w:p>
    <w:p w14:paraId="4D8C7FCE">
      <w:pPr>
        <w:pStyle w:val="3"/>
        <w:widowControl/>
        <w:numPr>
          <w:ilvl w:val="0"/>
          <w:numId w:val="0"/>
        </w:numPr>
        <w:ind w:leftChars="0"/>
      </w:pPr>
      <w:r>
        <w:t>附录A：纳入标准核查表（示例）</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902"/>
        <w:gridCol w:w="1964"/>
        <w:gridCol w:w="1903"/>
        <w:gridCol w:w="1903"/>
      </w:tblGrid>
      <w:tr w14:paraId="7C3B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77773B74">
            <w:pPr>
              <w:spacing w:after="0"/>
            </w:pPr>
            <w:r>
              <w:rPr>
                <w:b/>
              </w:rPr>
              <w:t>序号</w:t>
            </w:r>
          </w:p>
        </w:tc>
        <w:tc>
          <w:tcPr>
            <w:tcW w:w="1000" w:type="pct"/>
            <w:vAlign w:val="top"/>
          </w:tcPr>
          <w:p w14:paraId="56845A9A">
            <w:pPr>
              <w:spacing w:after="0"/>
            </w:pPr>
            <w:r>
              <w:rPr>
                <w:b/>
              </w:rPr>
              <w:t>纳入标准</w:t>
            </w:r>
          </w:p>
        </w:tc>
        <w:tc>
          <w:tcPr>
            <w:tcW w:w="1000" w:type="pct"/>
            <w:vAlign w:val="top"/>
          </w:tcPr>
          <w:p w14:paraId="13674FF5">
            <w:pPr>
              <w:spacing w:after="0"/>
            </w:pPr>
            <w:r>
              <w:rPr>
                <w:b/>
              </w:rPr>
              <w:t>证据/源文件（示例）</w:t>
            </w:r>
          </w:p>
        </w:tc>
        <w:tc>
          <w:tcPr>
            <w:tcW w:w="1000" w:type="pct"/>
            <w:vAlign w:val="top"/>
          </w:tcPr>
          <w:p w14:paraId="48B85A3C">
            <w:pPr>
              <w:spacing w:after="0"/>
            </w:pPr>
            <w:r>
              <w:rPr>
                <w:b/>
              </w:rPr>
              <w:t>是否满足(Y/N)</w:t>
            </w:r>
          </w:p>
        </w:tc>
        <w:tc>
          <w:tcPr>
            <w:tcW w:w="1000" w:type="pct"/>
            <w:vAlign w:val="top"/>
          </w:tcPr>
          <w:p w14:paraId="759B70E8">
            <w:pPr>
              <w:spacing w:after="0"/>
            </w:pPr>
            <w:r>
              <w:rPr>
                <w:b/>
              </w:rPr>
              <w:t>备注/签名/日期</w:t>
            </w:r>
          </w:p>
        </w:tc>
      </w:tr>
      <w:tr w14:paraId="6542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05681C31">
            <w:pPr>
              <w:spacing w:after="0"/>
            </w:pPr>
            <w:r>
              <w:rPr>
                <w:b w:val="0"/>
              </w:rPr>
              <w:t>1</w:t>
            </w:r>
          </w:p>
        </w:tc>
        <w:tc>
          <w:tcPr>
            <w:tcW w:w="1000" w:type="pct"/>
            <w:vAlign w:val="top"/>
          </w:tcPr>
          <w:p w14:paraId="7628ED01">
            <w:pPr>
              <w:spacing w:after="0"/>
            </w:pPr>
            <w:r>
              <w:rPr>
                <w:b w:val="0"/>
              </w:rPr>
              <w:t>已签署伦理批准版本</w:t>
            </w:r>
            <w:r>
              <w:rPr>
                <w:rFonts w:ascii="Times New Roman" w:hAnsi="Calibri" w:eastAsia="宋体" w:cs="Times New Roman"/>
                <w:sz w:val="22"/>
                <w:szCs w:val="22"/>
              </w:rPr>
              <w:t>ICF</w:t>
            </w:r>
            <w:r>
              <w:rPr>
                <w:b w:val="0"/>
              </w:rPr>
              <w:t>（研究程序前）</w:t>
            </w:r>
          </w:p>
        </w:tc>
        <w:tc>
          <w:tcPr>
            <w:tcW w:w="1000" w:type="pct"/>
            <w:vAlign w:val="top"/>
          </w:tcPr>
          <w:p w14:paraId="1431B3AA">
            <w:pPr>
              <w:spacing w:after="0"/>
            </w:pPr>
            <w:r>
              <w:rPr>
                <w:rFonts w:ascii="Times New Roman" w:hAnsi="Calibri" w:eastAsia="宋体" w:cs="Times New Roman"/>
                <w:sz w:val="22"/>
                <w:szCs w:val="22"/>
              </w:rPr>
              <w:t>ICF</w:t>
            </w:r>
            <w:r>
              <w:rPr>
                <w:b w:val="0"/>
              </w:rPr>
              <w:t>原件/扫描件；</w:t>
            </w:r>
            <w:r>
              <w:rPr>
                <w:rFonts w:ascii="Times New Roman" w:hAnsi="Calibri" w:eastAsia="宋体" w:cs="Times New Roman"/>
                <w:sz w:val="22"/>
                <w:szCs w:val="22"/>
              </w:rPr>
              <w:t>SOP11</w:t>
            </w:r>
            <w:r>
              <w:rPr>
                <w:b w:val="0"/>
              </w:rPr>
              <w:t>记录</w:t>
            </w:r>
          </w:p>
        </w:tc>
        <w:tc>
          <w:tcPr>
            <w:tcW w:w="1000" w:type="pct"/>
            <w:vAlign w:val="top"/>
          </w:tcPr>
          <w:p w14:paraId="51C5F6C1">
            <w:pPr>
              <w:spacing w:after="0"/>
            </w:pPr>
          </w:p>
        </w:tc>
        <w:tc>
          <w:tcPr>
            <w:tcW w:w="1000" w:type="pct"/>
            <w:vAlign w:val="top"/>
          </w:tcPr>
          <w:p w14:paraId="37FE5248">
            <w:pPr>
              <w:spacing w:after="0"/>
            </w:pPr>
          </w:p>
        </w:tc>
      </w:tr>
      <w:tr w14:paraId="3A88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733C7DD5">
            <w:pPr>
              <w:spacing w:after="0"/>
              <w:rPr>
                <w:b w:val="0"/>
              </w:rPr>
            </w:pPr>
            <w:r>
              <w:rPr>
                <w:b w:val="0"/>
              </w:rPr>
              <w:t>2</w:t>
            </w:r>
          </w:p>
        </w:tc>
        <w:tc>
          <w:tcPr>
            <w:tcW w:w="1000" w:type="pct"/>
            <w:vAlign w:val="top"/>
          </w:tcPr>
          <w:p w14:paraId="368FCCDA">
            <w:pPr>
              <w:spacing w:after="0"/>
              <w:rPr>
                <w:b w:val="0"/>
              </w:rPr>
            </w:pPr>
            <w:r>
              <w:rPr>
                <w:b w:val="0"/>
              </w:rPr>
              <w:t>年龄</w:t>
            </w:r>
            <w:r>
              <w:rPr>
                <w:rFonts w:ascii="Times New Roman" w:hAnsi="Calibri" w:eastAsia="宋体" w:cs="Times New Roman"/>
                <w:sz w:val="22"/>
                <w:szCs w:val="22"/>
              </w:rPr>
              <w:t>18–70</w:t>
            </w:r>
            <w:r>
              <w:rPr>
                <w:b w:val="0"/>
              </w:rPr>
              <w:t>岁（含界值）</w:t>
            </w:r>
          </w:p>
        </w:tc>
        <w:tc>
          <w:tcPr>
            <w:tcW w:w="1000" w:type="pct"/>
            <w:vAlign w:val="top"/>
          </w:tcPr>
          <w:p w14:paraId="43EDD994">
            <w:pPr>
              <w:spacing w:after="0"/>
              <w:rPr>
                <w:b w:val="0"/>
              </w:rPr>
            </w:pPr>
            <w:r>
              <w:rPr>
                <w:b w:val="0"/>
              </w:rPr>
              <w:t>身份证/病历基本信息</w:t>
            </w:r>
          </w:p>
        </w:tc>
        <w:tc>
          <w:tcPr>
            <w:tcW w:w="1000" w:type="pct"/>
            <w:vAlign w:val="top"/>
          </w:tcPr>
          <w:p w14:paraId="53581FE4">
            <w:pPr>
              <w:spacing w:after="0"/>
            </w:pPr>
          </w:p>
        </w:tc>
        <w:tc>
          <w:tcPr>
            <w:tcW w:w="1000" w:type="pct"/>
            <w:vAlign w:val="top"/>
          </w:tcPr>
          <w:p w14:paraId="178FBAA7">
            <w:pPr>
              <w:spacing w:after="0"/>
            </w:pPr>
          </w:p>
        </w:tc>
      </w:tr>
      <w:tr w14:paraId="75AB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6FF4DC5C">
            <w:pPr>
              <w:spacing w:after="0"/>
              <w:rPr>
                <w:b w:val="0"/>
              </w:rPr>
            </w:pPr>
            <w:r>
              <w:rPr>
                <w:b w:val="0"/>
              </w:rPr>
              <w:t>3</w:t>
            </w:r>
          </w:p>
        </w:tc>
        <w:tc>
          <w:tcPr>
            <w:tcW w:w="1000" w:type="pct"/>
            <w:vAlign w:val="top"/>
          </w:tcPr>
          <w:p w14:paraId="677763CF">
            <w:pPr>
              <w:spacing w:after="0"/>
              <w:rPr>
                <w:rFonts w:ascii="Times New Roman" w:hAnsi="Calibri" w:eastAsia="宋体" w:cs="Times New Roman"/>
                <w:sz w:val="22"/>
                <w:szCs w:val="22"/>
              </w:rPr>
            </w:pPr>
            <w:r>
              <w:rPr>
                <w:rFonts w:ascii="Times New Roman" w:hAnsi="Calibri" w:eastAsia="宋体" w:cs="Times New Roman"/>
                <w:sz w:val="22"/>
                <w:szCs w:val="22"/>
              </w:rPr>
              <w:t>T2DM确诊（WHO 1999或ADA）</w:t>
            </w:r>
          </w:p>
        </w:tc>
        <w:tc>
          <w:tcPr>
            <w:tcW w:w="1000" w:type="pct"/>
            <w:vAlign w:val="top"/>
          </w:tcPr>
          <w:p w14:paraId="606A9370">
            <w:pPr>
              <w:spacing w:after="0"/>
              <w:rPr>
                <w:rFonts w:ascii="Times New Roman" w:hAnsi="Calibri" w:eastAsia="宋体" w:cs="Times New Roman"/>
                <w:sz w:val="22"/>
                <w:szCs w:val="22"/>
              </w:rPr>
            </w:pPr>
            <w:r>
              <w:rPr>
                <w:rFonts w:ascii="Times New Roman" w:hAnsi="Calibri" w:eastAsia="宋体" w:cs="Times New Roman"/>
                <w:sz w:val="22"/>
                <w:szCs w:val="22"/>
              </w:rPr>
              <w:t>既往病历/处方；或HbA1c/FPG/OGTT报告</w:t>
            </w:r>
          </w:p>
        </w:tc>
        <w:tc>
          <w:tcPr>
            <w:tcW w:w="1000" w:type="pct"/>
            <w:vAlign w:val="top"/>
          </w:tcPr>
          <w:p w14:paraId="457736CA">
            <w:pPr>
              <w:spacing w:after="0"/>
            </w:pPr>
          </w:p>
        </w:tc>
        <w:tc>
          <w:tcPr>
            <w:tcW w:w="1000" w:type="pct"/>
            <w:vAlign w:val="top"/>
          </w:tcPr>
          <w:p w14:paraId="19A7FEDA">
            <w:pPr>
              <w:spacing w:after="0"/>
            </w:pPr>
          </w:p>
        </w:tc>
      </w:tr>
      <w:tr w14:paraId="0F9A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39FBA9A1">
            <w:pPr>
              <w:spacing w:after="0"/>
              <w:rPr>
                <w:b w:val="0"/>
              </w:rPr>
            </w:pPr>
            <w:r>
              <w:rPr>
                <w:b w:val="0"/>
              </w:rPr>
              <w:t>4</w:t>
            </w:r>
          </w:p>
        </w:tc>
        <w:tc>
          <w:tcPr>
            <w:tcW w:w="1000" w:type="pct"/>
            <w:vAlign w:val="top"/>
          </w:tcPr>
          <w:p w14:paraId="0A608B85">
            <w:pPr>
              <w:spacing w:after="0"/>
              <w:rPr>
                <w:rFonts w:ascii="Times New Roman" w:hAnsi="Calibri" w:eastAsia="宋体" w:cs="Times New Roman"/>
                <w:sz w:val="22"/>
                <w:szCs w:val="22"/>
              </w:rPr>
            </w:pPr>
            <w:r>
              <w:rPr>
                <w:rFonts w:ascii="Times New Roman" w:hAnsi="Calibri" w:eastAsia="宋体" w:cs="Times New Roman"/>
                <w:sz w:val="22"/>
                <w:szCs w:val="22"/>
              </w:rPr>
              <w:t>活动性肺结核确诊且RIF敏感</w:t>
            </w:r>
          </w:p>
        </w:tc>
        <w:tc>
          <w:tcPr>
            <w:tcW w:w="1000" w:type="pct"/>
            <w:vAlign w:val="top"/>
          </w:tcPr>
          <w:p w14:paraId="7DE5C68E">
            <w:pPr>
              <w:spacing w:after="0"/>
              <w:rPr>
                <w:rFonts w:ascii="Times New Roman" w:hAnsi="Calibri" w:eastAsia="宋体" w:cs="Times New Roman"/>
                <w:sz w:val="22"/>
                <w:szCs w:val="22"/>
              </w:rPr>
            </w:pPr>
            <w:r>
              <w:rPr>
                <w:rFonts w:ascii="Times New Roman" w:hAnsi="Calibri" w:eastAsia="宋体" w:cs="Times New Roman"/>
                <w:sz w:val="22"/>
                <w:szCs w:val="22"/>
              </w:rPr>
              <w:t>Xpert/Ultra/tNGS报告；影像报告</w:t>
            </w:r>
          </w:p>
        </w:tc>
        <w:tc>
          <w:tcPr>
            <w:tcW w:w="1000" w:type="pct"/>
            <w:vAlign w:val="top"/>
          </w:tcPr>
          <w:p w14:paraId="3FD4D589">
            <w:pPr>
              <w:spacing w:after="0"/>
            </w:pPr>
          </w:p>
        </w:tc>
        <w:tc>
          <w:tcPr>
            <w:tcW w:w="1000" w:type="pct"/>
            <w:vAlign w:val="top"/>
          </w:tcPr>
          <w:p w14:paraId="33E86A01">
            <w:pPr>
              <w:spacing w:after="0"/>
            </w:pPr>
          </w:p>
        </w:tc>
      </w:tr>
      <w:tr w14:paraId="3C20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7A53A373">
            <w:pPr>
              <w:spacing w:after="0"/>
              <w:rPr>
                <w:b w:val="0"/>
              </w:rPr>
            </w:pPr>
            <w:r>
              <w:rPr>
                <w:b w:val="0"/>
              </w:rPr>
              <w:t>5</w:t>
            </w:r>
          </w:p>
        </w:tc>
        <w:tc>
          <w:tcPr>
            <w:tcW w:w="1000" w:type="pct"/>
            <w:vAlign w:val="top"/>
          </w:tcPr>
          <w:p w14:paraId="38DE0D03">
            <w:pPr>
              <w:spacing w:after="0"/>
              <w:rPr>
                <w:rFonts w:ascii="Times New Roman" w:hAnsi="Calibri" w:eastAsia="宋体" w:cs="Times New Roman"/>
                <w:sz w:val="22"/>
                <w:szCs w:val="22"/>
              </w:rPr>
            </w:pPr>
            <w:r>
              <w:rPr>
                <w:rFonts w:ascii="Times New Roman" w:hAnsi="Calibri" w:eastAsia="宋体" w:cs="Times New Roman"/>
                <w:sz w:val="22"/>
                <w:szCs w:val="22"/>
              </w:rPr>
              <w:t>既往抗TB治疗≤7天</w:t>
            </w:r>
          </w:p>
        </w:tc>
        <w:tc>
          <w:tcPr>
            <w:tcW w:w="1000" w:type="pct"/>
            <w:vAlign w:val="top"/>
          </w:tcPr>
          <w:p w14:paraId="6F9E6CC5">
            <w:pPr>
              <w:spacing w:after="0"/>
              <w:rPr>
                <w:rFonts w:ascii="Times New Roman" w:hAnsi="Calibri" w:eastAsia="宋体" w:cs="Times New Roman"/>
                <w:sz w:val="22"/>
                <w:szCs w:val="22"/>
              </w:rPr>
            </w:pPr>
            <w:r>
              <w:rPr>
                <w:rFonts w:ascii="Times New Roman" w:hAnsi="Calibri" w:eastAsia="宋体" w:cs="Times New Roman"/>
                <w:sz w:val="22"/>
                <w:szCs w:val="22"/>
              </w:rPr>
              <w:t>病历用药史/处方/入院记录</w:t>
            </w:r>
          </w:p>
        </w:tc>
        <w:tc>
          <w:tcPr>
            <w:tcW w:w="1000" w:type="pct"/>
            <w:vAlign w:val="top"/>
          </w:tcPr>
          <w:p w14:paraId="18BD5746">
            <w:pPr>
              <w:spacing w:after="0"/>
            </w:pPr>
          </w:p>
        </w:tc>
        <w:tc>
          <w:tcPr>
            <w:tcW w:w="1000" w:type="pct"/>
            <w:vAlign w:val="top"/>
          </w:tcPr>
          <w:p w14:paraId="75BF5280">
            <w:pPr>
              <w:spacing w:after="0"/>
            </w:pPr>
          </w:p>
        </w:tc>
      </w:tr>
      <w:tr w14:paraId="5A50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0827D264">
            <w:pPr>
              <w:spacing w:after="0"/>
              <w:rPr>
                <w:b w:val="0"/>
              </w:rPr>
            </w:pPr>
            <w:r>
              <w:rPr>
                <w:b w:val="0"/>
              </w:rPr>
              <w:t>6</w:t>
            </w:r>
          </w:p>
        </w:tc>
        <w:tc>
          <w:tcPr>
            <w:tcW w:w="1000" w:type="pct"/>
            <w:vAlign w:val="top"/>
          </w:tcPr>
          <w:p w14:paraId="3B116727">
            <w:pPr>
              <w:spacing w:after="0"/>
              <w:rPr>
                <w:rFonts w:ascii="Times New Roman" w:hAnsi="Calibri" w:eastAsia="宋体" w:cs="Times New Roman"/>
                <w:sz w:val="22"/>
                <w:szCs w:val="22"/>
              </w:rPr>
            </w:pPr>
            <w:r>
              <w:rPr>
                <w:rFonts w:ascii="Times New Roman" w:hAnsi="Calibri" w:eastAsia="宋体" w:cs="Times New Roman"/>
                <w:sz w:val="22"/>
                <w:szCs w:val="22"/>
              </w:rPr>
              <w:t>体重≥30且&lt;90 kg</w:t>
            </w:r>
          </w:p>
        </w:tc>
        <w:tc>
          <w:tcPr>
            <w:tcW w:w="1000" w:type="pct"/>
            <w:vAlign w:val="top"/>
          </w:tcPr>
          <w:p w14:paraId="01BB19ED">
            <w:pPr>
              <w:spacing w:after="0"/>
              <w:rPr>
                <w:rFonts w:ascii="Times New Roman" w:hAnsi="Calibri" w:eastAsia="宋体" w:cs="Times New Roman"/>
                <w:sz w:val="22"/>
                <w:szCs w:val="22"/>
              </w:rPr>
            </w:pPr>
            <w:r>
              <w:rPr>
                <w:rFonts w:ascii="Times New Roman" w:hAnsi="Calibri" w:eastAsia="宋体" w:cs="Times New Roman"/>
                <w:sz w:val="22"/>
                <w:szCs w:val="22"/>
              </w:rPr>
              <w:t>体重测量记录</w:t>
            </w:r>
          </w:p>
        </w:tc>
        <w:tc>
          <w:tcPr>
            <w:tcW w:w="1000" w:type="pct"/>
            <w:vAlign w:val="top"/>
          </w:tcPr>
          <w:p w14:paraId="5BE78486">
            <w:pPr>
              <w:spacing w:after="0"/>
            </w:pPr>
          </w:p>
        </w:tc>
        <w:tc>
          <w:tcPr>
            <w:tcW w:w="1000" w:type="pct"/>
            <w:vAlign w:val="top"/>
          </w:tcPr>
          <w:p w14:paraId="42359EB3">
            <w:pPr>
              <w:spacing w:after="0"/>
            </w:pPr>
          </w:p>
        </w:tc>
      </w:tr>
      <w:tr w14:paraId="316B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4609F04E">
            <w:pPr>
              <w:spacing w:after="0"/>
              <w:rPr>
                <w:b w:val="0"/>
              </w:rPr>
            </w:pPr>
            <w:r>
              <w:rPr>
                <w:b w:val="0"/>
              </w:rPr>
              <w:t>7</w:t>
            </w:r>
          </w:p>
        </w:tc>
        <w:tc>
          <w:tcPr>
            <w:tcW w:w="1000" w:type="pct"/>
            <w:vAlign w:val="top"/>
          </w:tcPr>
          <w:p w14:paraId="1A25D3AC">
            <w:pPr>
              <w:spacing w:after="0"/>
              <w:rPr>
                <w:rFonts w:ascii="Times New Roman" w:hAnsi="Calibri" w:eastAsia="宋体" w:cs="Times New Roman"/>
                <w:sz w:val="22"/>
                <w:szCs w:val="22"/>
              </w:rPr>
            </w:pPr>
            <w:r>
              <w:rPr>
                <w:rFonts w:ascii="Times New Roman" w:hAnsi="Calibri" w:eastAsia="宋体" w:cs="Times New Roman"/>
                <w:sz w:val="22"/>
                <w:szCs w:val="22"/>
              </w:rPr>
              <w:t>避孕要求满足（如适用）</w:t>
            </w:r>
          </w:p>
        </w:tc>
        <w:tc>
          <w:tcPr>
            <w:tcW w:w="1000" w:type="pct"/>
            <w:vAlign w:val="top"/>
          </w:tcPr>
          <w:p w14:paraId="45650C6E">
            <w:pPr>
              <w:spacing w:after="0"/>
              <w:rPr>
                <w:rFonts w:ascii="Times New Roman" w:hAnsi="Calibri" w:eastAsia="宋体" w:cs="Times New Roman"/>
                <w:sz w:val="22"/>
                <w:szCs w:val="22"/>
              </w:rPr>
            </w:pPr>
            <w:r>
              <w:rPr>
                <w:rFonts w:ascii="Times New Roman" w:hAnsi="Calibri" w:eastAsia="宋体" w:cs="Times New Roman"/>
                <w:sz w:val="22"/>
                <w:szCs w:val="22"/>
              </w:rPr>
              <w:t>妊娠试验；避孕承诺记录</w:t>
            </w:r>
          </w:p>
        </w:tc>
        <w:tc>
          <w:tcPr>
            <w:tcW w:w="1000" w:type="pct"/>
            <w:vAlign w:val="top"/>
          </w:tcPr>
          <w:p w14:paraId="69D53B7B">
            <w:pPr>
              <w:spacing w:after="0"/>
            </w:pPr>
          </w:p>
        </w:tc>
        <w:tc>
          <w:tcPr>
            <w:tcW w:w="1000" w:type="pct"/>
            <w:vAlign w:val="top"/>
          </w:tcPr>
          <w:p w14:paraId="16BD7484">
            <w:pPr>
              <w:spacing w:after="0"/>
            </w:pPr>
          </w:p>
        </w:tc>
      </w:tr>
      <w:tr w14:paraId="3D44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670CF411">
            <w:pPr>
              <w:spacing w:after="0"/>
              <w:rPr>
                <w:b w:val="0"/>
              </w:rPr>
            </w:pPr>
            <w:r>
              <w:rPr>
                <w:b w:val="0"/>
              </w:rPr>
              <w:t>8</w:t>
            </w:r>
          </w:p>
        </w:tc>
        <w:tc>
          <w:tcPr>
            <w:tcW w:w="1000" w:type="pct"/>
            <w:vAlign w:val="top"/>
          </w:tcPr>
          <w:p w14:paraId="06CB8C9A">
            <w:pPr>
              <w:spacing w:after="0"/>
              <w:rPr>
                <w:rFonts w:ascii="Times New Roman" w:hAnsi="Calibri" w:eastAsia="宋体" w:cs="Times New Roman"/>
                <w:sz w:val="22"/>
                <w:szCs w:val="22"/>
              </w:rPr>
            </w:pPr>
            <w:r>
              <w:rPr>
                <w:rFonts w:ascii="Times New Roman" w:hAnsi="Calibri" w:eastAsia="宋体" w:cs="Times New Roman"/>
                <w:sz w:val="22"/>
                <w:szCs w:val="22"/>
              </w:rPr>
              <w:t>依从性与随访能力</w:t>
            </w:r>
          </w:p>
        </w:tc>
        <w:tc>
          <w:tcPr>
            <w:tcW w:w="1000" w:type="pct"/>
            <w:vAlign w:val="top"/>
          </w:tcPr>
          <w:p w14:paraId="24429C77">
            <w:pPr>
              <w:spacing w:after="0"/>
              <w:rPr>
                <w:rFonts w:ascii="Times New Roman" w:hAnsi="Calibri" w:eastAsia="宋体" w:cs="Times New Roman"/>
                <w:sz w:val="22"/>
                <w:szCs w:val="22"/>
              </w:rPr>
            </w:pPr>
            <w:r>
              <w:rPr>
                <w:rFonts w:ascii="Times New Roman" w:hAnsi="Calibri" w:eastAsia="宋体" w:cs="Times New Roman"/>
                <w:sz w:val="22"/>
                <w:szCs w:val="22"/>
              </w:rPr>
              <w:t>研究者评估记录/联系方式核对</w:t>
            </w:r>
          </w:p>
        </w:tc>
        <w:tc>
          <w:tcPr>
            <w:tcW w:w="1000" w:type="pct"/>
            <w:vAlign w:val="top"/>
          </w:tcPr>
          <w:p w14:paraId="14B650E2">
            <w:pPr>
              <w:spacing w:after="0"/>
            </w:pPr>
          </w:p>
        </w:tc>
        <w:tc>
          <w:tcPr>
            <w:tcW w:w="1000" w:type="pct"/>
            <w:vAlign w:val="top"/>
          </w:tcPr>
          <w:p w14:paraId="264D83FE">
            <w:pPr>
              <w:spacing w:after="0"/>
            </w:pPr>
          </w:p>
        </w:tc>
      </w:tr>
    </w:tbl>
    <w:p w14:paraId="7B1B2DD8">
      <w:pPr>
        <w:spacing w:after="0" w:line="240" w:lineRule="auto"/>
        <w:jc w:val="left"/>
        <w:rPr>
          <w:rFonts w:ascii="Times New Roman" w:hAnsi="Times New Roman" w:eastAsia="宋体" w:cs="Times New Roman"/>
          <w:b/>
          <w:sz w:val="32"/>
          <w:szCs w:val="22"/>
          <w:lang w:bidi="ar-SA"/>
        </w:rPr>
      </w:pPr>
    </w:p>
    <w:p w14:paraId="258A8FD0">
      <w:pPr>
        <w:spacing w:after="0" w:line="240" w:lineRule="auto"/>
        <w:jc w:val="left"/>
        <w:rPr>
          <w:rFonts w:ascii="Times New Roman" w:hAnsi="Times New Roman" w:eastAsia="宋体" w:cs="Times New Roman"/>
          <w:b/>
          <w:sz w:val="32"/>
          <w:szCs w:val="22"/>
          <w:lang w:bidi="ar-SA"/>
        </w:rPr>
      </w:pPr>
      <w:r>
        <w:rPr>
          <w:rFonts w:ascii="Times New Roman" w:hAnsi="Times New Roman" w:eastAsia="宋体" w:cs="Times New Roman"/>
          <w:b/>
          <w:sz w:val="32"/>
          <w:szCs w:val="22"/>
          <w:lang w:bidi="ar-SA"/>
        </w:rPr>
        <w:t>附录B：排除标准核查表（示例）</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2"/>
        <w:gridCol w:w="1915"/>
        <w:gridCol w:w="1915"/>
        <w:gridCol w:w="1915"/>
        <w:gridCol w:w="1915"/>
      </w:tblGrid>
      <w:tr w14:paraId="342C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4C6FD428">
            <w:pPr>
              <w:spacing w:after="0"/>
            </w:pPr>
            <w:r>
              <w:rPr>
                <w:b/>
              </w:rPr>
              <w:t>序号</w:t>
            </w:r>
          </w:p>
        </w:tc>
        <w:tc>
          <w:tcPr>
            <w:tcW w:w="1000" w:type="pct"/>
            <w:vAlign w:val="top"/>
          </w:tcPr>
          <w:p w14:paraId="5BB01A0C">
            <w:pPr>
              <w:spacing w:after="0"/>
            </w:pPr>
            <w:r>
              <w:rPr>
                <w:b/>
              </w:rPr>
              <w:t>排除标准</w:t>
            </w:r>
          </w:p>
        </w:tc>
        <w:tc>
          <w:tcPr>
            <w:tcW w:w="1000" w:type="pct"/>
            <w:vAlign w:val="top"/>
          </w:tcPr>
          <w:p w14:paraId="309490FC">
            <w:pPr>
              <w:spacing w:after="0"/>
            </w:pPr>
            <w:r>
              <w:rPr>
                <w:b/>
              </w:rPr>
              <w:t>证据/源文件（示例）</w:t>
            </w:r>
          </w:p>
        </w:tc>
        <w:tc>
          <w:tcPr>
            <w:tcW w:w="1000" w:type="pct"/>
            <w:vAlign w:val="top"/>
          </w:tcPr>
          <w:p w14:paraId="29CAC55B">
            <w:pPr>
              <w:spacing w:after="0"/>
            </w:pPr>
            <w:r>
              <w:rPr>
                <w:b/>
              </w:rPr>
              <w:t>是否存在(Y/N)</w:t>
            </w:r>
          </w:p>
        </w:tc>
        <w:tc>
          <w:tcPr>
            <w:tcW w:w="1000" w:type="pct"/>
            <w:vAlign w:val="top"/>
          </w:tcPr>
          <w:p w14:paraId="75A6A966">
            <w:pPr>
              <w:spacing w:after="0"/>
            </w:pPr>
            <w:r>
              <w:rPr>
                <w:b/>
              </w:rPr>
              <w:t>备注/签名/日期</w:t>
            </w:r>
          </w:p>
        </w:tc>
      </w:tr>
      <w:tr w14:paraId="2526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77A34BBD">
            <w:pPr>
              <w:spacing w:after="0"/>
            </w:pPr>
            <w:r>
              <w:rPr>
                <w:b w:val="0"/>
              </w:rPr>
              <w:t>1</w:t>
            </w:r>
          </w:p>
        </w:tc>
        <w:tc>
          <w:tcPr>
            <w:tcW w:w="1000" w:type="pct"/>
            <w:vAlign w:val="top"/>
          </w:tcPr>
          <w:p w14:paraId="3ABE5B48">
            <w:pPr>
              <w:spacing w:after="0"/>
              <w:rPr>
                <w:rFonts w:ascii="Times New Roman" w:hAnsi="Calibri" w:eastAsia="宋体" w:cs="Times New Roman"/>
                <w:sz w:val="22"/>
                <w:szCs w:val="22"/>
              </w:rPr>
            </w:pPr>
            <w:r>
              <w:rPr>
                <w:rFonts w:ascii="Times New Roman" w:hAnsi="Calibri" w:eastAsia="宋体" w:cs="Times New Roman"/>
                <w:sz w:val="22"/>
                <w:szCs w:val="22"/>
              </w:rPr>
              <w:t>已知/疑似核心药物耐药或无法排除</w:t>
            </w:r>
          </w:p>
        </w:tc>
        <w:tc>
          <w:tcPr>
            <w:tcW w:w="1000" w:type="pct"/>
            <w:vAlign w:val="top"/>
          </w:tcPr>
          <w:p w14:paraId="32002C5D">
            <w:pPr>
              <w:spacing w:after="0"/>
              <w:rPr>
                <w:rFonts w:ascii="Times New Roman" w:hAnsi="Calibri" w:eastAsia="宋体" w:cs="Times New Roman"/>
                <w:sz w:val="22"/>
                <w:szCs w:val="22"/>
              </w:rPr>
            </w:pPr>
            <w:r>
              <w:rPr>
                <w:rFonts w:ascii="Times New Roman" w:hAnsi="Calibri" w:eastAsia="宋体" w:cs="Times New Roman"/>
                <w:sz w:val="22"/>
                <w:szCs w:val="22"/>
              </w:rPr>
              <w:t>分子/药敏结果；既往治疗史</w:t>
            </w:r>
          </w:p>
        </w:tc>
        <w:tc>
          <w:tcPr>
            <w:tcW w:w="1000" w:type="pct"/>
            <w:vAlign w:val="top"/>
          </w:tcPr>
          <w:p w14:paraId="2EE30677">
            <w:pPr>
              <w:spacing w:after="0"/>
            </w:pPr>
          </w:p>
        </w:tc>
        <w:tc>
          <w:tcPr>
            <w:tcW w:w="1000" w:type="pct"/>
            <w:vAlign w:val="top"/>
          </w:tcPr>
          <w:p w14:paraId="0CCF7329">
            <w:pPr>
              <w:spacing w:after="0"/>
            </w:pPr>
          </w:p>
        </w:tc>
      </w:tr>
      <w:tr w14:paraId="1A8A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268B5058">
            <w:pPr>
              <w:spacing w:after="0"/>
            </w:pPr>
            <w:r>
              <w:rPr>
                <w:b w:val="0"/>
              </w:rPr>
              <w:t>2</w:t>
            </w:r>
          </w:p>
        </w:tc>
        <w:tc>
          <w:tcPr>
            <w:tcW w:w="1000" w:type="pct"/>
            <w:vAlign w:val="top"/>
          </w:tcPr>
          <w:p w14:paraId="403A0C99">
            <w:pPr>
              <w:spacing w:after="0"/>
              <w:rPr>
                <w:rFonts w:ascii="Times New Roman" w:hAnsi="Calibri" w:eastAsia="宋体" w:cs="Times New Roman"/>
                <w:sz w:val="22"/>
                <w:szCs w:val="22"/>
              </w:rPr>
            </w:pPr>
            <w:r>
              <w:rPr>
                <w:rFonts w:ascii="Times New Roman" w:hAnsi="Calibri" w:eastAsia="宋体" w:cs="Times New Roman"/>
                <w:sz w:val="22"/>
                <w:szCs w:val="22"/>
              </w:rPr>
              <w:t>需延长/特殊治疗的严重肺外TB</w:t>
            </w:r>
          </w:p>
        </w:tc>
        <w:tc>
          <w:tcPr>
            <w:tcW w:w="1000" w:type="pct"/>
            <w:vAlign w:val="top"/>
          </w:tcPr>
          <w:p w14:paraId="0B2BFB7D">
            <w:pPr>
              <w:spacing w:after="0"/>
              <w:rPr>
                <w:rFonts w:ascii="Times New Roman" w:hAnsi="Calibri" w:eastAsia="宋体" w:cs="Times New Roman"/>
                <w:sz w:val="22"/>
                <w:szCs w:val="22"/>
              </w:rPr>
            </w:pPr>
            <w:r>
              <w:rPr>
                <w:rFonts w:ascii="Times New Roman" w:hAnsi="Calibri" w:eastAsia="宋体" w:cs="Times New Roman"/>
                <w:sz w:val="22"/>
                <w:szCs w:val="22"/>
              </w:rPr>
              <w:t>病历诊断；影像/专科意见</w:t>
            </w:r>
          </w:p>
        </w:tc>
        <w:tc>
          <w:tcPr>
            <w:tcW w:w="1000" w:type="pct"/>
            <w:vAlign w:val="top"/>
          </w:tcPr>
          <w:p w14:paraId="74C435CF">
            <w:pPr>
              <w:spacing w:after="0"/>
            </w:pPr>
          </w:p>
        </w:tc>
        <w:tc>
          <w:tcPr>
            <w:tcW w:w="1000" w:type="pct"/>
            <w:vAlign w:val="top"/>
          </w:tcPr>
          <w:p w14:paraId="41CFC8D9">
            <w:pPr>
              <w:spacing w:after="0"/>
            </w:pPr>
          </w:p>
        </w:tc>
      </w:tr>
      <w:tr w14:paraId="704E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6239FB4E">
            <w:pPr>
              <w:spacing w:after="0"/>
            </w:pPr>
            <w:r>
              <w:rPr>
                <w:b w:val="0"/>
              </w:rPr>
              <w:t>3</w:t>
            </w:r>
          </w:p>
        </w:tc>
        <w:tc>
          <w:tcPr>
            <w:tcW w:w="1000" w:type="pct"/>
            <w:vAlign w:val="top"/>
          </w:tcPr>
          <w:p w14:paraId="1FCED5B8">
            <w:pPr>
              <w:spacing w:after="0"/>
              <w:rPr>
                <w:rFonts w:ascii="Times New Roman" w:hAnsi="Calibri" w:eastAsia="宋体" w:cs="Times New Roman"/>
                <w:sz w:val="22"/>
                <w:szCs w:val="22"/>
              </w:rPr>
            </w:pPr>
            <w:r>
              <w:rPr>
                <w:rFonts w:ascii="Times New Roman" w:hAnsi="Calibri" w:eastAsia="宋体" w:cs="Times New Roman"/>
                <w:sz w:val="22"/>
                <w:szCs w:val="22"/>
              </w:rPr>
              <w:t>高度提示NTM肺病</w:t>
            </w:r>
          </w:p>
        </w:tc>
        <w:tc>
          <w:tcPr>
            <w:tcW w:w="1000" w:type="pct"/>
            <w:vAlign w:val="top"/>
          </w:tcPr>
          <w:p w14:paraId="0523597E">
            <w:pPr>
              <w:spacing w:after="0"/>
              <w:rPr>
                <w:rFonts w:ascii="Times New Roman" w:hAnsi="Calibri" w:eastAsia="宋体" w:cs="Times New Roman"/>
                <w:sz w:val="22"/>
                <w:szCs w:val="22"/>
              </w:rPr>
            </w:pPr>
            <w:r>
              <w:rPr>
                <w:rFonts w:ascii="Times New Roman" w:hAnsi="Calibri" w:eastAsia="宋体" w:cs="Times New Roman"/>
                <w:sz w:val="22"/>
                <w:szCs w:val="22"/>
              </w:rPr>
              <w:t>分子结果组合；tNGS/培养鉴定</w:t>
            </w:r>
          </w:p>
        </w:tc>
        <w:tc>
          <w:tcPr>
            <w:tcW w:w="1000" w:type="pct"/>
            <w:vAlign w:val="top"/>
          </w:tcPr>
          <w:p w14:paraId="1D063C6A">
            <w:pPr>
              <w:spacing w:after="0"/>
            </w:pPr>
          </w:p>
        </w:tc>
        <w:tc>
          <w:tcPr>
            <w:tcW w:w="1000" w:type="pct"/>
            <w:vAlign w:val="top"/>
          </w:tcPr>
          <w:p w14:paraId="20DD892F">
            <w:pPr>
              <w:spacing w:after="0"/>
            </w:pPr>
          </w:p>
        </w:tc>
      </w:tr>
      <w:tr w14:paraId="3BCA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200DADDB">
            <w:pPr>
              <w:spacing w:after="0"/>
            </w:pPr>
            <w:r>
              <w:rPr>
                <w:b w:val="0"/>
              </w:rPr>
              <w:t>4</w:t>
            </w:r>
          </w:p>
        </w:tc>
        <w:tc>
          <w:tcPr>
            <w:tcW w:w="1000" w:type="pct"/>
            <w:vAlign w:val="top"/>
          </w:tcPr>
          <w:p w14:paraId="563DF8C5">
            <w:pPr>
              <w:spacing w:after="0"/>
              <w:rPr>
                <w:rFonts w:ascii="Times New Roman" w:hAnsi="Calibri" w:eastAsia="宋体" w:cs="Times New Roman"/>
                <w:sz w:val="22"/>
                <w:szCs w:val="22"/>
              </w:rPr>
            </w:pPr>
            <w:r>
              <w:rPr>
                <w:rFonts w:ascii="Times New Roman" w:hAnsi="Calibri" w:eastAsia="宋体" w:cs="Times New Roman"/>
                <w:sz w:val="22"/>
                <w:szCs w:val="22"/>
              </w:rPr>
              <w:t>筛选期DKA/HHS等急性并发症</w:t>
            </w:r>
          </w:p>
        </w:tc>
        <w:tc>
          <w:tcPr>
            <w:tcW w:w="1000" w:type="pct"/>
            <w:vAlign w:val="top"/>
          </w:tcPr>
          <w:p w14:paraId="22320FD1">
            <w:pPr>
              <w:spacing w:after="0"/>
              <w:rPr>
                <w:rFonts w:ascii="Times New Roman" w:hAnsi="Calibri" w:eastAsia="宋体" w:cs="Times New Roman"/>
                <w:sz w:val="22"/>
                <w:szCs w:val="22"/>
              </w:rPr>
            </w:pPr>
            <w:r>
              <w:rPr>
                <w:rFonts w:ascii="Times New Roman" w:hAnsi="Calibri" w:eastAsia="宋体" w:cs="Times New Roman"/>
                <w:sz w:val="22"/>
                <w:szCs w:val="22"/>
              </w:rPr>
              <w:t>病历/急诊记录；检验</w:t>
            </w:r>
          </w:p>
        </w:tc>
        <w:tc>
          <w:tcPr>
            <w:tcW w:w="1000" w:type="pct"/>
            <w:vAlign w:val="top"/>
          </w:tcPr>
          <w:p w14:paraId="22BEB932">
            <w:pPr>
              <w:spacing w:after="0"/>
            </w:pPr>
          </w:p>
        </w:tc>
        <w:tc>
          <w:tcPr>
            <w:tcW w:w="1000" w:type="pct"/>
            <w:vAlign w:val="top"/>
          </w:tcPr>
          <w:p w14:paraId="58798F61">
            <w:pPr>
              <w:spacing w:after="0"/>
            </w:pPr>
          </w:p>
        </w:tc>
      </w:tr>
      <w:tr w14:paraId="5777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74D3588E">
            <w:pPr>
              <w:spacing w:after="0"/>
            </w:pPr>
            <w:r>
              <w:rPr>
                <w:b w:val="0"/>
              </w:rPr>
              <w:t>5</w:t>
            </w:r>
          </w:p>
        </w:tc>
        <w:tc>
          <w:tcPr>
            <w:tcW w:w="1000" w:type="pct"/>
            <w:vAlign w:val="top"/>
          </w:tcPr>
          <w:p w14:paraId="74F06B2F">
            <w:pPr>
              <w:spacing w:after="0"/>
              <w:rPr>
                <w:rFonts w:ascii="Times New Roman" w:hAnsi="Calibri" w:eastAsia="宋体" w:cs="Times New Roman"/>
                <w:sz w:val="22"/>
                <w:szCs w:val="22"/>
              </w:rPr>
            </w:pPr>
            <w:r>
              <w:rPr>
                <w:rFonts w:ascii="Times New Roman" w:hAnsi="Calibri" w:eastAsia="宋体" w:cs="Times New Roman"/>
                <w:sz w:val="22"/>
                <w:szCs w:val="22"/>
              </w:rPr>
              <w:t>严重慢性并发症影响评估</w:t>
            </w:r>
          </w:p>
        </w:tc>
        <w:tc>
          <w:tcPr>
            <w:tcW w:w="1000" w:type="pct"/>
            <w:vAlign w:val="top"/>
          </w:tcPr>
          <w:p w14:paraId="2F40808F">
            <w:pPr>
              <w:spacing w:after="0"/>
              <w:rPr>
                <w:rFonts w:ascii="Times New Roman" w:hAnsi="Calibri" w:eastAsia="宋体" w:cs="Times New Roman"/>
                <w:sz w:val="22"/>
                <w:szCs w:val="22"/>
              </w:rPr>
            </w:pPr>
            <w:r>
              <w:rPr>
                <w:rFonts w:ascii="Times New Roman" w:hAnsi="Calibri" w:eastAsia="宋体" w:cs="Times New Roman"/>
                <w:sz w:val="22"/>
                <w:szCs w:val="22"/>
              </w:rPr>
              <w:t>神经/眼底评估记录</w:t>
            </w:r>
          </w:p>
        </w:tc>
        <w:tc>
          <w:tcPr>
            <w:tcW w:w="1000" w:type="pct"/>
            <w:vAlign w:val="top"/>
          </w:tcPr>
          <w:p w14:paraId="7A6E53C2">
            <w:pPr>
              <w:spacing w:after="0"/>
            </w:pPr>
          </w:p>
        </w:tc>
        <w:tc>
          <w:tcPr>
            <w:tcW w:w="1000" w:type="pct"/>
            <w:vAlign w:val="top"/>
          </w:tcPr>
          <w:p w14:paraId="4E97F99D">
            <w:pPr>
              <w:spacing w:after="0"/>
            </w:pPr>
          </w:p>
        </w:tc>
      </w:tr>
      <w:tr w14:paraId="2980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1637F376">
            <w:pPr>
              <w:spacing w:after="0"/>
            </w:pPr>
            <w:r>
              <w:rPr>
                <w:b w:val="0"/>
              </w:rPr>
              <w:t>6</w:t>
            </w:r>
          </w:p>
        </w:tc>
        <w:tc>
          <w:tcPr>
            <w:tcW w:w="1000" w:type="pct"/>
            <w:vAlign w:val="top"/>
          </w:tcPr>
          <w:p w14:paraId="1BE9A796">
            <w:pPr>
              <w:spacing w:after="0"/>
              <w:rPr>
                <w:rFonts w:ascii="Times New Roman" w:hAnsi="Calibri" w:eastAsia="宋体" w:cs="Times New Roman"/>
                <w:sz w:val="22"/>
                <w:szCs w:val="22"/>
              </w:rPr>
            </w:pPr>
            <w:r>
              <w:rPr>
                <w:rFonts w:ascii="Times New Roman" w:hAnsi="Calibri" w:eastAsia="宋体" w:cs="Times New Roman"/>
                <w:sz w:val="22"/>
                <w:szCs w:val="22"/>
              </w:rPr>
              <w:t>实验室安全红线超阈值</w:t>
            </w:r>
          </w:p>
        </w:tc>
        <w:tc>
          <w:tcPr>
            <w:tcW w:w="1000" w:type="pct"/>
            <w:vAlign w:val="top"/>
          </w:tcPr>
          <w:p w14:paraId="2A421F06">
            <w:pPr>
              <w:spacing w:after="0"/>
              <w:rPr>
                <w:rFonts w:ascii="Times New Roman" w:hAnsi="Calibri" w:eastAsia="宋体" w:cs="Times New Roman"/>
                <w:sz w:val="22"/>
                <w:szCs w:val="22"/>
              </w:rPr>
            </w:pPr>
            <w:r>
              <w:rPr>
                <w:rFonts w:ascii="Times New Roman" w:hAnsi="Calibri" w:eastAsia="宋体" w:cs="Times New Roman"/>
                <w:sz w:val="22"/>
                <w:szCs w:val="22"/>
              </w:rPr>
              <w:t>实验室报告（14天内）；复测记录</w:t>
            </w:r>
          </w:p>
        </w:tc>
        <w:tc>
          <w:tcPr>
            <w:tcW w:w="1000" w:type="pct"/>
            <w:vAlign w:val="top"/>
          </w:tcPr>
          <w:p w14:paraId="1F8A1D0C">
            <w:pPr>
              <w:spacing w:after="0"/>
            </w:pPr>
          </w:p>
        </w:tc>
        <w:tc>
          <w:tcPr>
            <w:tcW w:w="1000" w:type="pct"/>
            <w:vAlign w:val="top"/>
          </w:tcPr>
          <w:p w14:paraId="64179849">
            <w:pPr>
              <w:spacing w:after="0"/>
            </w:pPr>
          </w:p>
        </w:tc>
      </w:tr>
      <w:tr w14:paraId="6F2A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5A833EF5">
            <w:pPr>
              <w:spacing w:after="0"/>
            </w:pPr>
            <w:r>
              <w:rPr>
                <w:b w:val="0"/>
              </w:rPr>
              <w:t>7</w:t>
            </w:r>
          </w:p>
        </w:tc>
        <w:tc>
          <w:tcPr>
            <w:tcW w:w="1000" w:type="pct"/>
            <w:vAlign w:val="top"/>
          </w:tcPr>
          <w:p w14:paraId="4944D864">
            <w:pPr>
              <w:spacing w:after="0"/>
              <w:rPr>
                <w:rFonts w:ascii="Times New Roman" w:hAnsi="Calibri" w:eastAsia="宋体" w:cs="Times New Roman"/>
                <w:sz w:val="22"/>
                <w:szCs w:val="22"/>
              </w:rPr>
            </w:pPr>
            <w:r>
              <w:rPr>
                <w:rFonts w:ascii="Times New Roman" w:hAnsi="Calibri" w:eastAsia="宋体" w:cs="Times New Roman"/>
                <w:sz w:val="22"/>
                <w:szCs w:val="22"/>
              </w:rPr>
              <w:t>QTcF超阈值或严重心脏病史</w:t>
            </w:r>
          </w:p>
        </w:tc>
        <w:tc>
          <w:tcPr>
            <w:tcW w:w="1000" w:type="pct"/>
            <w:vAlign w:val="top"/>
          </w:tcPr>
          <w:p w14:paraId="51DD6547">
            <w:pPr>
              <w:spacing w:after="0"/>
              <w:rPr>
                <w:rFonts w:ascii="Times New Roman" w:hAnsi="Calibri" w:eastAsia="宋体" w:cs="Times New Roman"/>
                <w:sz w:val="22"/>
                <w:szCs w:val="22"/>
              </w:rPr>
            </w:pPr>
            <w:r>
              <w:rPr>
                <w:rFonts w:ascii="Times New Roman" w:hAnsi="Calibri" w:eastAsia="宋体" w:cs="Times New Roman"/>
                <w:sz w:val="22"/>
                <w:szCs w:val="22"/>
              </w:rPr>
              <w:t>ECG报告；心内科记录</w:t>
            </w:r>
          </w:p>
        </w:tc>
        <w:tc>
          <w:tcPr>
            <w:tcW w:w="1000" w:type="pct"/>
            <w:vAlign w:val="top"/>
          </w:tcPr>
          <w:p w14:paraId="6AD34A19">
            <w:pPr>
              <w:spacing w:after="0"/>
            </w:pPr>
          </w:p>
        </w:tc>
        <w:tc>
          <w:tcPr>
            <w:tcW w:w="1000" w:type="pct"/>
            <w:vAlign w:val="top"/>
          </w:tcPr>
          <w:p w14:paraId="3A987023">
            <w:pPr>
              <w:spacing w:after="0"/>
            </w:pPr>
          </w:p>
        </w:tc>
      </w:tr>
      <w:tr w14:paraId="6766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1F4AA858">
            <w:pPr>
              <w:spacing w:after="0"/>
            </w:pPr>
            <w:r>
              <w:rPr>
                <w:b w:val="0"/>
              </w:rPr>
              <w:t>8</w:t>
            </w:r>
          </w:p>
        </w:tc>
        <w:tc>
          <w:tcPr>
            <w:tcW w:w="1000" w:type="pct"/>
            <w:vAlign w:val="top"/>
          </w:tcPr>
          <w:p w14:paraId="169E8F38">
            <w:pPr>
              <w:spacing w:after="0"/>
              <w:rPr>
                <w:rFonts w:ascii="Times New Roman" w:hAnsi="Calibri" w:eastAsia="宋体" w:cs="Times New Roman"/>
                <w:sz w:val="22"/>
                <w:szCs w:val="22"/>
              </w:rPr>
            </w:pPr>
            <w:r>
              <w:rPr>
                <w:rFonts w:ascii="Times New Roman" w:hAnsi="Calibri" w:eastAsia="宋体" w:cs="Times New Roman"/>
                <w:sz w:val="22"/>
                <w:szCs w:val="22"/>
              </w:rPr>
              <w:t>严重药物相互作用且无法替代</w:t>
            </w:r>
          </w:p>
        </w:tc>
        <w:tc>
          <w:tcPr>
            <w:tcW w:w="1000" w:type="pct"/>
            <w:vAlign w:val="top"/>
          </w:tcPr>
          <w:p w14:paraId="451A1C10">
            <w:pPr>
              <w:spacing w:after="0"/>
              <w:rPr>
                <w:rFonts w:ascii="Times New Roman" w:hAnsi="Calibri" w:eastAsia="宋体" w:cs="Times New Roman"/>
                <w:sz w:val="22"/>
                <w:szCs w:val="22"/>
              </w:rPr>
            </w:pPr>
            <w:r>
              <w:rPr>
                <w:rFonts w:ascii="Times New Roman" w:hAnsi="Calibri" w:eastAsia="宋体" w:cs="Times New Roman"/>
                <w:sz w:val="22"/>
                <w:szCs w:val="22"/>
              </w:rPr>
              <w:t>用药清单；医嘱/说明书核对</w:t>
            </w:r>
          </w:p>
        </w:tc>
        <w:tc>
          <w:tcPr>
            <w:tcW w:w="1000" w:type="pct"/>
            <w:vAlign w:val="top"/>
          </w:tcPr>
          <w:p w14:paraId="020DA7C8">
            <w:pPr>
              <w:spacing w:after="0"/>
            </w:pPr>
          </w:p>
        </w:tc>
        <w:tc>
          <w:tcPr>
            <w:tcW w:w="1000" w:type="pct"/>
            <w:vAlign w:val="top"/>
          </w:tcPr>
          <w:p w14:paraId="04AE400C">
            <w:pPr>
              <w:spacing w:after="0"/>
            </w:pPr>
          </w:p>
        </w:tc>
      </w:tr>
      <w:tr w14:paraId="559D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vAlign w:val="top"/>
          </w:tcPr>
          <w:p w14:paraId="3EC4E75A">
            <w:pPr>
              <w:spacing w:after="0"/>
            </w:pPr>
            <w:r>
              <w:rPr>
                <w:b w:val="0"/>
              </w:rPr>
              <w:t>9</w:t>
            </w:r>
          </w:p>
        </w:tc>
        <w:tc>
          <w:tcPr>
            <w:tcW w:w="1000" w:type="pct"/>
            <w:vAlign w:val="top"/>
          </w:tcPr>
          <w:p w14:paraId="6D34969D">
            <w:pPr>
              <w:spacing w:after="0"/>
              <w:rPr>
                <w:rFonts w:ascii="Times New Roman" w:hAnsi="Calibri" w:eastAsia="宋体" w:cs="Times New Roman"/>
                <w:sz w:val="22"/>
                <w:szCs w:val="22"/>
              </w:rPr>
            </w:pPr>
            <w:r>
              <w:rPr>
                <w:rFonts w:ascii="Times New Roman" w:hAnsi="Calibri" w:eastAsia="宋体" w:cs="Times New Roman"/>
                <w:sz w:val="22"/>
                <w:szCs w:val="22"/>
              </w:rPr>
              <w:t>免疫抑制/HIV阳性等</w:t>
            </w:r>
          </w:p>
        </w:tc>
        <w:tc>
          <w:tcPr>
            <w:tcW w:w="1000" w:type="pct"/>
            <w:vAlign w:val="top"/>
          </w:tcPr>
          <w:p w14:paraId="4A3D82D4">
            <w:pPr>
              <w:spacing w:after="0"/>
              <w:rPr>
                <w:rFonts w:ascii="Times New Roman" w:hAnsi="Calibri" w:eastAsia="宋体" w:cs="Times New Roman"/>
                <w:sz w:val="22"/>
                <w:szCs w:val="22"/>
              </w:rPr>
            </w:pPr>
            <w:r>
              <w:rPr>
                <w:rFonts w:ascii="Times New Roman" w:hAnsi="Calibri" w:eastAsia="宋体" w:cs="Times New Roman"/>
                <w:sz w:val="22"/>
                <w:szCs w:val="22"/>
              </w:rPr>
              <w:t>HIV检测；用药史</w:t>
            </w:r>
          </w:p>
        </w:tc>
        <w:tc>
          <w:tcPr>
            <w:tcW w:w="1000" w:type="pct"/>
            <w:vAlign w:val="top"/>
          </w:tcPr>
          <w:p w14:paraId="5BA7B68E">
            <w:pPr>
              <w:spacing w:after="0"/>
            </w:pPr>
          </w:p>
        </w:tc>
        <w:tc>
          <w:tcPr>
            <w:tcW w:w="1000" w:type="pct"/>
            <w:vAlign w:val="top"/>
          </w:tcPr>
          <w:p w14:paraId="56E83543">
            <w:pPr>
              <w:spacing w:after="0"/>
            </w:pPr>
          </w:p>
        </w:tc>
      </w:tr>
      <w:tr w14:paraId="1C92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top"/>
          </w:tcPr>
          <w:p w14:paraId="3FE87DC8">
            <w:pPr>
              <w:spacing w:after="0"/>
              <w:rPr>
                <w:b w:val="0"/>
              </w:rPr>
            </w:pPr>
            <w:r>
              <w:rPr>
                <w:b w:val="0"/>
              </w:rPr>
              <w:t>10</w:t>
            </w:r>
          </w:p>
        </w:tc>
        <w:tc>
          <w:tcPr>
            <w:tcW w:w="1915" w:type="dxa"/>
            <w:vAlign w:val="top"/>
          </w:tcPr>
          <w:p w14:paraId="72346551">
            <w:pPr>
              <w:spacing w:after="0"/>
              <w:rPr>
                <w:rFonts w:ascii="Times New Roman" w:hAnsi="Calibri" w:eastAsia="宋体" w:cs="Times New Roman"/>
                <w:sz w:val="22"/>
                <w:szCs w:val="22"/>
              </w:rPr>
            </w:pPr>
            <w:r>
              <w:rPr>
                <w:rFonts w:ascii="Times New Roman" w:hAnsi="Calibri" w:eastAsia="宋体" w:cs="Times New Roman"/>
                <w:sz w:val="22"/>
                <w:szCs w:val="22"/>
              </w:rPr>
              <w:t>其他影响安全性/依从性情况</w:t>
            </w:r>
          </w:p>
        </w:tc>
        <w:tc>
          <w:tcPr>
            <w:tcW w:w="1915" w:type="dxa"/>
            <w:vAlign w:val="top"/>
          </w:tcPr>
          <w:p w14:paraId="408770DA">
            <w:pPr>
              <w:spacing w:after="0"/>
              <w:rPr>
                <w:rFonts w:ascii="Times New Roman" w:hAnsi="Calibri" w:eastAsia="宋体" w:cs="Times New Roman"/>
                <w:sz w:val="22"/>
                <w:szCs w:val="22"/>
              </w:rPr>
            </w:pPr>
            <w:r>
              <w:rPr>
                <w:rFonts w:ascii="Times New Roman" w:hAnsi="Calibri" w:eastAsia="宋体" w:cs="Times New Roman"/>
                <w:sz w:val="22"/>
                <w:szCs w:val="22"/>
              </w:rPr>
              <w:t>病历/研究者评估</w:t>
            </w:r>
          </w:p>
        </w:tc>
        <w:tc>
          <w:tcPr>
            <w:tcW w:w="1915" w:type="dxa"/>
            <w:vAlign w:val="top"/>
          </w:tcPr>
          <w:p w14:paraId="3B1594F2">
            <w:pPr>
              <w:spacing w:after="0"/>
            </w:pPr>
          </w:p>
        </w:tc>
        <w:tc>
          <w:tcPr>
            <w:tcW w:w="1915" w:type="dxa"/>
            <w:vAlign w:val="top"/>
          </w:tcPr>
          <w:p w14:paraId="19205041">
            <w:pPr>
              <w:spacing w:after="0"/>
            </w:pPr>
          </w:p>
        </w:tc>
      </w:tr>
      <w:tr w14:paraId="64B6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top"/>
          </w:tcPr>
          <w:p w14:paraId="126F5DA3">
            <w:pPr>
              <w:spacing w:after="0"/>
              <w:rPr>
                <w:b w:val="0"/>
              </w:rPr>
            </w:pPr>
            <w:r>
              <w:rPr>
                <w:b w:val="0"/>
              </w:rPr>
              <w:t>11</w:t>
            </w:r>
          </w:p>
        </w:tc>
        <w:tc>
          <w:tcPr>
            <w:tcW w:w="1915" w:type="dxa"/>
            <w:vAlign w:val="top"/>
          </w:tcPr>
          <w:p w14:paraId="5DB8039E">
            <w:pPr>
              <w:spacing w:after="0"/>
              <w:rPr>
                <w:rFonts w:ascii="Times New Roman" w:hAnsi="Calibri" w:eastAsia="宋体" w:cs="Times New Roman"/>
                <w:sz w:val="22"/>
                <w:szCs w:val="22"/>
              </w:rPr>
            </w:pPr>
            <w:r>
              <w:rPr>
                <w:rFonts w:ascii="Times New Roman" w:hAnsi="Calibri" w:eastAsia="宋体" w:cs="Times New Roman"/>
                <w:sz w:val="22"/>
                <w:szCs w:val="22"/>
              </w:rPr>
              <w:t>妊娠或哺乳</w:t>
            </w:r>
          </w:p>
        </w:tc>
        <w:tc>
          <w:tcPr>
            <w:tcW w:w="1915" w:type="dxa"/>
            <w:vAlign w:val="top"/>
          </w:tcPr>
          <w:p w14:paraId="25B0D112">
            <w:pPr>
              <w:spacing w:after="0"/>
              <w:rPr>
                <w:rFonts w:ascii="Times New Roman" w:hAnsi="Calibri" w:eastAsia="宋体" w:cs="Times New Roman"/>
                <w:sz w:val="22"/>
                <w:szCs w:val="22"/>
              </w:rPr>
            </w:pPr>
            <w:r>
              <w:rPr>
                <w:rFonts w:ascii="Times New Roman" w:hAnsi="Calibri" w:eastAsia="宋体" w:cs="Times New Roman"/>
                <w:sz w:val="22"/>
                <w:szCs w:val="22"/>
              </w:rPr>
              <w:t>妊娠试验/病史</w:t>
            </w:r>
          </w:p>
        </w:tc>
        <w:tc>
          <w:tcPr>
            <w:tcW w:w="1915" w:type="dxa"/>
            <w:vAlign w:val="top"/>
          </w:tcPr>
          <w:p w14:paraId="00D6B03C">
            <w:pPr>
              <w:spacing w:after="0"/>
            </w:pPr>
          </w:p>
        </w:tc>
        <w:tc>
          <w:tcPr>
            <w:tcW w:w="1915" w:type="dxa"/>
            <w:vAlign w:val="top"/>
          </w:tcPr>
          <w:p w14:paraId="1593E27D">
            <w:pPr>
              <w:spacing w:after="0"/>
            </w:pPr>
          </w:p>
        </w:tc>
      </w:tr>
    </w:tbl>
    <w:p w14:paraId="337BB546">
      <w:pPr>
        <w:spacing w:after="0" w:line="240" w:lineRule="auto"/>
        <w:rPr>
          <w:rFonts w:ascii="Times New Roman" w:hAnsi="Times New Roman" w:eastAsia="宋体" w:cs="Times New Roman"/>
          <w:b/>
          <w:sz w:val="32"/>
          <w:szCs w:val="22"/>
          <w:lang w:bidi="ar-SA"/>
        </w:rPr>
      </w:pPr>
    </w:p>
    <w:p w14:paraId="4BFD0A4F">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4D634"/>
    <w:multiLevelType w:val="singleLevel"/>
    <w:tmpl w:val="8534D634"/>
    <w:lvl w:ilvl="0" w:tentative="0">
      <w:start w:val="0"/>
      <w:numFmt w:val="bullet"/>
      <w:suff w:val="space"/>
      <w:lvlText w:val=""/>
      <w:lvlJc w:val="left"/>
      <w:pPr>
        <w:tabs>
          <w:tab w:val="left" w:pos="360"/>
        </w:tabs>
        <w:ind w:left="360" w:hanging="360"/>
      </w:pPr>
      <w:rPr>
        <w:rFonts w:hint="default" w:ascii="Symbol" w:hAnsi="Symbol"/>
      </w:rPr>
    </w:lvl>
  </w:abstractNum>
  <w:abstractNum w:abstractNumId="1">
    <w:nsid w:val="9D11D52B"/>
    <w:multiLevelType w:val="singleLevel"/>
    <w:tmpl w:val="9D11D52B"/>
    <w:lvl w:ilvl="0" w:tentative="0">
      <w:start w:val="1"/>
      <w:numFmt w:val="decimal"/>
      <w:suff w:val="space"/>
      <w:lvlText w:val="7.%1"/>
      <w:lvlJc w:val="left"/>
      <w:pPr>
        <w:ind w:left="0" w:firstLine="0"/>
      </w:pPr>
      <w:rPr>
        <w:rFonts w:hint="default"/>
      </w:rPr>
    </w:lvl>
  </w:abstractNum>
  <w:abstractNum w:abstractNumId="2">
    <w:nsid w:val="AD782350"/>
    <w:multiLevelType w:val="singleLevel"/>
    <w:tmpl w:val="AD782350"/>
    <w:lvl w:ilvl="0" w:tentative="0">
      <w:start w:val="0"/>
      <w:numFmt w:val="bullet"/>
      <w:suff w:val="space"/>
      <w:lvlText w:val=""/>
      <w:lvlJc w:val="left"/>
      <w:pPr>
        <w:tabs>
          <w:tab w:val="left" w:pos="360"/>
        </w:tabs>
        <w:ind w:left="360" w:hanging="360"/>
      </w:pPr>
      <w:rPr>
        <w:rFonts w:hint="default" w:ascii="Symbol" w:hAnsi="Symbol"/>
      </w:rPr>
    </w:lvl>
  </w:abstractNum>
  <w:abstractNum w:abstractNumId="3">
    <w:nsid w:val="B1EEF0C7"/>
    <w:multiLevelType w:val="singleLevel"/>
    <w:tmpl w:val="B1EEF0C7"/>
    <w:lvl w:ilvl="0" w:tentative="0">
      <w:start w:val="0"/>
      <w:numFmt w:val="bullet"/>
      <w:suff w:val="space"/>
      <w:lvlText w:val=""/>
      <w:lvlJc w:val="left"/>
      <w:pPr>
        <w:tabs>
          <w:tab w:val="left" w:pos="360"/>
        </w:tabs>
        <w:ind w:left="360" w:hanging="360"/>
      </w:pPr>
      <w:rPr>
        <w:rFonts w:hint="default" w:ascii="Symbol" w:hAnsi="Symbol"/>
      </w:rPr>
    </w:lvl>
  </w:abstractNum>
  <w:abstractNum w:abstractNumId="4">
    <w:nsid w:val="B23CB0ED"/>
    <w:multiLevelType w:val="singleLevel"/>
    <w:tmpl w:val="B23CB0ED"/>
    <w:lvl w:ilvl="0" w:tentative="0">
      <w:start w:val="1"/>
      <w:numFmt w:val="decimal"/>
      <w:suff w:val="space"/>
      <w:lvlText w:val="7.3.%1"/>
      <w:lvlJc w:val="left"/>
      <w:pPr>
        <w:ind w:left="0" w:firstLine="0"/>
      </w:pPr>
      <w:rPr>
        <w:rFonts w:hint="default"/>
      </w:rPr>
    </w:lvl>
  </w:abstractNum>
  <w:abstractNum w:abstractNumId="5">
    <w:nsid w:val="B6D351BD"/>
    <w:multiLevelType w:val="singleLevel"/>
    <w:tmpl w:val="B6D351BD"/>
    <w:lvl w:ilvl="0" w:tentative="0">
      <w:start w:val="0"/>
      <w:numFmt w:val="bullet"/>
      <w:suff w:val="space"/>
      <w:lvlText w:val=""/>
      <w:lvlJc w:val="left"/>
      <w:pPr>
        <w:tabs>
          <w:tab w:val="left" w:pos="360"/>
        </w:tabs>
        <w:ind w:left="360" w:hanging="360"/>
      </w:pPr>
      <w:rPr>
        <w:rFonts w:hint="default" w:ascii="Symbol" w:hAnsi="Symbol"/>
      </w:rPr>
    </w:lvl>
  </w:abstractNum>
  <w:abstractNum w:abstractNumId="6">
    <w:nsid w:val="C7CAF197"/>
    <w:multiLevelType w:val="singleLevel"/>
    <w:tmpl w:val="C7CAF197"/>
    <w:lvl w:ilvl="0" w:tentative="0">
      <w:start w:val="0"/>
      <w:numFmt w:val="bullet"/>
      <w:suff w:val="space"/>
      <w:lvlText w:val=""/>
      <w:lvlJc w:val="left"/>
      <w:pPr>
        <w:tabs>
          <w:tab w:val="left" w:pos="360"/>
        </w:tabs>
        <w:ind w:left="360" w:hanging="360"/>
      </w:pPr>
      <w:rPr>
        <w:rFonts w:hint="default" w:ascii="Symbol" w:hAnsi="Symbol"/>
      </w:rPr>
    </w:lvl>
  </w:abstractNum>
  <w:abstractNum w:abstractNumId="7">
    <w:nsid w:val="D3484030"/>
    <w:multiLevelType w:val="singleLevel"/>
    <w:tmpl w:val="D3484030"/>
    <w:lvl w:ilvl="0" w:tentative="0">
      <w:start w:val="0"/>
      <w:numFmt w:val="bullet"/>
      <w:suff w:val="space"/>
      <w:lvlText w:val=""/>
      <w:lvlJc w:val="left"/>
      <w:pPr>
        <w:tabs>
          <w:tab w:val="left" w:pos="360"/>
        </w:tabs>
        <w:ind w:left="360" w:hanging="360"/>
      </w:pPr>
      <w:rPr>
        <w:rFonts w:hint="default" w:ascii="Symbol" w:hAnsi="Symbol"/>
      </w:rPr>
    </w:lvl>
  </w:abstractNum>
  <w:abstractNum w:abstractNumId="8">
    <w:nsid w:val="D6BD0C3D"/>
    <w:multiLevelType w:val="singleLevel"/>
    <w:tmpl w:val="D6BD0C3D"/>
    <w:lvl w:ilvl="0" w:tentative="0">
      <w:start w:val="0"/>
      <w:numFmt w:val="bullet"/>
      <w:suff w:val="space"/>
      <w:lvlText w:val=""/>
      <w:lvlJc w:val="left"/>
      <w:pPr>
        <w:tabs>
          <w:tab w:val="left" w:pos="360"/>
        </w:tabs>
        <w:ind w:left="360" w:hanging="360"/>
      </w:pPr>
      <w:rPr>
        <w:rFonts w:hint="default" w:ascii="Symbol" w:hAnsi="Symbol"/>
      </w:rPr>
    </w:lvl>
  </w:abstractNum>
  <w:abstractNum w:abstractNumId="9">
    <w:nsid w:val="D70ED63D"/>
    <w:multiLevelType w:val="singleLevel"/>
    <w:tmpl w:val="D70ED63D"/>
    <w:lvl w:ilvl="0" w:tentative="0">
      <w:start w:val="6"/>
      <w:numFmt w:val="decimal"/>
      <w:suff w:val="space"/>
      <w:lvlText w:val="7.%1"/>
      <w:lvlJc w:val="left"/>
      <w:pPr>
        <w:ind w:left="0" w:firstLine="0"/>
      </w:pPr>
      <w:rPr>
        <w:rFonts w:hint="default"/>
      </w:rPr>
    </w:lvl>
  </w:abstractNum>
  <w:abstractNum w:abstractNumId="10">
    <w:nsid w:val="DB3BC60F"/>
    <w:multiLevelType w:val="singleLevel"/>
    <w:tmpl w:val="DB3BC60F"/>
    <w:lvl w:ilvl="0" w:tentative="0">
      <w:start w:val="0"/>
      <w:numFmt w:val="bullet"/>
      <w:suff w:val="space"/>
      <w:lvlText w:val=""/>
      <w:lvlJc w:val="left"/>
      <w:pPr>
        <w:tabs>
          <w:tab w:val="left" w:pos="360"/>
        </w:tabs>
        <w:ind w:left="360" w:hanging="360"/>
      </w:pPr>
      <w:rPr>
        <w:rFonts w:hint="default" w:ascii="Symbol" w:hAnsi="Symbol"/>
      </w:rPr>
    </w:lvl>
  </w:abstractNum>
  <w:abstractNum w:abstractNumId="11">
    <w:nsid w:val="E1195D27"/>
    <w:multiLevelType w:val="singleLevel"/>
    <w:tmpl w:val="E1195D27"/>
    <w:lvl w:ilvl="0" w:tentative="0">
      <w:start w:val="1"/>
      <w:numFmt w:val="decimal"/>
      <w:suff w:val="space"/>
      <w:lvlText w:val="%1."/>
      <w:lvlJc w:val="left"/>
      <w:pPr>
        <w:ind w:left="0" w:firstLine="0"/>
      </w:pPr>
      <w:rPr>
        <w:rFonts w:hint="default"/>
      </w:rPr>
    </w:lvl>
  </w:abstractNum>
  <w:abstractNum w:abstractNumId="12">
    <w:nsid w:val="E50873F7"/>
    <w:multiLevelType w:val="singleLevel"/>
    <w:tmpl w:val="E50873F7"/>
    <w:lvl w:ilvl="0" w:tentative="0">
      <w:start w:val="0"/>
      <w:numFmt w:val="bullet"/>
      <w:suff w:val="space"/>
      <w:lvlText w:val=""/>
      <w:lvlJc w:val="left"/>
      <w:pPr>
        <w:tabs>
          <w:tab w:val="left" w:pos="360"/>
        </w:tabs>
        <w:ind w:left="360" w:hanging="360"/>
      </w:pPr>
      <w:rPr>
        <w:rFonts w:hint="default" w:ascii="Symbol" w:hAnsi="Symbol"/>
      </w:rPr>
    </w:lvl>
  </w:abstractNum>
  <w:abstractNum w:abstractNumId="13">
    <w:nsid w:val="EAFD8A01"/>
    <w:multiLevelType w:val="singleLevel"/>
    <w:tmpl w:val="EAFD8A01"/>
    <w:lvl w:ilvl="0" w:tentative="0">
      <w:start w:val="1"/>
      <w:numFmt w:val="decimal"/>
      <w:suff w:val="space"/>
      <w:lvlText w:val="%1."/>
      <w:lvlJc w:val="left"/>
      <w:pPr>
        <w:ind w:left="0" w:firstLine="0"/>
      </w:pPr>
      <w:rPr>
        <w:rFonts w:hint="default"/>
      </w:rPr>
    </w:lvl>
  </w:abstractNum>
  <w:abstractNum w:abstractNumId="14">
    <w:nsid w:val="FCD29B21"/>
    <w:multiLevelType w:val="singleLevel"/>
    <w:tmpl w:val="FCD29B21"/>
    <w:lvl w:ilvl="0" w:tentative="0">
      <w:start w:val="1"/>
      <w:numFmt w:val="decimal"/>
      <w:suff w:val="space"/>
      <w:lvlText w:val="%1."/>
      <w:lvlJc w:val="left"/>
      <w:pPr>
        <w:ind w:left="0" w:firstLine="0"/>
      </w:pPr>
      <w:rPr>
        <w:rFonts w:hint="default"/>
      </w:rPr>
    </w:lvl>
  </w:abstractNum>
  <w:abstractNum w:abstractNumId="1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20">
    <w:nsid w:val="1FF9AFCD"/>
    <w:multiLevelType w:val="singleLevel"/>
    <w:tmpl w:val="1FF9AFCD"/>
    <w:lvl w:ilvl="0" w:tentative="0">
      <w:start w:val="8"/>
      <w:numFmt w:val="decimal"/>
      <w:suff w:val="space"/>
      <w:lvlText w:val="%1."/>
      <w:lvlJc w:val="left"/>
      <w:pPr>
        <w:ind w:left="0" w:firstLine="0"/>
      </w:pPr>
      <w:rPr>
        <w:rFonts w:hint="default"/>
      </w:rPr>
    </w:lvl>
  </w:abstractNum>
  <w:abstractNum w:abstractNumId="21">
    <w:nsid w:val="30CE72DF"/>
    <w:multiLevelType w:val="singleLevel"/>
    <w:tmpl w:val="30CE72DF"/>
    <w:lvl w:ilvl="0" w:tentative="0">
      <w:start w:val="0"/>
      <w:numFmt w:val="bullet"/>
      <w:suff w:val="space"/>
      <w:lvlText w:val=""/>
      <w:lvlJc w:val="left"/>
      <w:pPr>
        <w:tabs>
          <w:tab w:val="left" w:pos="360"/>
        </w:tabs>
        <w:ind w:left="360" w:hanging="360"/>
      </w:pPr>
      <w:rPr>
        <w:rFonts w:hint="default" w:ascii="Symbol" w:hAnsi="Symbol"/>
      </w:rPr>
    </w:lvl>
  </w:abstractNum>
  <w:abstractNum w:abstractNumId="22">
    <w:nsid w:val="67F7A35D"/>
    <w:multiLevelType w:val="singleLevel"/>
    <w:tmpl w:val="67F7A35D"/>
    <w:lvl w:ilvl="0" w:tentative="0">
      <w:start w:val="0"/>
      <w:numFmt w:val="bullet"/>
      <w:pStyle w:val="16"/>
      <w:suff w:val="space"/>
      <w:lvlText w:val=""/>
      <w:lvlJc w:val="left"/>
      <w:pPr>
        <w:tabs>
          <w:tab w:val="left" w:pos="360"/>
        </w:tabs>
        <w:ind w:left="360" w:hanging="360"/>
      </w:pPr>
      <w:rPr>
        <w:rFonts w:hint="default" w:ascii="Symbol" w:hAnsi="Symbol"/>
      </w:rPr>
    </w:lvl>
  </w:abstractNum>
  <w:abstractNum w:abstractNumId="23">
    <w:nsid w:val="780E4430"/>
    <w:multiLevelType w:val="singleLevel"/>
    <w:tmpl w:val="780E4430"/>
    <w:lvl w:ilvl="0" w:tentative="0">
      <w:start w:val="1"/>
      <w:numFmt w:val="decimal"/>
      <w:suff w:val="space"/>
      <w:lvlText w:val="%1."/>
      <w:lvlJc w:val="left"/>
      <w:pPr>
        <w:ind w:left="0" w:firstLine="0"/>
      </w:pPr>
      <w:rPr>
        <w:rFonts w:hint="default"/>
      </w:rPr>
    </w:lvl>
  </w:abstractNum>
  <w:num w:numId="1">
    <w:abstractNumId w:val="16"/>
  </w:num>
  <w:num w:numId="2">
    <w:abstractNumId w:val="19"/>
  </w:num>
  <w:num w:numId="3">
    <w:abstractNumId w:val="22"/>
  </w:num>
  <w:num w:numId="4">
    <w:abstractNumId w:val="17"/>
  </w:num>
  <w:num w:numId="5">
    <w:abstractNumId w:val="15"/>
  </w:num>
  <w:num w:numId="6">
    <w:abstractNumId w:val="18"/>
  </w:num>
  <w:num w:numId="7">
    <w:abstractNumId w:val="14"/>
  </w:num>
  <w:num w:numId="8">
    <w:abstractNumId w:val="10"/>
  </w:num>
  <w:num w:numId="9">
    <w:abstractNumId w:val="6"/>
  </w:num>
  <w:num w:numId="10">
    <w:abstractNumId w:val="12"/>
  </w:num>
  <w:num w:numId="11">
    <w:abstractNumId w:val="1"/>
  </w:num>
  <w:num w:numId="12">
    <w:abstractNumId w:val="7"/>
  </w:num>
  <w:num w:numId="13">
    <w:abstractNumId w:val="4"/>
  </w:num>
  <w:num w:numId="14">
    <w:abstractNumId w:val="11"/>
  </w:num>
  <w:num w:numId="15">
    <w:abstractNumId w:val="5"/>
  </w:num>
  <w:num w:numId="16">
    <w:abstractNumId w:val="21"/>
  </w:num>
  <w:num w:numId="17">
    <w:abstractNumId w:val="13"/>
  </w:num>
  <w:num w:numId="18">
    <w:abstractNumId w:val="23"/>
  </w:num>
  <w:num w:numId="19">
    <w:abstractNumId w:val="9"/>
  </w:num>
  <w:num w:numId="20">
    <w:abstractNumId w:val="0"/>
  </w:num>
  <w:num w:numId="21">
    <w:abstractNumId w:val="3"/>
  </w:num>
  <w:num w:numId="22">
    <w:abstractNumId w:val="20"/>
  </w:num>
  <w:num w:numId="23">
    <w:abstractNumId w:val="8"/>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DA5D09"/>
    <w:rsid w:val="1E722365"/>
    <w:rsid w:val="26AE17E0"/>
    <w:rsid w:val="2A554419"/>
    <w:rsid w:val="2DF950BB"/>
    <w:rsid w:val="375A4E1C"/>
    <w:rsid w:val="3E502AD5"/>
    <w:rsid w:val="616A31DB"/>
    <w:rsid w:val="6C7431A2"/>
    <w:rsid w:val="793B46EC"/>
    <w:rsid w:val="7AB879F8"/>
    <w:rsid w:val="7B0564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jc w:val="left"/>
    </w:pPr>
    <w:rPr>
      <w:rFonts w:ascii="Calibri" w:hAnsi="Calibri" w:eastAsia="宋体" w:cstheme="minorBidi"/>
      <w:sz w:val="22"/>
      <w:szCs w:val="22"/>
      <w:lang w:val="en-US" w:eastAsia="en-US" w:bidi="ar-SA"/>
    </w:rPr>
  </w:style>
  <w:style w:type="paragraph" w:styleId="3">
    <w:name w:val="heading 1"/>
    <w:next w:val="1"/>
    <w:link w:val="138"/>
    <w:qFormat/>
    <w:uiPriority w:val="9"/>
    <w:pPr>
      <w:spacing w:before="200" w:after="80" w:line="240" w:lineRule="auto"/>
      <w:jc w:val="left"/>
      <w:outlineLvl w:val="0"/>
    </w:pPr>
    <w:rPr>
      <w:rFonts w:ascii="Times New Roman" w:hAnsi="Times New Roman" w:eastAsia="宋体" w:cs="Times New Roman"/>
      <w:b/>
      <w:sz w:val="28"/>
      <w:szCs w:val="22"/>
      <w:lang w:bidi="ar-SA"/>
    </w:rPr>
  </w:style>
  <w:style w:type="paragraph" w:styleId="4">
    <w:name w:val="heading 2"/>
    <w:next w:val="1"/>
    <w:link w:val="139"/>
    <w:unhideWhenUsed/>
    <w:qFormat/>
    <w:uiPriority w:val="9"/>
    <w:pPr>
      <w:spacing w:before="200" w:after="80" w:line="240" w:lineRule="auto"/>
      <w:jc w:val="left"/>
      <w:outlineLvl w:val="1"/>
    </w:pPr>
    <w:rPr>
      <w:rFonts w:ascii="Times New Roman" w:hAnsi="Times New Roman" w:eastAsia="宋体" w:cs="Times New Roman"/>
      <w:b/>
      <w:sz w:val="28"/>
      <w:szCs w:val="22"/>
      <w:lang w:bidi="ar-SA"/>
    </w:rPr>
  </w:style>
  <w:style w:type="paragraph" w:styleId="5">
    <w:name w:val="heading 3"/>
    <w:next w:val="1"/>
    <w:link w:val="140"/>
    <w:unhideWhenUsed/>
    <w:qFormat/>
    <w:uiPriority w:val="9"/>
    <w:pPr>
      <w:spacing w:before="160" w:after="40" w:line="240" w:lineRule="auto"/>
      <w:jc w:val="left"/>
      <w:outlineLvl w:val="2"/>
    </w:pPr>
    <w:rPr>
      <w:rFonts w:ascii="Times New Roman" w:hAnsi="Times New Roman" w:eastAsia="宋体" w:cs="Times New Roman"/>
      <w:b/>
      <w:sz w:val="24"/>
      <w:szCs w:val="22"/>
      <w:lang w:bidi="ar-SA"/>
    </w:rPr>
  </w:style>
  <w:style w:type="paragraph" w:styleId="6">
    <w:name w:val="heading 4"/>
    <w:next w:val="1"/>
    <w:link w:val="150"/>
    <w:semiHidden/>
    <w:unhideWhenUsed/>
    <w:qFormat/>
    <w:uiPriority w:val="9"/>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7">
    <w:name w:val="heading 5"/>
    <w:next w:val="1"/>
    <w:link w:val="151"/>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8">
    <w:name w:val="heading 6"/>
    <w:next w:val="1"/>
    <w:link w:val="152"/>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9">
    <w:name w:val="heading 7"/>
    <w:next w:val="1"/>
    <w:link w:val="153"/>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10">
    <w:name w:val="heading 8"/>
    <w:next w:val="1"/>
    <w:link w:val="154"/>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1">
    <w:name w:val="heading 9"/>
    <w:next w:val="1"/>
    <w:link w:val="155"/>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jc w:val="left"/>
    </w:pPr>
  </w:style>
  <w:style w:type="paragraph" w:styleId="14">
    <w:name w:val="List Number"/>
    <w:basedOn w:val="1"/>
    <w:unhideWhenUsed/>
    <w:qFormat/>
    <w:uiPriority w:val="99"/>
    <w:pPr>
      <w:numPr>
        <w:ilvl w:val="0"/>
        <w:numId w:val="2"/>
      </w:numPr>
      <w:contextualSpacing/>
      <w:jc w:val="left"/>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jc w:val="left"/>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jc w:val="left"/>
    </w:pPr>
  </w:style>
  <w:style w:type="paragraph" w:styleId="19">
    <w:name w:val="Body Text"/>
    <w:link w:val="144"/>
    <w:unhideWhenUsed/>
    <w:qFormat/>
    <w:uiPriority w:val="99"/>
    <w:pPr>
      <w:spacing w:before="0" w:after="0" w:line="240" w:lineRule="auto"/>
      <w:ind w:firstLine="0"/>
      <w:outlineLvl w:val="9"/>
    </w:pPr>
    <w:rPr>
      <w:rFonts w:ascii="Times New Roman" w:hAnsi="Calibri" w:eastAsia="宋体" w:cs="Times New Roman"/>
      <w:sz w:val="24"/>
    </w:rPr>
  </w:style>
  <w:style w:type="paragraph" w:styleId="20">
    <w:name w:val="List Number 3"/>
    <w:basedOn w:val="1"/>
    <w:unhideWhenUsed/>
    <w:qFormat/>
    <w:uiPriority w:val="99"/>
    <w:pPr>
      <w:numPr>
        <w:ilvl w:val="0"/>
        <w:numId w:val="5"/>
      </w:numPr>
      <w:contextualSpacing/>
      <w:jc w:val="left"/>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jc w:val="left"/>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next w:val="1"/>
    <w:link w:val="142"/>
    <w:qFormat/>
    <w:uiPriority w:val="11"/>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next w:val="1"/>
    <w:link w:val="141"/>
    <w:qFormat/>
    <w:uiPriority w:val="10"/>
    <w:pPr>
      <w:spacing w:before="240" w:after="120" w:line="240" w:lineRule="auto"/>
      <w:jc w:val="left"/>
      <w:outlineLvl w:val="9"/>
    </w:pPr>
    <w:rPr>
      <w:rFonts w:ascii="Times New Roman" w:hAnsi="Times New Roman" w:eastAsia="宋体" w:cs="Times New Roman"/>
      <w:b/>
      <w:sz w:val="32"/>
      <w:szCs w:val="22"/>
      <w:lang w:bidi="ar-SA"/>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1E386B"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1E386B"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Intense Quote Char"/>
    <w:basedOn w:val="132"/>
    <w:link w:val="156"/>
    <w:qFormat/>
    <w:uiPriority w:val="30"/>
    <w:rPr>
      <w:b/>
      <w:bCs/>
      <w:i/>
      <w:iCs/>
      <w:color w:val="4874CB"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874CB" w:themeColor="accent1"/>
      <w14:textFill>
        <w14:solidFill>
          <w14:schemeClr w14:val="accent1"/>
        </w14:solidFill>
      </w14:textFill>
    </w:rPr>
  </w:style>
  <w:style w:type="character" w:customStyle="1" w:styleId="160">
    <w:name w:val="Subtle Reference"/>
    <w:basedOn w:val="132"/>
    <w:qFormat/>
    <w:uiPriority w:val="31"/>
    <w:rPr>
      <w:smallCaps/>
      <w:color w:val="EE822F" w:themeColor="accent2"/>
      <w:u w:val="single"/>
      <w14:textFill>
        <w14:solidFill>
          <w14:schemeClr w14:val="accent2"/>
        </w14:solidFill>
      </w14:textFill>
    </w:rPr>
  </w:style>
  <w:style w:type="character" w:customStyle="1" w:styleId="161">
    <w:name w:val="Intense Reference"/>
    <w:basedOn w:val="132"/>
    <w:qFormat/>
    <w:uiPriority w:val="32"/>
    <w:rPr>
      <w:b/>
      <w:bCs/>
      <w:smallCaps/>
      <w:color w:val="EE822F"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附录标题"/>
    <w:next w:val="1"/>
    <w:qFormat/>
    <w:uiPriority w:val="0"/>
    <w:pPr>
      <w:spacing w:before="240" w:after="120" w:line="240" w:lineRule="auto"/>
      <w:jc w:val="left"/>
      <w:outlineLvl w:val="0"/>
    </w:pPr>
    <w:rPr>
      <w:rFonts w:ascii="Times New Roman" w:hAnsi="Times New Roman" w:eastAsia="宋体" w:cs="Times New Roman"/>
      <w:b/>
      <w:sz w:val="32"/>
      <w:szCs w:val="22"/>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4473</Words>
  <Characters>5365</Characters>
  <Lines>0</Lines>
  <Paragraphs>0</Paragraphs>
  <TotalTime>55</TotalTime>
  <ScaleCrop>false</ScaleCrop>
  <LinksUpToDate>false</LinksUpToDate>
  <CharactersWithSpaces>5439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任坦坦</cp:lastModifiedBy>
  <dcterms:modified xsi:type="dcterms:W3CDTF">2026-03-19T07:36:47Z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eyJoZGlkIjoiMDMyZjEyMjdiYzk5MGYwOGM0ZTYwODZjYzI4ODdjNzYiLCJ1c2VySWQiOiI5NjExNDM1MzcifQ==</vt:lpwstr>
  </property>
  <property fmtid="{D5CDD505-2E9C-101B-9397-08002B2CF9AE}" pid="3" name="KSOProductBuildVer">
    <vt:lpwstr>2052-12.1.0.21171</vt:lpwstr>
  </property>
  <property fmtid="{D5CDD505-2E9C-101B-9397-08002B2CF9AE}" pid="4" name="ICV">
    <vt:lpwstr>DAD2136F4411461596AE7F2753A95750_12</vt:lpwstr>
  </property>
</Properties>
</file>