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39513">
      <w:pPr>
        <w:pStyle w:val="31"/>
        <w:widowControl/>
        <w:ind w:firstLine="1928" w:firstLineChars="600"/>
      </w:pPr>
      <w:bookmarkStart w:id="0" w:name="_GoBack"/>
      <w:bookmarkEnd w:id="0"/>
      <w:r>
        <w:t>TDSC研究：随机与分配实施</w:t>
      </w:r>
    </w:p>
    <w:p w14:paraId="42714539">
      <w:pPr>
        <w:pStyle w:val="19"/>
        <w:widowControl/>
      </w:pPr>
      <w:r>
        <w:t>SOP05：随机与分配实施（含分层变量、分层内随机、盲态要素）</w:t>
      </w:r>
    </w:p>
    <w:p w14:paraId="3F9DC59B">
      <w:pPr>
        <w:pStyle w:val="19"/>
        <w:widowControl/>
      </w:pPr>
      <w:r>
        <w:t>适用：TDSC V2.0（2026-02-28）及后续等效版本。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BE91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A65F23C">
            <w:pPr>
              <w:spacing w:after="0" w:line="240" w:lineRule="auto"/>
            </w:pPr>
            <w:r>
              <w:t>文件编号</w:t>
            </w:r>
          </w:p>
        </w:tc>
        <w:tc>
          <w:tcPr>
            <w:tcW w:w="1250" w:type="pct"/>
          </w:tcPr>
          <w:p w14:paraId="1F418D9B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>TDSC-SOP-</w:t>
            </w:r>
            <w:r>
              <w:rPr>
                <w:rFonts w:hint="eastAsia"/>
                <w:lang w:val="en-US" w:eastAsia="zh-CN"/>
              </w:rPr>
              <w:t>05</w:t>
            </w:r>
          </w:p>
        </w:tc>
        <w:tc>
          <w:tcPr>
            <w:tcW w:w="1250" w:type="pct"/>
          </w:tcPr>
          <w:p w14:paraId="1D7C4CF8">
            <w:pPr>
              <w:spacing w:after="0" w:line="240" w:lineRule="auto"/>
            </w:pPr>
            <w:r>
              <w:t>版本</w:t>
            </w:r>
          </w:p>
        </w:tc>
        <w:tc>
          <w:tcPr>
            <w:tcW w:w="1250" w:type="pct"/>
          </w:tcPr>
          <w:p w14:paraId="03FFDF93">
            <w:pPr>
              <w:spacing w:after="0" w:line="240" w:lineRule="auto"/>
            </w:pPr>
            <w:r>
              <w:t>V1.1</w:t>
            </w:r>
          </w:p>
        </w:tc>
      </w:tr>
      <w:tr w14:paraId="5812B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46075B3">
            <w:pPr>
              <w:spacing w:after="0" w:line="240" w:lineRule="auto"/>
            </w:pPr>
            <w:r>
              <w:t>生效日期</w:t>
            </w:r>
          </w:p>
        </w:tc>
        <w:tc>
          <w:tcPr>
            <w:tcW w:w="1250" w:type="pct"/>
          </w:tcPr>
          <w:p w14:paraId="7DA6010E">
            <w:pPr>
              <w:spacing w:after="0" w:line="240" w:lineRule="auto"/>
            </w:pPr>
            <w:r>
              <w:t>2026-02-07</w:t>
            </w:r>
          </w:p>
        </w:tc>
        <w:tc>
          <w:tcPr>
            <w:tcW w:w="1250" w:type="pct"/>
          </w:tcPr>
          <w:p w14:paraId="7EDEA721">
            <w:pPr>
              <w:spacing w:after="0" w:line="240" w:lineRule="auto"/>
            </w:pPr>
            <w:r>
              <w:t>页码</w:t>
            </w:r>
          </w:p>
        </w:tc>
        <w:tc>
          <w:tcPr>
            <w:tcW w:w="1250" w:type="pct"/>
          </w:tcPr>
          <w:p w14:paraId="0A8D0406">
            <w:pPr>
              <w:spacing w:after="0" w:line="240" w:lineRule="auto"/>
            </w:pPr>
            <w:r>
              <w:t>第 1 页 / 共 ____ 页</w:t>
            </w:r>
          </w:p>
        </w:tc>
      </w:tr>
      <w:tr w14:paraId="7F610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798417A">
            <w:pPr>
              <w:spacing w:after="0" w:line="240" w:lineRule="auto"/>
            </w:pPr>
            <w:r>
              <w:t>编写</w:t>
            </w:r>
          </w:p>
        </w:tc>
        <w:tc>
          <w:tcPr>
            <w:tcW w:w="1250" w:type="pct"/>
          </w:tcPr>
          <w:p w14:paraId="48ED7403">
            <w:pPr>
              <w:spacing w:after="0" w:line="240" w:lineRule="auto"/>
            </w:pPr>
            <w:r>
              <w:t>________</w:t>
            </w:r>
          </w:p>
        </w:tc>
        <w:tc>
          <w:tcPr>
            <w:tcW w:w="1250" w:type="pct"/>
          </w:tcPr>
          <w:p w14:paraId="5B2BE535">
            <w:pPr>
              <w:spacing w:after="0" w:line="240" w:lineRule="auto"/>
            </w:pPr>
            <w:r>
              <w:t>审核</w:t>
            </w:r>
          </w:p>
        </w:tc>
        <w:tc>
          <w:tcPr>
            <w:tcW w:w="1250" w:type="pct"/>
          </w:tcPr>
          <w:p w14:paraId="5FD8BC7C">
            <w:pPr>
              <w:spacing w:after="0" w:line="240" w:lineRule="auto"/>
            </w:pPr>
            <w:r>
              <w:t>________</w:t>
            </w:r>
          </w:p>
        </w:tc>
      </w:tr>
      <w:tr w14:paraId="28692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0A5DC41">
            <w:pPr>
              <w:spacing w:after="0" w:line="240" w:lineRule="auto"/>
            </w:pPr>
            <w:r>
              <w:t>批准</w:t>
            </w:r>
          </w:p>
        </w:tc>
        <w:tc>
          <w:tcPr>
            <w:tcW w:w="1250" w:type="pct"/>
          </w:tcPr>
          <w:p w14:paraId="1DAAC34F">
            <w:pPr>
              <w:spacing w:after="0" w:line="240" w:lineRule="auto"/>
            </w:pPr>
            <w:r>
              <w:t>________</w:t>
            </w:r>
          </w:p>
        </w:tc>
        <w:tc>
          <w:tcPr>
            <w:tcW w:w="1250" w:type="pct"/>
          </w:tcPr>
          <w:p w14:paraId="196C5089">
            <w:pPr>
              <w:spacing w:after="0" w:line="240" w:lineRule="auto"/>
            </w:pPr>
            <w:r>
              <w:t>所属</w:t>
            </w:r>
          </w:p>
        </w:tc>
        <w:tc>
          <w:tcPr>
            <w:tcW w:w="1250" w:type="pct"/>
          </w:tcPr>
          <w:p w14:paraId="711AA543">
            <w:pPr>
              <w:spacing w:after="0" w:line="240" w:lineRule="auto"/>
            </w:pPr>
            <w:r>
              <w:t>国家重大科技专项TDSC</w:t>
            </w:r>
          </w:p>
        </w:tc>
      </w:tr>
    </w:tbl>
    <w:p w14:paraId="75D0F1CF"/>
    <w:p w14:paraId="0F50ABC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目的</w:t>
      </w:r>
    </w:p>
    <w:p w14:paraId="68A1DD3C">
      <w:pPr>
        <w:pStyle w:val="19"/>
        <w:widowControl/>
      </w:pPr>
      <w:r>
        <w:t>规范TDSC研究中随机化与分配实施的关键步骤与质量控制要求，确保：</w:t>
      </w:r>
    </w:p>
    <w:p w14:paraId="1FA31C2E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随机前“先分层后随机”的路径一致、可追溯；</w:t>
      </w:r>
    </w:p>
    <w:p w14:paraId="7DB9B2C9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随机分层变量来源清晰、填写规则统一；</w:t>
      </w:r>
    </w:p>
    <w:p w14:paraId="5F5CB98C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中心随机与分配隐藏得到落实，降低选择偏倚与预测分配风险；</w:t>
      </w:r>
    </w:p>
    <w:p w14:paraId="29A97969">
      <w:pPr>
        <w:pStyle w:val="16"/>
        <w:bidi w:val="0"/>
        <w:ind w:left="360" w:leftChars="0" w:hanging="360" w:firstLineChars="0"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在开放标签试验框架下，明确并执行关键盲态/信息隔离要素（如CEC终点盲态判定、探索性影像与生物标志物结果隔离、非盲数据受控访问等），降低评估偏倚。</w:t>
      </w:r>
    </w:p>
    <w:p w14:paraId="2083BFCC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适用范围</w:t>
      </w:r>
    </w:p>
    <w:p w14:paraId="72376DDE">
      <w:pPr>
        <w:pStyle w:val="19"/>
        <w:widowControl/>
      </w:pPr>
      <w:r>
        <w:t>适用于所有参与TDSC研究并涉及随机化/分配操作的流程，包括：</w:t>
      </w:r>
    </w:p>
    <w:p w14:paraId="30FCAB05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队列A（低风险TB-DM）基线随机化（1:1:1三组）；</w:t>
      </w:r>
    </w:p>
    <w:p w14:paraId="43152853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队列B（中高风险TB-DM）在治疗满6个月（M6）且满足微生物学Hard Gate标准的受试者随机化（1:1）；</w:t>
      </w:r>
    </w:p>
    <w:p w14:paraId="510616CA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随机化系统的准备、权限管理、异常处理、盲态要素执行与揭盲（如适用）、以及相关记录归档。</w:t>
      </w:r>
    </w:p>
    <w:p w14:paraId="34F98F1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缩略语与术语</w:t>
      </w:r>
    </w:p>
    <w:p w14:paraId="78CB7307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TDSC：Tuberculosis–Diabetes Short Course（结核病-糖尿病短程治疗研究）</w:t>
      </w:r>
    </w:p>
    <w:p w14:paraId="26F83BF0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TB-DM：Tuberculosis with Type 2 Diabetes Mellitus（结核病合并2型糖尿病）</w:t>
      </w:r>
    </w:p>
    <w:p w14:paraId="60CACEF2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EDC：Electronic Data Capture（电子数据采集系统）</w:t>
      </w:r>
    </w:p>
    <w:p w14:paraId="3191FE56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IRT/IWRS：Interactive Response Technology / Interactive Web Response System（交互式随机系统；如与EDC集成则以实际系统为准）</w:t>
      </w:r>
    </w:p>
    <w:p w14:paraId="5F7EF28E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CEC：Clinical Endpoint Committee（临床终点判定委员会）</w:t>
      </w:r>
    </w:p>
    <w:p w14:paraId="5E93ACD5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DMC：Data Monitoring Committee（数据监察委员会）</w:t>
      </w:r>
    </w:p>
    <w:p w14:paraId="37AE0752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CXR：Chest X-ray（胸部X线/胸片）</w:t>
      </w:r>
    </w:p>
    <w:p w14:paraId="13B8817F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CT：Computed Tomography（胸部CT）</w:t>
      </w:r>
    </w:p>
    <w:p w14:paraId="30CA60A2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TB22 Score：候选生物标志物（外周血转录组评分），按预设时间点采集用于验证/探索性分析；不用于队列分配、随机化或停药/继续治疗决策；研究期间结果不向治疗团队披露（以伦理批准与项目治理要求为准）。</w:t>
      </w:r>
    </w:p>
    <w:p w14:paraId="07F34EBC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分配隐藏（Allocation concealment）：在随机分配发生前，研究实施人员无法获知未来分配结果的机制。</w:t>
      </w:r>
    </w:p>
    <w:p w14:paraId="022D505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职责分工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9"/>
        <w:gridCol w:w="5947"/>
      </w:tblGrid>
      <w:tr w14:paraId="23FC8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pct"/>
          </w:tcPr>
          <w:p w14:paraId="6C2BACF1">
            <w:pPr>
              <w:spacing w:after="0" w:line="240" w:lineRule="auto"/>
            </w:pPr>
            <w:r>
              <w:t>角色</w:t>
            </w:r>
          </w:p>
        </w:tc>
        <w:tc>
          <w:tcPr>
            <w:tcW w:w="3357" w:type="pct"/>
          </w:tcPr>
          <w:p w14:paraId="4CD4AC2A">
            <w:pPr>
              <w:spacing w:after="0" w:line="240" w:lineRule="auto"/>
            </w:pPr>
            <w:r>
              <w:t>主要职责</w:t>
            </w:r>
          </w:p>
        </w:tc>
      </w:tr>
      <w:tr w14:paraId="52A97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pct"/>
          </w:tcPr>
          <w:p w14:paraId="39164B62">
            <w:pPr>
              <w:spacing w:after="0" w:line="240" w:lineRule="auto"/>
            </w:pPr>
            <w:r>
              <w:t>总PI/项目管理办公室（PMO）</w:t>
            </w:r>
          </w:p>
        </w:tc>
        <w:tc>
          <w:tcPr>
            <w:tcW w:w="3357" w:type="pct"/>
          </w:tcPr>
          <w:p w14:paraId="679B9DE6">
            <w:pPr>
              <w:spacing w:after="0" w:line="240" w:lineRule="auto"/>
            </w:pPr>
            <w:r>
              <w:t>批准SOP与系统权限策略；组织培训与演练；监督跨中心一致性；协调异常事件处理与升级。</w:t>
            </w:r>
          </w:p>
        </w:tc>
      </w:tr>
      <w:tr w14:paraId="6951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pct"/>
          </w:tcPr>
          <w:p w14:paraId="13F78DC9">
            <w:pPr>
              <w:spacing w:after="0" w:line="240" w:lineRule="auto"/>
            </w:pPr>
            <w:r>
              <w:t>分中心PI/研究医生</w:t>
            </w:r>
          </w:p>
        </w:tc>
        <w:tc>
          <w:tcPr>
            <w:tcW w:w="3357" w:type="pct"/>
          </w:tcPr>
          <w:p w14:paraId="17363B82">
            <w:pPr>
              <w:spacing w:after="0" w:line="240" w:lineRule="auto"/>
            </w:pPr>
            <w:r>
              <w:t>确认受试者符合入组与随机条件；保证分层变量真实准确；完成随机化操作或授权CRC操作；处理误随机/偏离等。</w:t>
            </w:r>
          </w:p>
        </w:tc>
      </w:tr>
      <w:tr w14:paraId="074B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pct"/>
          </w:tcPr>
          <w:p w14:paraId="1485E8E8">
            <w:pPr>
              <w:spacing w:after="0" w:line="240" w:lineRule="auto"/>
            </w:pPr>
            <w:r>
              <w:t>CRC/研究协调员</w:t>
            </w:r>
          </w:p>
        </w:tc>
        <w:tc>
          <w:tcPr>
            <w:tcW w:w="3357" w:type="pct"/>
          </w:tcPr>
          <w:p w14:paraId="6F498E6F">
            <w:pPr>
              <w:spacing w:after="0" w:line="240" w:lineRule="auto"/>
            </w:pPr>
            <w:r>
              <w:t>按检查清单完成随机前资料核对；在授权范围内执行随机化；留存随机记录与偏离说明；确保盲态要素落地。</w:t>
            </w:r>
          </w:p>
        </w:tc>
      </w:tr>
      <w:tr w14:paraId="78913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pct"/>
          </w:tcPr>
          <w:p w14:paraId="2B991105">
            <w:pPr>
              <w:spacing w:after="0" w:line="240" w:lineRule="auto"/>
            </w:pPr>
            <w:r>
              <w:t>数据管理/EDC团队</w:t>
            </w:r>
          </w:p>
        </w:tc>
        <w:tc>
          <w:tcPr>
            <w:tcW w:w="3357" w:type="pct"/>
          </w:tcPr>
          <w:p w14:paraId="0648DD19">
            <w:pPr>
              <w:spacing w:after="0" w:line="240" w:lineRule="auto"/>
            </w:pPr>
            <w:r>
              <w:t>配置随机化模块（或对接IRT）；设置权限与审计追踪；维护随机日志；支持查询与稽核。</w:t>
            </w:r>
          </w:p>
        </w:tc>
      </w:tr>
      <w:tr w14:paraId="06599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pct"/>
          </w:tcPr>
          <w:p w14:paraId="2EA8C9E2">
            <w:pPr>
              <w:spacing w:after="0" w:line="240" w:lineRule="auto"/>
            </w:pPr>
            <w:r>
              <w:t>统计团队（独立/指定人员）</w:t>
            </w:r>
          </w:p>
        </w:tc>
        <w:tc>
          <w:tcPr>
            <w:tcW w:w="3357" w:type="pct"/>
          </w:tcPr>
          <w:p w14:paraId="66C6A132">
            <w:pPr>
              <w:spacing w:after="0" w:line="240" w:lineRule="auto"/>
            </w:pPr>
            <w:r>
              <w:t>生成随机序列与《随机化规格书》；保密区组与随机种子；参与系统联调与验证；提供异常处理建议并在SAP中锁定相关规则。</w:t>
            </w:r>
          </w:p>
        </w:tc>
      </w:tr>
      <w:tr w14:paraId="04E17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pct"/>
          </w:tcPr>
          <w:p w14:paraId="1B0A911D">
            <w:pPr>
              <w:spacing w:after="0" w:line="240" w:lineRule="auto"/>
            </w:pPr>
            <w:r>
              <w:t>CEC（独立）</w:t>
            </w:r>
          </w:p>
        </w:tc>
        <w:tc>
          <w:tcPr>
            <w:tcW w:w="3357" w:type="pct"/>
          </w:tcPr>
          <w:p w14:paraId="6604D7D6">
            <w:pPr>
              <w:spacing w:after="0" w:line="240" w:lineRule="auto"/>
            </w:pPr>
            <w:r>
              <w:t>对主要终点相关事件进行盲态或部分盲态判定，并在数据库锁定前出具终点判定清单。</w:t>
            </w:r>
          </w:p>
        </w:tc>
      </w:tr>
      <w:tr w14:paraId="35D57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pct"/>
          </w:tcPr>
          <w:p w14:paraId="17DBDDC3">
            <w:pPr>
              <w:spacing w:after="0" w:line="240" w:lineRule="auto"/>
            </w:pPr>
            <w:r>
              <w:t>DMC（独立）</w:t>
            </w:r>
          </w:p>
        </w:tc>
        <w:tc>
          <w:tcPr>
            <w:tcW w:w="3357" w:type="pct"/>
          </w:tcPr>
          <w:p w14:paraId="1C76F3D7">
            <w:pPr>
              <w:spacing w:after="0" w:line="240" w:lineRule="auto"/>
            </w:pPr>
            <w:r>
              <w:t>按章程开展安全监测与中期分析；必要时在受控条件下接触非盲数据。</w:t>
            </w:r>
          </w:p>
        </w:tc>
      </w:tr>
    </w:tbl>
    <w:p w14:paraId="3BF4E95C"/>
    <w:p w14:paraId="32645FD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总体原则</w:t>
      </w:r>
    </w:p>
    <w:p w14:paraId="4EA045AC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先分层后随机：所有受试者在随机前必须完成“专家版分层工具”基线风险分层（见SOP01）。</w:t>
      </w:r>
    </w:p>
    <w:p w14:paraId="342A7EC5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中心随机+分配隐藏：随机由中心系统实施，随机序列与区组设置由统计团队保密管理；研究现场不得保留可推测分配的材料。</w:t>
      </w:r>
    </w:p>
    <w:p w14:paraId="4672B17F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开放标签+关键盲态/信息隔离要素：治疗方案与疗程在实施层面为开放标签，但需执行CEC终点盲态判定、探索性影像/数字工具/生物标志物结果隔离以及非盲数据受控访问等关键要素（见第9节）。</w:t>
      </w:r>
    </w:p>
    <w:p w14:paraId="6684F3A2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最小化人为干预：随机分层变量尽量来源于eCRF已锁定字段；随机化后不得为“达标”而回填或修改关键变量。</w:t>
      </w:r>
    </w:p>
    <w:p w14:paraId="30FEF11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分层变量与锁定</w:t>
      </w:r>
    </w:p>
    <w:p w14:paraId="25D913F7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/>
        </w:rPr>
      </w:pPr>
      <w:r>
        <w:t>基线风险分层（先分层后随机）</w:t>
      </w:r>
    </w:p>
    <w:p w14:paraId="7C746B3B">
      <w:pPr>
        <w:pStyle w:val="19"/>
        <w:widowControl/>
      </w:pPr>
      <w:r>
        <w:t>在任何随机化发生前，必须：</w:t>
      </w:r>
    </w:p>
    <w:p w14:paraId="1F5B15BE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完成SOP01规定的基线风险分层（低风险 vs 中高风险）；</w:t>
      </w:r>
    </w:p>
    <w:p w14:paraId="3A351DC0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在eCRF中锁定分层结论与支持证据（关键影像、微生物、临床信息）；</w:t>
      </w:r>
    </w:p>
    <w:p w14:paraId="11E5A0B0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仅当分层结论确认后，方可进入队列A或队列B对应路径。</w:t>
      </w:r>
    </w:p>
    <w:p w14:paraId="24BEBE91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/>
        </w:rPr>
      </w:pPr>
      <w:r>
        <w:t>随机分层变量（按《随机化规格书》锁定）</w:t>
      </w:r>
    </w:p>
    <w:p w14:paraId="26742E58">
      <w:pPr>
        <w:pStyle w:val="19"/>
        <w:widowControl/>
      </w:pPr>
      <w:r>
        <w:t>随机分层变量以统计团队出具并经研究团队批准的《随机化规格书》为准。原则要求如下：</w:t>
      </w:r>
    </w:p>
    <w:p w14:paraId="43AB2594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队列A：至少按研究中心分层；若《随机化规格书》规定其他关键预后因素（如基线菌负荷、空洞状态、HbA1c分层等），须在系统中预设并锁定。</w:t>
      </w:r>
    </w:p>
    <w:p w14:paraId="03849A43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队列B（M6应答者随机）：需按关键预后因素分层，强制包含HbA1c分层；其余分层因素按《随机化规格书》执行。</w:t>
      </w:r>
    </w:p>
    <w:p w14:paraId="105B76B4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b/>
        </w:rPr>
      </w:pPr>
      <w:r>
        <w:t>分层变量来源、填写规则与缺失处理</w:t>
      </w:r>
    </w:p>
    <w:p w14:paraId="33A458FD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变量来源：优先从eCRF已录入并经核对的字段自动提取；确需人工录入的变量应设置强制校验与逻辑核查。</w:t>
      </w:r>
    </w:p>
    <w:p w14:paraId="33549B36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锁定时点：队列A在基线随机前锁定；队列B在M6随机前锁定（含M6决策窗内最新评估）。</w:t>
      </w:r>
    </w:p>
    <w:p w14:paraId="246AB5F9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缺失处理：若《随机化规格书》定义的分层变量缺失，须先按数据核查流程补齐；无法补齐者不得随机，需报告为偏离/缺失并走既定路径（队列B Hard Gate资格判定与缺失处理按SOP02的保守规则执行，缺失/不可评价培养=不达标，不随机）。</w:t>
      </w:r>
    </w:p>
    <w:p w14:paraId="739A37F3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随机化方案概述</w:t>
      </w:r>
    </w:p>
    <w:p w14:paraId="10387907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/>
        </w:rPr>
      </w:pPr>
      <w:r>
        <w:t>队列A：固定疗程RCT（1:1:1）</w:t>
      </w:r>
    </w:p>
    <w:p w14:paraId="2E792786">
      <w:pPr>
        <w:pStyle w:val="19"/>
        <w:widowControl/>
      </w:pPr>
      <w:r>
        <w:t>低风险TB-DM受试者随机至三组：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7591"/>
      </w:tblGrid>
      <w:tr w14:paraId="6772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</w:tcPr>
          <w:p w14:paraId="653660E4">
            <w:pPr>
              <w:spacing w:after="0" w:line="240" w:lineRule="auto"/>
            </w:pPr>
            <w:r>
              <w:t>组别</w:t>
            </w:r>
          </w:p>
        </w:tc>
        <w:tc>
          <w:tcPr>
            <w:tcW w:w="4285" w:type="pct"/>
          </w:tcPr>
          <w:p w14:paraId="78310360">
            <w:pPr>
              <w:spacing w:after="0" w:line="240" w:lineRule="auto"/>
            </w:pPr>
            <w:r>
              <w:t>干预概述（以研究方案为准）</w:t>
            </w:r>
          </w:p>
        </w:tc>
      </w:tr>
      <w:tr w14:paraId="525D6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</w:tcPr>
          <w:p w14:paraId="60814877">
            <w:pPr>
              <w:spacing w:after="0" w:line="240" w:lineRule="auto"/>
            </w:pPr>
            <w:r>
              <w:t>A1</w:t>
            </w:r>
          </w:p>
        </w:tc>
        <w:tc>
          <w:tcPr>
            <w:tcW w:w="4285" w:type="pct"/>
          </w:tcPr>
          <w:p w14:paraId="5832547A">
            <w:pPr>
              <w:spacing w:after="0" w:line="240" w:lineRule="auto"/>
            </w:pPr>
            <w:r>
              <w:t>4个月 2HPMZ/2HPM（利福喷丁 1200 mg）</w:t>
            </w:r>
          </w:p>
        </w:tc>
      </w:tr>
      <w:tr w14:paraId="24B4F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</w:tcPr>
          <w:p w14:paraId="673DCDA2">
            <w:pPr>
              <w:spacing w:after="0" w:line="240" w:lineRule="auto"/>
            </w:pPr>
            <w:r>
              <w:t>A2</w:t>
            </w:r>
          </w:p>
        </w:tc>
        <w:tc>
          <w:tcPr>
            <w:tcW w:w="4285" w:type="pct"/>
          </w:tcPr>
          <w:p w14:paraId="34D9D533">
            <w:pPr>
              <w:spacing w:after="0" w:line="240" w:lineRule="auto"/>
            </w:pPr>
            <w:r>
              <w:t>4个月 2HPMZ/2HPM（利福喷丁 900 mg）</w:t>
            </w:r>
          </w:p>
        </w:tc>
      </w:tr>
      <w:tr w14:paraId="2C7E6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</w:tcPr>
          <w:p w14:paraId="6FB3E9EE">
            <w:pPr>
              <w:spacing w:after="0" w:line="240" w:lineRule="auto"/>
            </w:pPr>
            <w:r>
              <w:t>A3</w:t>
            </w:r>
          </w:p>
        </w:tc>
        <w:tc>
          <w:tcPr>
            <w:tcW w:w="4285" w:type="pct"/>
          </w:tcPr>
          <w:p w14:paraId="2A00C771">
            <w:pPr>
              <w:spacing w:after="0" w:line="240" w:lineRule="auto"/>
            </w:pPr>
            <w:r>
              <w:t>6个月 2HRZ/4HR（标准对照）</w:t>
            </w:r>
          </w:p>
        </w:tc>
      </w:tr>
    </w:tbl>
    <w:p w14:paraId="3B7AD77C"/>
    <w:p w14:paraId="6E4C9F55">
      <w:pPr>
        <w:pStyle w:val="19"/>
        <w:widowControl/>
      </w:pPr>
      <w:r>
        <w:t>随机比例：1:1:1；中心随机、分配隐藏。</w:t>
      </w:r>
    </w:p>
    <w:p w14:paraId="6BBC3D26">
      <w:pPr>
        <w:pStyle w:val="19"/>
        <w:widowControl/>
      </w:pPr>
      <w:r>
        <w:t>说明：队列A在预设中期分析后，若DSMB基于预设安全性/获益-风险标准建议停止A1继续入组，则后续队列A随机将由1:1:1调整为A2:A3=1:1；已随机至A1的受试者继续按方案随访与终点判定。随机化系统配置变更须形成版本记录并完成中心培训与演练。</w:t>
      </w:r>
    </w:p>
    <w:p w14:paraId="220192EB">
      <w:pPr>
        <w:pStyle w:val="4"/>
        <w:widowControl/>
        <w:numPr>
          <w:ilvl w:val="0"/>
          <w:numId w:val="15"/>
        </w:numPr>
        <w:ind w:left="0" w:leftChars="0" w:firstLine="0" w:firstLineChars="0"/>
        <w:rPr>
          <w:b/>
        </w:rPr>
      </w:pPr>
      <w:r>
        <w:t>队列B：M6“Hard Gate达标者随机”（1:1）+ 未达标者非随机随访路径</w:t>
      </w:r>
    </w:p>
    <w:p w14:paraId="239A9CDD">
      <w:pPr>
        <w:pStyle w:val="19"/>
        <w:widowControl/>
      </w:pPr>
      <w:r>
        <w:t>中高风险TB-DM受试者先接受统一治疗至M6（2HRZE/4HR）。M6随机化访视窗口建议：D168±7天（以SAP/访视表最终锁定为准）。仅当满足“微生物学Hard Gate”标准方可进入随机：</w:t>
      </w:r>
    </w:p>
    <w:p w14:paraId="051679B8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至少2次分枝杆菌培养阴性（确认结核分枝杆菌复合群，标本来源为痰或诱导痰/替代呼吸道标本），采集时间位于M6访视前4个月内，且两次阴性结果间隔≥7天。</w:t>
      </w:r>
    </w:p>
    <w:p w14:paraId="0C25A4EC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自M4起至M6随机化时点前，不得出现培养再阳性（实验室污染与NTM按微生物学SOP排除，不计入再阳性）。</w:t>
      </w:r>
    </w:p>
    <w:p w14:paraId="6FC34FCE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若受试者无法留取痰，应按微生物学SOP尝试诱导痰或替代标本；若仍无法获得“可评价培养结果”，则视为未达标，不进入随机。</w:t>
      </w:r>
    </w:p>
    <w:p w14:paraId="37AF2FF0">
      <w:pPr>
        <w:pStyle w:val="19"/>
        <w:widowControl/>
      </w:pPr>
      <w:r>
        <w:t>符合条件者按1:1随机分配至：</w:t>
      </w:r>
    </w:p>
    <w:p w14:paraId="0364E449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停药组：M6后立即停止抗结核治疗（总疗程6个月）。</w:t>
      </w:r>
    </w:p>
    <w:p w14:paraId="7ED1B43F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继续治疗组：继续H+R治疗至总疗程9个月（2HRZE/7HR）。</w:t>
      </w:r>
    </w:p>
    <w:p w14:paraId="20F2AC84">
      <w:pPr>
        <w:pStyle w:val="19"/>
        <w:widowControl/>
      </w:pPr>
      <w:r>
        <w:t>未达标者：不进入随机化，按方案继续治疗（通常至总疗程9个月，或按研究者基于指南与耐药结果进行调整），并在EDC中记录更改原因、方案与持续时间；按研究访视计划随访并描述性报告。</w:t>
      </w:r>
    </w:p>
    <w:p w14:paraId="03C024F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随机与分配实施流程</w:t>
      </w:r>
    </w:p>
    <w:p w14:paraId="2F6B7F7A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</w:rPr>
      </w:pPr>
      <w:r>
        <w:t>随机化系统准备（启动前）</w:t>
      </w:r>
    </w:p>
    <w:p w14:paraId="1FD3B7F3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统计团队出具《随机化规格书》（分层因素、随机比例、区组设置、随机种子与审计追踪、异常处理与紧急揭盲流程等）。</w:t>
      </w:r>
    </w:p>
    <w:p w14:paraId="488D899D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完成随机化模块/IRT与EDC的配置、验证与联调；确保具备审计追踪与权限分级。</w:t>
      </w:r>
    </w:p>
    <w:p w14:paraId="75AE2BC2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开展中心与分中心培训：随机前核对、系统操作、盲态要素、误随机处理、文档留存。</w:t>
      </w:r>
    </w:p>
    <w:p w14:paraId="34BD9D0F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开展演练（dry-run）：至少覆盖队列A基线随机、队列B M6随机、以及1例异常/撤回场景。</w:t>
      </w:r>
    </w:p>
    <w:p w14:paraId="3D1F59DA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</w:rPr>
      </w:pPr>
      <w:r>
        <w:t>队列A基线随机化—操作步骤</w:t>
      </w:r>
    </w:p>
    <w:p w14:paraId="0BCEBD20">
      <w:pPr>
        <w:pStyle w:val="19"/>
        <w:widowControl/>
      </w:pPr>
      <w:r>
        <w:t>按以下顺序执行（建议使用附录A检查清单）：</w:t>
      </w:r>
    </w:p>
    <w:p w14:paraId="5FB9C1B9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确认已完成知情同意（见SOP11），并完成基线风险分层且判定为低风险（SOP01）。</w:t>
      </w:r>
    </w:p>
    <w:p w14:paraId="08095FF6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确认耐药已排除并满足队列A入组/随机条件（以研究方案与筛选结果为准）。</w:t>
      </w:r>
    </w:p>
    <w:p w14:paraId="2DCB0B3A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核对并锁定随机分层变量（以《随机化规格书》为准）；完成必要的数据逻辑校验。</w:t>
      </w:r>
    </w:p>
    <w:p w14:paraId="7DF125D4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在EDC/IRT中发起随机：系统返回分配组别（A1/A2/A3）与随机编号。</w:t>
      </w:r>
    </w:p>
    <w:p w14:paraId="39882DD3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记录：将随机结果自动写入eCRF；同时在中心/分中心随机日志中留存（含操作者、时间戳）。</w:t>
      </w:r>
    </w:p>
    <w:p w14:paraId="2C06C533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分配实施：按分配组别发放/开立对应研究治疗；完成受试者宣教与依从性安排（参见用药相关SOP）。</w:t>
      </w:r>
    </w:p>
    <w:p w14:paraId="353440C4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</w:rPr>
      </w:pPr>
      <w:r>
        <w:t>队列B M6 Hard Gate达标者随机化—操作步骤</w:t>
      </w:r>
    </w:p>
    <w:p w14:paraId="47DCACC5">
      <w:pPr>
        <w:pStyle w:val="19"/>
        <w:widowControl/>
      </w:pPr>
      <w:r>
        <w:t>按以下顺序执行（建议使用附录B检查清单）：</w:t>
      </w:r>
    </w:p>
    <w:p w14:paraId="3D452B76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确认受试者属于队列B（中高风险）且已完成M6微生物学Hard Gate评估所需的关键检查与结果核对（SOP02）。</w:t>
      </w:r>
    </w:p>
    <w:p w14:paraId="422ECDD1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完成Hard Gate判定（仅微生物学）：核对M6前4个月内培养阴性次数与间隔、M4至随机前是否出现再阳性、标本可评价性及污染/NTM排除；必要时按微生物学SOP进行补采与争议复核并留存记录。</w:t>
      </w:r>
    </w:p>
    <w:p w14:paraId="2E0BDC73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满足Hard Gate：锁定Hard Gate证据字段与随机分层变量（强制包含HbA1c分层），在EDC/IRT发起随机（1:1）。</w:t>
      </w:r>
    </w:p>
    <w:p w14:paraId="02D754C9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系统返回分配：停药组或继续治疗至9个月组；结果写入eCRF并留存随机日志。</w:t>
      </w:r>
    </w:p>
    <w:p w14:paraId="56A5181B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执行分配：按组别完成停药/继续治疗的处方与随访安排；向受试者解释随机结果及其含义。</w:t>
      </w:r>
    </w:p>
    <w:p w14:paraId="400FEC11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不满足Hard Gate：标记为“未达标/不可判定”，不进入随机化；按方案继续治疗（通常至总疗程9个月或按临床需要调整）并随访，治疗调整原因与方案需在EDC中留痕。</w:t>
      </w:r>
    </w:p>
    <w:p w14:paraId="25A5D791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</w:rPr>
      </w:pPr>
      <w:r>
        <w:t>分配隐藏与防止预测</w:t>
      </w:r>
    </w:p>
    <w:p w14:paraId="7E1A6893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随机序列、区组大小与随机种子仅由统计团队掌握；研究现场不得接触或存放随机列表。</w:t>
      </w:r>
    </w:p>
    <w:p w14:paraId="2B18FE95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随机化系统采用权限分级：仅授权人员可发起随机；查看历史随机结果的权限与发起权限可分离。</w:t>
      </w:r>
    </w:p>
    <w:p w14:paraId="36124A33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若采用区组随机，区组大小应保密；中心级监查定期评估是否存在可疑的预测或选择偏倚信号。</w:t>
      </w:r>
    </w:p>
    <w:p w14:paraId="453E3FA5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b/>
        </w:rPr>
      </w:pPr>
      <w:r>
        <w:t>异常与特殊情况处理（原则）</w:t>
      </w:r>
    </w:p>
    <w:p w14:paraId="358A84A4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误随机（不符合条件即随机）：立即停止进一步随机操作→报告PMO/数据管理/统计→记录为重大偏离；受试者安全随访持续；分析处理以SAP/统计建议为准。</w:t>
      </w:r>
    </w:p>
    <w:p w14:paraId="70E56EDF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随机后发现关键分层变量录入错误：不得为改变分配而“回填”；应提交数据更正申请并保留审计追踪；是否影响分析由统计团队评估。</w:t>
      </w:r>
    </w:p>
    <w:p w14:paraId="3405A0F9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受试者跨中心转诊：保持原随机分配不变；由PMO协调数据与药物衔接，确保随访连续。</w:t>
      </w:r>
    </w:p>
    <w:p w14:paraId="04211A8C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盲态要素与信息隔离</w:t>
      </w:r>
    </w:p>
    <w:p w14:paraId="4036DF9E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b/>
        </w:rPr>
      </w:pPr>
      <w:r>
        <w:t>开放标签（实施层面）</w:t>
      </w:r>
    </w:p>
    <w:p w14:paraId="7592DE5A">
      <w:pPr>
        <w:pStyle w:val="19"/>
        <w:widowControl/>
      </w:pPr>
      <w:r>
        <w:t>本研究治疗方案与疗程在研究实施层面为开放标签。</w:t>
      </w:r>
    </w:p>
    <w:p w14:paraId="0F07E558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b/>
        </w:rPr>
      </w:pPr>
      <w:r>
        <w:t>信息隔离：影像与探索性结果披露控制</w:t>
      </w:r>
    </w:p>
    <w:p w14:paraId="3E94BA46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影像学策略：CXR为队列分配与关键决策的主要影像依据（按方案）。CT可按临床需要或方案规定获取；其临床影像报告可用于受试者安全处置，但CT量化指标、中央阅读结论及影像AI/数字工具输出在研究期间不用于队列分配、随机化或停药/继续治疗决策，按项目治理要求延迟披露并留存访问记录。</w:t>
      </w:r>
    </w:p>
    <w:p w14:paraId="324A5D43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探索性生物标志物与数字工具：可按预设时间点采集TB22等候选生物标志物及相关数字化输出，但研究期间结果不向治疗团队披露，不用于队列分配、随机化或停药/继续治疗决策；分析流程与模型规格应在揭盲前锁定（以SAP/项目治理文件为准）。</w:t>
      </w:r>
    </w:p>
    <w:p w14:paraId="1F9965C8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b/>
        </w:rPr>
      </w:pPr>
      <w:r>
        <w:t>终点评估盲态：CEC盲态/部分盲态判定</w:t>
      </w:r>
    </w:p>
    <w:p w14:paraId="06A99819">
      <w:pPr>
        <w:pStyle w:val="19"/>
        <w:widowControl/>
      </w:pPr>
      <w:r>
        <w:t>CEC对主要终点相关事件进行盲态或部分盲态的集中判定。提供给CEC的病例资料包应去标识化，并尽量避免包含可能暴露随机分组的信息。</w:t>
      </w:r>
    </w:p>
    <w:p w14:paraId="74C56BEC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b/>
        </w:rPr>
      </w:pPr>
      <w:r>
        <w:t>中期分析与安全监测的非盲访问</w:t>
      </w:r>
    </w:p>
    <w:p w14:paraId="65D146A2">
      <w:pPr>
        <w:pStyle w:val="19"/>
        <w:widowControl/>
      </w:pPr>
      <w:r>
        <w:t>DMC按章程开展安全监测与中期分析；如需接触非盲数据，应在受控权限下进行并留存访问记录。</w:t>
      </w:r>
    </w:p>
    <w:p w14:paraId="0988A8F3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b/>
        </w:rPr>
      </w:pPr>
      <w:r>
        <w:t>受控披露/受控访问（如适用）</w:t>
      </w:r>
    </w:p>
    <w:p w14:paraId="3A5CBE79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适用范围：仅针对按本研究设定需要隔离的探索性结果（如TB22、影像AI/CT量化输出、中央阅片结论等）或随机化系统受控信息；治疗分组本身为开放标签，原则上不涉及揭盲。</w:t>
      </w:r>
    </w:p>
    <w:p w14:paraId="44A09DA0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触发条件：仅在对受试者安全处置有直接必要且无法通过常规信息解决时启动，并符合伦理批准与机构政策。</w:t>
      </w:r>
    </w:p>
    <w:p w14:paraId="0C6CCE9D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流程：提出申请→分中心PI审核→PMO/数据管理授权→在系统中受控查看/披露→记录原因、时间、操作者、结果与后续处置（附录C）。</w:t>
      </w:r>
    </w:p>
    <w:p w14:paraId="3C62DED5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受控披露后：评估对终点评估与统计分析的潜在影响，必要时启动偏离流程并在CEC/统计团队处备案。</w:t>
      </w:r>
    </w:p>
    <w:p w14:paraId="120F7AE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记录与归档</w:t>
      </w:r>
    </w:p>
    <w:p w14:paraId="741181B2">
      <w:pPr>
        <w:pStyle w:val="19"/>
        <w:widowControl/>
        <w:numPr>
          <w:ilvl w:val="0"/>
          <w:numId w:val="26"/>
        </w:numPr>
        <w:ind w:left="360" w:leftChars="0" w:hanging="360" w:firstLineChars="0"/>
      </w:pPr>
      <w:r>
        <w:t>系统记录：EDC/IRT自动生成随机编号、分配结果、时间戳、操作者与审计追踪。</w:t>
      </w:r>
    </w:p>
    <w:p w14:paraId="32D44845">
      <w:pPr>
        <w:pStyle w:val="19"/>
        <w:widowControl/>
        <w:numPr>
          <w:ilvl w:val="0"/>
          <w:numId w:val="26"/>
        </w:numPr>
        <w:ind w:left="360" w:leftChars="0" w:hanging="360" w:firstLineChars="0"/>
      </w:pPr>
      <w:r>
        <w:t>中心/分中心随机日志：用于现场核对与监查（不得包含可推测未来分配的信息）。</w:t>
      </w:r>
    </w:p>
    <w:p w14:paraId="13CBDF01">
      <w:pPr>
        <w:pStyle w:val="19"/>
        <w:widowControl/>
        <w:numPr>
          <w:ilvl w:val="0"/>
          <w:numId w:val="26"/>
        </w:numPr>
        <w:ind w:left="360" w:leftChars="0" w:hanging="360" w:firstLineChars="0"/>
      </w:pPr>
      <w:r>
        <w:t>偏离与纠正：误随机、关键变量更正、揭盲、争议复核等均需形成书面/电子记录并归档。</w:t>
      </w:r>
    </w:p>
    <w:p w14:paraId="711E688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质量控制与培训要点</w:t>
      </w:r>
    </w:p>
    <w:p w14:paraId="2139AAB2">
      <w:pPr>
        <w:pStyle w:val="19"/>
        <w:widowControl/>
        <w:numPr>
          <w:ilvl w:val="0"/>
          <w:numId w:val="27"/>
        </w:numPr>
        <w:ind w:left="360" w:leftChars="0" w:hanging="360" w:firstLineChars="0"/>
      </w:pPr>
      <w:r>
        <w:t>培训重点：先分层后随机、分层变量的真实准确、队列B M6微生物学Hard Gate判定与随机化边界、信息隔离要素执行、随机系统操作与审计追踪。</w:t>
      </w:r>
    </w:p>
    <w:p w14:paraId="40234472">
      <w:pPr>
        <w:pStyle w:val="19"/>
        <w:widowControl/>
        <w:numPr>
          <w:ilvl w:val="0"/>
          <w:numId w:val="27"/>
        </w:numPr>
        <w:ind w:left="360" w:leftChars="0" w:hanging="360" w:firstLineChars="0"/>
      </w:pPr>
      <w:r>
        <w:t>监查重点：随机前条件是否满足、关键字段是否锁定、是否存在选择偏倚风险、随机/分配记录是否完整可追溯。</w:t>
      </w:r>
    </w:p>
    <w:p w14:paraId="4332CFB5">
      <w:pPr>
        <w:pStyle w:val="19"/>
        <w:widowControl/>
        <w:numPr>
          <w:ilvl w:val="0"/>
          <w:numId w:val="27"/>
        </w:numPr>
        <w:ind w:left="360" w:leftChars="0" w:hanging="360" w:firstLineChars="0"/>
      </w:pPr>
      <w:r>
        <w:t>持续改进：对重复发生的误随机/录入错误，需开展根因分析（RCA）并更新培训与系统校验规则。</w:t>
      </w:r>
    </w:p>
    <w:p w14:paraId="030E741E">
      <w:pPr>
        <w:pStyle w:val="166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参考文件</w:t>
      </w:r>
    </w:p>
    <w:p w14:paraId="7D23295D">
      <w:pPr>
        <w:pStyle w:val="165"/>
        <w:widowControl/>
        <w:numPr>
          <w:ilvl w:val="0"/>
          <w:numId w:val="28"/>
        </w:numPr>
        <w:ind w:left="360" w:leftChars="0" w:hanging="360" w:firstLineChars="0"/>
      </w:pPr>
      <w:r>
        <w:t>TDSC研究方案 V2.0（2026-02-28）。</w:t>
      </w:r>
    </w:p>
    <w:p w14:paraId="06A5DC84">
      <w:pPr>
        <w:pStyle w:val="165"/>
        <w:widowControl/>
        <w:numPr>
          <w:ilvl w:val="0"/>
          <w:numId w:val="28"/>
        </w:numPr>
        <w:ind w:left="360" w:leftChars="0" w:hanging="360" w:firstLineChars="0"/>
      </w:pPr>
      <w:r>
        <w:t>TDSC项目统计服务SOW—项目特异条款（含随机化规格书要求、盲态/信息隔离策略等）。</w:t>
      </w:r>
    </w:p>
    <w:p w14:paraId="182FD68C">
      <w:pPr>
        <w:pStyle w:val="165"/>
        <w:widowControl/>
        <w:numPr>
          <w:ilvl w:val="0"/>
          <w:numId w:val="28"/>
        </w:numPr>
        <w:ind w:left="360" w:leftChars="0" w:hanging="360" w:firstLineChars="0"/>
      </w:pPr>
      <w:r>
        <w:t>SOP01：患者分层工具包（Patient Stratification Toolkit）。</w:t>
      </w:r>
    </w:p>
    <w:p w14:paraId="44B46867">
      <w:pPr>
        <w:pStyle w:val="165"/>
        <w:widowControl/>
        <w:numPr>
          <w:ilvl w:val="0"/>
          <w:numId w:val="28"/>
        </w:numPr>
        <w:ind w:left="360" w:leftChars="0" w:hanging="360" w:firstLineChars="0"/>
      </w:pPr>
      <w:r>
        <w:t>SOP02：队列B微生物学Hard Gate评估与M6随机化资格判定（Microbiological Hard Gate at M6）。</w:t>
      </w:r>
    </w:p>
    <w:p w14:paraId="2C8DA2B0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项目组织架构与管理办法（CEC/DMC职责与工作机制）。</w:t>
      </w:r>
    </w:p>
    <w:p w14:paraId="186DB4BF">
      <w:pPr>
        <w:pStyle w:val="164"/>
        <w:widowControl/>
      </w:pPr>
      <w:r>
        <w:t>附录A. 队列A基线随机化检查清单（示例）</w:t>
      </w:r>
    </w:p>
    <w:p w14:paraId="32337856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□ 已签署ICF；□ 完成基线风险分层且为低风险；□ 已排除耐药并满足入组；</w:t>
      </w:r>
    </w:p>
    <w:p w14:paraId="0EB72067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□ 随机分层变量已核对并锁定；□ 在EDC/IRT中成功随机并生成随机编号；</w:t>
      </w:r>
    </w:p>
    <w:p w14:paraId="4236113F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□ eCRF已写入分配结果；□ 随机日志已留存；□ 已按组别启动治疗与宣教。</w:t>
      </w:r>
    </w:p>
    <w:p w14:paraId="73BA6ACA">
      <w:pPr>
        <w:pStyle w:val="164"/>
        <w:widowControl/>
      </w:pPr>
      <w:r>
        <w:t>附录B. 队列B M6 Hard Gate达标者随机化检查清单（示例）</w:t>
      </w:r>
    </w:p>
    <w:p w14:paraId="10B64AE7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□ 已完成Hard Gate评估（SOP02）；□ M6前4个月内≥2次培养阴性且两次间隔≥7天；</w:t>
      </w:r>
    </w:p>
    <w:p w14:paraId="60F00663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□ 自M4起至随机前无培养再阳性（污染/NTM已排除）；□ 标本与结果可评价（无法可评价培养=不达标，不随机）；</w:t>
      </w:r>
    </w:p>
    <w:p w14:paraId="0955FA92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□ HbA1c分层变量已锁定；□ 其他随机分层变量已锁定（按《随机化规格书》）；</w:t>
      </w:r>
    </w:p>
    <w:p w14:paraId="06DEBD0D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□ 成功随机（停药 vs 继续）；□ eCRF与随机日志记录完整；□ 已执行停药/继续方案并完成宣教。</w:t>
      </w:r>
    </w:p>
    <w:p w14:paraId="44E34324">
      <w:pPr>
        <w:pStyle w:val="164"/>
        <w:widowControl/>
      </w:pPr>
      <w:r>
        <w:t>附录C. 受控查看/揭盲记录要点（模板要素）</w:t>
      </w:r>
    </w:p>
    <w:p w14:paraId="22EC3F80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受试者ID；中心；申请人；申请日期与时间；</w:t>
      </w:r>
    </w:p>
    <w:p w14:paraId="6D398B1B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拟查看信息类型（CT量化/中央阅片/影像AI/TB22/其他探索性结果）；触发原因与临床必要性说明；</w:t>
      </w:r>
    </w:p>
    <w:p w14:paraId="7DBD94D0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审批链（分中心PI→PMO/数据管理）；实际查看时间与操作者；查看结果摘要；</w:t>
      </w:r>
    </w:p>
    <w:p w14:paraId="158FB91F">
      <w:pPr>
        <w:pStyle w:val="19"/>
        <w:widowControl/>
        <w:numPr>
          <w:ilvl w:val="0"/>
          <w:numId w:val="28"/>
        </w:numPr>
        <w:ind w:left="360" w:leftChars="0" w:hanging="360" w:firstLineChars="0"/>
      </w:pPr>
      <w:r>
        <w:t>后续处置与是否构成偏离；对终点评估/统计分析影响的初步判断。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749E8"/>
    <w:multiLevelType w:val="singleLevel"/>
    <w:tmpl w:val="864749E8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1">
    <w:nsid w:val="9D1EFCE3"/>
    <w:multiLevelType w:val="singleLevel"/>
    <w:tmpl w:val="9D1EFCE3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A369A187"/>
    <w:multiLevelType w:val="singleLevel"/>
    <w:tmpl w:val="A369A187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3">
    <w:nsid w:val="ABF87BF9"/>
    <w:multiLevelType w:val="singleLevel"/>
    <w:tmpl w:val="ABF87BF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AC5C488C"/>
    <w:multiLevelType w:val="singleLevel"/>
    <w:tmpl w:val="AC5C488C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AD8E470E"/>
    <w:multiLevelType w:val="singleLevel"/>
    <w:tmpl w:val="AD8E470E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B60815A1"/>
    <w:multiLevelType w:val="singleLevel"/>
    <w:tmpl w:val="B60815A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C61218FF"/>
    <w:multiLevelType w:val="singleLevel"/>
    <w:tmpl w:val="C61218FF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C612BDB9"/>
    <w:multiLevelType w:val="singleLevel"/>
    <w:tmpl w:val="C612BDB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D30EAD62"/>
    <w:multiLevelType w:val="singleLevel"/>
    <w:tmpl w:val="D30EAD6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F05EC0A3"/>
    <w:multiLevelType w:val="singleLevel"/>
    <w:tmpl w:val="F05EC0A3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FF130D50"/>
    <w:multiLevelType w:val="singleLevel"/>
    <w:tmpl w:val="FF130D50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7">
    <w:nsid w:val="12BFA47A"/>
    <w:multiLevelType w:val="singleLevel"/>
    <w:tmpl w:val="12BFA47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8">
    <w:nsid w:val="1E41DD1B"/>
    <w:multiLevelType w:val="singleLevel"/>
    <w:tmpl w:val="1E41DD1B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9">
    <w:nsid w:val="235F1BB2"/>
    <w:multiLevelType w:val="singleLevel"/>
    <w:tmpl w:val="235F1BB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0">
    <w:nsid w:val="48C3C0DA"/>
    <w:multiLevelType w:val="singleLevel"/>
    <w:tmpl w:val="48C3C0DA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21">
    <w:nsid w:val="51D4190E"/>
    <w:multiLevelType w:val="singleLevel"/>
    <w:tmpl w:val="51D4190E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2">
    <w:nsid w:val="5DD677F2"/>
    <w:multiLevelType w:val="singleLevel"/>
    <w:tmpl w:val="5DD677F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3">
    <w:nsid w:val="5F358827"/>
    <w:multiLevelType w:val="singleLevel"/>
    <w:tmpl w:val="5F358827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4">
    <w:nsid w:val="64FD2DDD"/>
    <w:multiLevelType w:val="singleLevel"/>
    <w:tmpl w:val="64FD2DDD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5">
    <w:nsid w:val="752748CC"/>
    <w:multiLevelType w:val="singleLevel"/>
    <w:tmpl w:val="752748CC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6">
    <w:nsid w:val="7893E7DA"/>
    <w:multiLevelType w:val="singleLevel"/>
    <w:tmpl w:val="7893E7D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7">
    <w:nsid w:val="7E244421"/>
    <w:multiLevelType w:val="singleLevel"/>
    <w:tmpl w:val="7E244421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3"/>
  </w:num>
  <w:num w:numId="2">
    <w:abstractNumId w:val="16"/>
  </w:num>
  <w:num w:numId="3">
    <w:abstractNumId w:val="24"/>
  </w:num>
  <w:num w:numId="4">
    <w:abstractNumId w:val="14"/>
  </w:num>
  <w:num w:numId="5">
    <w:abstractNumId w:val="12"/>
  </w:num>
  <w:num w:numId="6">
    <w:abstractNumId w:val="15"/>
  </w:num>
  <w:num w:numId="7">
    <w:abstractNumId w:val="6"/>
  </w:num>
  <w:num w:numId="8">
    <w:abstractNumId w:val="7"/>
  </w:num>
  <w:num w:numId="9">
    <w:abstractNumId w:val="5"/>
  </w:num>
  <w:num w:numId="10">
    <w:abstractNumId w:val="26"/>
  </w:num>
  <w:num w:numId="11">
    <w:abstractNumId w:val="11"/>
  </w:num>
  <w:num w:numId="12">
    <w:abstractNumId w:val="10"/>
  </w:num>
  <w:num w:numId="13">
    <w:abstractNumId w:val="3"/>
  </w:num>
  <w:num w:numId="14">
    <w:abstractNumId w:val="25"/>
  </w:num>
  <w:num w:numId="15">
    <w:abstractNumId w:val="2"/>
  </w:num>
  <w:num w:numId="16">
    <w:abstractNumId w:val="18"/>
  </w:num>
  <w:num w:numId="17">
    <w:abstractNumId w:val="0"/>
  </w:num>
  <w:num w:numId="18">
    <w:abstractNumId w:val="4"/>
  </w:num>
  <w:num w:numId="19">
    <w:abstractNumId w:val="27"/>
  </w:num>
  <w:num w:numId="20">
    <w:abstractNumId w:val="23"/>
  </w:num>
  <w:num w:numId="21">
    <w:abstractNumId w:val="19"/>
  </w:num>
  <w:num w:numId="22">
    <w:abstractNumId w:val="8"/>
  </w:num>
  <w:num w:numId="23">
    <w:abstractNumId w:val="20"/>
  </w:num>
  <w:num w:numId="24">
    <w:abstractNumId w:val="17"/>
  </w:num>
  <w:num w:numId="25">
    <w:abstractNumId w:val="1"/>
  </w:num>
  <w:num w:numId="26">
    <w:abstractNumId w:val="9"/>
  </w:num>
  <w:num w:numId="27">
    <w:abstractNumId w:val="21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E6181D"/>
    <w:rsid w:val="07514046"/>
    <w:rsid w:val="0CDD441D"/>
    <w:rsid w:val="1230601B"/>
    <w:rsid w:val="1EC56CC9"/>
    <w:rsid w:val="2B710DDE"/>
    <w:rsid w:val="3B230344"/>
    <w:rsid w:val="42D77C69"/>
    <w:rsid w:val="539F167B"/>
    <w:rsid w:val="7EEA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qFormat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paragraph" w:customStyle="1" w:styleId="165">
    <w:name w:val="参考文献条目"/>
    <w:next w:val="1"/>
    <w:qFormat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bidi="ar-SA"/>
    </w:rPr>
  </w:style>
  <w:style w:type="paragraph" w:customStyle="1" w:styleId="166">
    <w:name w:val="参考文献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b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5009</Words>
  <Characters>5863</Characters>
  <Lines>0</Lines>
  <Paragraphs>0</Paragraphs>
  <TotalTime>11</TotalTime>
  <ScaleCrop>false</ScaleCrop>
  <LinksUpToDate>false</LinksUpToDate>
  <CharactersWithSpaces>5954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2026-03-19T09:07:35Z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eyJoZGlkIjoiZGQxYWVjOGUyMzZjNWRhOTA0ZjJhNWQ1ODFkOGE1ZDkiLCJ1c2VySWQiOiIyMDkyMjY1MzMifQ==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43BC4CB082E649E5A5F8A96297E9A922_12</vt:lpwstr>
  </property>
</Properties>
</file>