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DA4B0">
      <w:pPr>
        <w:jc w:val="center"/>
      </w:pPr>
      <w:r>
        <w:rPr>
          <w:rFonts w:ascii="微软雅黑" w:hAnsi="微软雅黑" w:eastAsia="微软雅黑"/>
          <w:b/>
          <w:sz w:val="44"/>
        </w:rPr>
        <w:t>TDSC 研究标准操作规程（SOP）</w:t>
      </w:r>
    </w:p>
    <w:p w14:paraId="77E80EF0"/>
    <w:p w14:paraId="519F9B48">
      <w:pPr>
        <w:jc w:val="center"/>
      </w:pPr>
      <w:r>
        <w:rPr>
          <w:rFonts w:ascii="微软雅黑" w:hAnsi="微软雅黑" w:eastAsia="微软雅黑"/>
          <w:b/>
          <w:sz w:val="36"/>
        </w:rPr>
        <w:t>SOP0</w:t>
      </w:r>
      <w:r>
        <w:rPr>
          <w:rFonts w:hint="eastAsia" w:eastAsia="微软雅黑"/>
          <w:b/>
          <w:sz w:val="36"/>
          <w:lang w:val="en-US" w:eastAsia="zh-CN"/>
        </w:rPr>
        <w:t>7</w:t>
      </w:r>
      <w:bookmarkStart w:id="0" w:name="_GoBack"/>
      <w:bookmarkEnd w:id="0"/>
      <w:r>
        <w:rPr>
          <w:rFonts w:ascii="微软雅黑" w:hAnsi="微软雅黑" w:eastAsia="微软雅黑"/>
          <w:b/>
          <w:sz w:val="36"/>
        </w:rPr>
        <w:t>：研究药物：药物组合与药物剂量表</w:t>
      </w:r>
    </w:p>
    <w:p w14:paraId="094B15C0">
      <w:pPr>
        <w:jc w:val="center"/>
      </w:pPr>
      <w:r>
        <w:rPr>
          <w:rFonts w:ascii="Calibri" w:hAnsi="Calibri"/>
          <w:sz w:val="24"/>
        </w:rPr>
        <w:t>Regimens &amp; Dosing Table</w:t>
      </w:r>
    </w:p>
    <w:p w14:paraId="5CF1751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141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137951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受控文件编号</w:t>
            </w:r>
          </w:p>
        </w:tc>
        <w:tc>
          <w:tcPr>
            <w:tcW w:w="4873" w:type="dxa"/>
            <w:vAlign w:val="center"/>
          </w:tcPr>
          <w:p w14:paraId="11AB4B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TDSC-SOP-03</w:t>
            </w:r>
          </w:p>
        </w:tc>
      </w:tr>
      <w:tr w14:paraId="1A26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33736E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版本</w:t>
            </w:r>
          </w:p>
        </w:tc>
        <w:tc>
          <w:tcPr>
            <w:tcW w:w="4873" w:type="dxa"/>
            <w:vAlign w:val="center"/>
          </w:tcPr>
          <w:p w14:paraId="3127572F">
            <w:pPr>
              <w:spacing w:after="0" w:line="240" w:lineRule="auto"/>
            </w:pPr>
            <w:r>
              <w:t>V1.1</w:t>
            </w:r>
          </w:p>
        </w:tc>
      </w:tr>
      <w:tr w14:paraId="1E6C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3B3490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生效日期</w:t>
            </w:r>
          </w:p>
        </w:tc>
        <w:tc>
          <w:tcPr>
            <w:tcW w:w="4873" w:type="dxa"/>
            <w:vAlign w:val="center"/>
          </w:tcPr>
          <w:p w14:paraId="728947D9">
            <w:pPr>
              <w:spacing w:after="0" w:line="240" w:lineRule="auto"/>
            </w:pPr>
            <w:r>
              <w:t>2026-03-04</w:t>
            </w:r>
          </w:p>
        </w:tc>
      </w:tr>
      <w:tr w14:paraId="6F12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0E1B75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适用研究</w:t>
            </w:r>
          </w:p>
        </w:tc>
        <w:tc>
          <w:tcPr>
            <w:tcW w:w="4873" w:type="dxa"/>
            <w:vAlign w:val="center"/>
          </w:tcPr>
          <w:p w14:paraId="24BC3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TDSC（TB-Diabetes Short Course）Study</w:t>
            </w:r>
          </w:p>
        </w:tc>
      </w:tr>
      <w:tr w14:paraId="53D2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56B1A5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对应研究方案</w:t>
            </w:r>
          </w:p>
        </w:tc>
        <w:tc>
          <w:tcPr>
            <w:tcW w:w="4873" w:type="dxa"/>
            <w:vAlign w:val="center"/>
          </w:tcPr>
          <w:p w14:paraId="513E3ED7">
            <w:pPr>
              <w:spacing w:after="0" w:line="240" w:lineRule="auto"/>
            </w:pPr>
            <w:r>
              <w:t>TDSC 研究方案 V2.0（2026-02-28）</w:t>
            </w:r>
          </w:p>
        </w:tc>
      </w:tr>
      <w:tr w14:paraId="255A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1464B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起草</w:t>
            </w:r>
          </w:p>
        </w:tc>
        <w:tc>
          <w:tcPr>
            <w:tcW w:w="4873" w:type="dxa"/>
            <w:vAlign w:val="center"/>
          </w:tcPr>
          <w:p w14:paraId="1268A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  <w:tr w14:paraId="737A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15CA7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审核</w:t>
            </w:r>
          </w:p>
        </w:tc>
        <w:tc>
          <w:tcPr>
            <w:tcW w:w="4873" w:type="dxa"/>
            <w:vAlign w:val="center"/>
          </w:tcPr>
          <w:p w14:paraId="7325A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  <w:tr w14:paraId="337C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4873" w:type="dxa"/>
            <w:vAlign w:val="center"/>
          </w:tcPr>
          <w:p w14:paraId="4F5D7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批准</w:t>
            </w:r>
          </w:p>
        </w:tc>
        <w:tc>
          <w:tcPr>
            <w:tcW w:w="4873" w:type="dxa"/>
            <w:vAlign w:val="center"/>
          </w:tcPr>
          <w:p w14:paraId="24457F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________________</w:t>
            </w:r>
          </w:p>
        </w:tc>
      </w:tr>
    </w:tbl>
    <w:p w14:paraId="5595CF9E"/>
    <w:p w14:paraId="39651A6B">
      <w:pPr>
        <w:pStyle w:val="3"/>
      </w:pPr>
      <w:r>
        <w:t>1. 目的</w:t>
      </w:r>
    </w:p>
    <w:p w14:paraId="31C6170A">
      <w:r>
        <w:t>建立并维护TDSC研究中各治疗臂（队列A/队列B）的研究药物组合与体重分层剂量表，作为发药、处方核对、EDC录入与质量控制的唯一依据，确保多中心用药一致性。</w:t>
      </w:r>
    </w:p>
    <w:p w14:paraId="3BB0D7E8">
      <w:pPr>
        <w:pStyle w:val="3"/>
      </w:pPr>
      <w:r>
        <w:t>2. 适用范围</w:t>
      </w:r>
    </w:p>
    <w:p w14:paraId="011C86B1">
      <w:pPr>
        <w:pStyle w:val="16"/>
      </w:pPr>
      <w:r>
        <w:t>适用于TDSC研究所有分中心、所有受试者（队列A与队列B）。</w:t>
      </w:r>
    </w:p>
    <w:p w14:paraId="1BBED3F4">
      <w:pPr>
        <w:pStyle w:val="16"/>
      </w:pPr>
      <w:r>
        <w:t>覆盖研究药物方案代码、疗程结构（强化期/巩固期）以及按体重分层的每日剂量。</w:t>
      </w:r>
    </w:p>
    <w:p w14:paraId="6CB22115">
      <w:pPr>
        <w:pStyle w:val="16"/>
      </w:pPr>
      <w:r>
        <w:t>本SOP不替代具体服药方法与依从性管理要求（详见SOP04）；不良反应处置与剂量调整遵循SOP10。</w:t>
      </w:r>
    </w:p>
    <w:p w14:paraId="0C61870E">
      <w:pPr>
        <w:pStyle w:val="3"/>
      </w:pPr>
      <w:r>
        <w:t>3. 术语与缩略语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30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C3D6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缩写</w:t>
            </w:r>
          </w:p>
        </w:tc>
        <w:tc>
          <w:tcPr>
            <w:tcW w:w="3249" w:type="dxa"/>
            <w:vAlign w:val="center"/>
          </w:tcPr>
          <w:p w14:paraId="42AF1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中文/英文</w:t>
            </w:r>
          </w:p>
        </w:tc>
        <w:tc>
          <w:tcPr>
            <w:tcW w:w="3249" w:type="dxa"/>
            <w:vAlign w:val="center"/>
          </w:tcPr>
          <w:p w14:paraId="3EF72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F90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2A984D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</w:t>
            </w:r>
          </w:p>
        </w:tc>
        <w:tc>
          <w:tcPr>
            <w:tcW w:w="3249" w:type="dxa"/>
            <w:vAlign w:val="center"/>
          </w:tcPr>
          <w:p w14:paraId="612A5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异烟肼 / Isoniazid</w:t>
            </w:r>
          </w:p>
        </w:tc>
        <w:tc>
          <w:tcPr>
            <w:tcW w:w="3249" w:type="dxa"/>
            <w:vAlign w:val="center"/>
          </w:tcPr>
          <w:p w14:paraId="23C22B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300 mg qd（见剂量表）</w:t>
            </w:r>
          </w:p>
        </w:tc>
      </w:tr>
      <w:tr w14:paraId="470E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A431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RIF / R</w:t>
            </w:r>
          </w:p>
        </w:tc>
        <w:tc>
          <w:tcPr>
            <w:tcW w:w="3249" w:type="dxa"/>
            <w:vAlign w:val="center"/>
          </w:tcPr>
          <w:p w14:paraId="545A5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利福平 / Rifampin</w:t>
            </w:r>
          </w:p>
        </w:tc>
        <w:tc>
          <w:tcPr>
            <w:tcW w:w="3249" w:type="dxa"/>
            <w:vAlign w:val="center"/>
          </w:tcPr>
          <w:p w14:paraId="368ECB5B">
            <w:pPr>
              <w:spacing w:after="0" w:line="240" w:lineRule="auto"/>
            </w:pPr>
            <w:r>
              <w:t>用于HRZE/HR方案；按体重分层450或600 mg qd（见剂量表）。</w:t>
            </w:r>
          </w:p>
        </w:tc>
      </w:tr>
      <w:tr w14:paraId="46CA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7FA2CA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RPT / P</w:t>
            </w:r>
          </w:p>
        </w:tc>
        <w:tc>
          <w:tcPr>
            <w:tcW w:w="3249" w:type="dxa"/>
            <w:vAlign w:val="center"/>
          </w:tcPr>
          <w:p w14:paraId="2EC965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利福喷丁 / Rifapentine</w:t>
            </w:r>
          </w:p>
        </w:tc>
        <w:tc>
          <w:tcPr>
            <w:tcW w:w="3249" w:type="dxa"/>
            <w:vAlign w:val="center"/>
          </w:tcPr>
          <w:p w14:paraId="40DAB8D7">
            <w:pPr>
              <w:spacing w:after="0" w:line="240" w:lineRule="auto"/>
            </w:pPr>
            <w:r>
              <w:t>用于HPMZ/HPM方案；按体重分层实现A1（目标20 mg/kg/日）或A2（目标15 mg/kg/日）剂量，qd（最高1200 mg/日，见剂量表）。</w:t>
            </w:r>
          </w:p>
        </w:tc>
      </w:tr>
      <w:tr w14:paraId="1497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</w:tcPr>
          <w:p w14:paraId="114BD07D">
            <w:pPr>
              <w:spacing w:after="0" w:line="240" w:lineRule="auto"/>
            </w:pPr>
          </w:p>
        </w:tc>
        <w:tc>
          <w:tcPr>
            <w:tcW w:w="3249" w:type="dxa"/>
          </w:tcPr>
          <w:p w14:paraId="12A447FA">
            <w:pPr>
              <w:spacing w:after="0" w:line="240" w:lineRule="auto"/>
            </w:pPr>
          </w:p>
        </w:tc>
        <w:tc>
          <w:tcPr>
            <w:tcW w:w="3249" w:type="dxa"/>
          </w:tcPr>
          <w:p w14:paraId="1C5CCE58">
            <w:pPr>
              <w:spacing w:after="0" w:line="240" w:lineRule="auto"/>
            </w:pPr>
          </w:p>
        </w:tc>
      </w:tr>
      <w:tr w14:paraId="1057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D6471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MFX / M</w:t>
            </w:r>
          </w:p>
        </w:tc>
        <w:tc>
          <w:tcPr>
            <w:tcW w:w="3249" w:type="dxa"/>
            <w:vAlign w:val="center"/>
          </w:tcPr>
          <w:p w14:paraId="2AAF3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莫西沙星 / Moxifloxacin</w:t>
            </w:r>
          </w:p>
        </w:tc>
        <w:tc>
          <w:tcPr>
            <w:tcW w:w="3249" w:type="dxa"/>
            <w:vAlign w:val="center"/>
          </w:tcPr>
          <w:p w14:paraId="51A98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400 mg qd</w:t>
            </w:r>
          </w:p>
        </w:tc>
      </w:tr>
      <w:tr w14:paraId="7A8D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028D168">
            <w:pPr>
              <w:spacing w:after="0" w:line="240" w:lineRule="auto"/>
            </w:pPr>
            <w:r>
              <w:t>EMB / E</w:t>
            </w:r>
          </w:p>
        </w:tc>
        <w:tc>
          <w:tcPr>
            <w:tcW w:w="3249" w:type="dxa"/>
            <w:vAlign w:val="center"/>
          </w:tcPr>
          <w:p w14:paraId="070C063A">
            <w:pPr>
              <w:spacing w:after="0" w:line="240" w:lineRule="auto"/>
            </w:pPr>
            <w:r>
              <w:t>乙胺丁醇 / Ethambutol</w:t>
            </w:r>
          </w:p>
        </w:tc>
        <w:tc>
          <w:tcPr>
            <w:tcW w:w="3249" w:type="dxa"/>
            <w:vAlign w:val="center"/>
          </w:tcPr>
          <w:p w14:paraId="32C2C866">
            <w:pPr>
              <w:spacing w:after="0" w:line="240" w:lineRule="auto"/>
            </w:pPr>
            <w:r>
              <w:t>用于HRZE强化期；按体重分层qd（见剂量表）；需至少每月视力监测，疑似视神经病变立即停E并按SOP10记录为AESI。</w:t>
            </w:r>
          </w:p>
        </w:tc>
      </w:tr>
      <w:tr w14:paraId="04E2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757BA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B6</w:t>
            </w:r>
          </w:p>
        </w:tc>
        <w:tc>
          <w:tcPr>
            <w:tcW w:w="3249" w:type="dxa"/>
            <w:vAlign w:val="center"/>
          </w:tcPr>
          <w:p w14:paraId="1EE8D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维生素B6 / Pyridoxine</w:t>
            </w:r>
          </w:p>
        </w:tc>
        <w:tc>
          <w:tcPr>
            <w:tcW w:w="3249" w:type="dxa"/>
            <w:vAlign w:val="center"/>
          </w:tcPr>
          <w:p w14:paraId="1766FF9B">
            <w:pPr>
              <w:spacing w:after="0" w:line="240" w:lineRule="auto"/>
            </w:pPr>
            <w:r>
              <w:t>30 mg qd，全疗程常规补充（用于周围神经症状预防/支持，详见SOP10）。</w:t>
            </w:r>
          </w:p>
        </w:tc>
      </w:tr>
      <w:tr w14:paraId="37F5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EC32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HPMZ</w:t>
            </w:r>
          </w:p>
        </w:tc>
        <w:tc>
          <w:tcPr>
            <w:tcW w:w="3249" w:type="dxa"/>
            <w:vAlign w:val="center"/>
          </w:tcPr>
          <w:p w14:paraId="7BBF9C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利福喷丁+莫西沙星+异烟肼+吡嗪酰胺</w:t>
            </w:r>
          </w:p>
        </w:tc>
        <w:tc>
          <w:tcPr>
            <w:tcW w:w="3249" w:type="dxa"/>
            <w:vAlign w:val="center"/>
          </w:tcPr>
          <w:p w14:paraId="2FC82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强化期组合（队列A试验组）</w:t>
            </w:r>
          </w:p>
        </w:tc>
      </w:tr>
      <w:tr w14:paraId="0FDA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70ED899">
            <w:pPr>
              <w:spacing w:after="0" w:line="240" w:lineRule="auto"/>
            </w:pPr>
            <w:r>
              <w:t>HRZE/HR</w:t>
            </w:r>
          </w:p>
        </w:tc>
        <w:tc>
          <w:tcPr>
            <w:tcW w:w="3249" w:type="dxa"/>
            <w:vAlign w:val="center"/>
          </w:tcPr>
          <w:p w14:paraId="149397C1">
            <w:pPr>
              <w:spacing w:after="0" w:line="240" w:lineRule="auto"/>
            </w:pPr>
            <w:r>
              <w:t>异烟肼+利福平+吡嗪酰胺+乙胺丁醇 / 异烟肼+利福平</w:t>
            </w:r>
          </w:p>
        </w:tc>
        <w:tc>
          <w:tcPr>
            <w:tcW w:w="3249" w:type="dxa"/>
            <w:vAlign w:val="center"/>
          </w:tcPr>
          <w:p w14:paraId="59DB7934">
            <w:pPr>
              <w:spacing w:after="0" w:line="240" w:lineRule="auto"/>
            </w:pPr>
            <w:r>
              <w:t>对照组与队列B方案（强化期含E；巩固期不含E）。</w:t>
            </w:r>
          </w:p>
        </w:tc>
      </w:tr>
    </w:tbl>
    <w:p w14:paraId="0D252F03"/>
    <w:p w14:paraId="181C96C0">
      <w:pPr>
        <w:pStyle w:val="3"/>
      </w:pPr>
      <w:r>
        <w:t>4. 职责分工</w:t>
      </w:r>
    </w:p>
    <w:p w14:paraId="560AB5A7">
      <w:pPr>
        <w:pStyle w:val="16"/>
      </w:pPr>
      <w:r>
        <w:t>研究者/研究医生：确认受试者治疗臂与疗程阶段；按本SOP开立处方并进行处方核对；必要时依据SOP10进行剂量调整/停药与记录。</w:t>
      </w:r>
    </w:p>
    <w:p w14:paraId="3E5EABC0">
      <w:pPr>
        <w:pStyle w:val="16"/>
      </w:pPr>
      <w:r>
        <w:t>CRC：核对受试者体重与体重分层；核对处方与发药一致性；完成EDC/纸质记录。</w:t>
      </w:r>
    </w:p>
    <w:p w14:paraId="058EA3DA">
      <w:pPr>
        <w:pStyle w:val="16"/>
      </w:pPr>
      <w:r>
        <w:t>药师/发药人员：按本SOP剂量表发放研究药物；核对方案代码、体重分层与剂量；完成药物台账与回收记录。</w:t>
      </w:r>
    </w:p>
    <w:p w14:paraId="474EDC0A">
      <w:pPr>
        <w:pStyle w:val="16"/>
      </w:pPr>
      <w:r>
        <w:t>数据管理：维护EDC字段与逻辑核查（体重分层、剂量范围）；定期出具跨中心一致性核查报表。</w:t>
      </w:r>
    </w:p>
    <w:p w14:paraId="47C4523F">
      <w:pPr>
        <w:pStyle w:val="3"/>
      </w:pPr>
      <w:r>
        <w:t>5. 药物方案概览</w:t>
      </w:r>
    </w:p>
    <w:p w14:paraId="078B0197">
      <w:pPr>
        <w:pStyle w:val="4"/>
      </w:pPr>
      <w:r>
        <w:t>5.1 队列A（Cohort A）药物方案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3216"/>
        <w:gridCol w:w="1658"/>
        <w:gridCol w:w="1781"/>
        <w:gridCol w:w="1745"/>
      </w:tblGrid>
      <w:tr w14:paraId="66BD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1791D1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组别</w:t>
            </w:r>
          </w:p>
        </w:tc>
        <w:tc>
          <w:tcPr>
            <w:tcW w:w="1949" w:type="dxa"/>
            <w:vAlign w:val="center"/>
          </w:tcPr>
          <w:p w14:paraId="7F2AAB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组别/方案</w:t>
            </w:r>
          </w:p>
        </w:tc>
        <w:tc>
          <w:tcPr>
            <w:tcW w:w="1949" w:type="dxa"/>
            <w:vAlign w:val="center"/>
          </w:tcPr>
          <w:p w14:paraId="02E41C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治疗时长（月）</w:t>
            </w:r>
          </w:p>
        </w:tc>
        <w:tc>
          <w:tcPr>
            <w:tcW w:w="1949" w:type="dxa"/>
            <w:vAlign w:val="center"/>
          </w:tcPr>
          <w:p w14:paraId="56894B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强化期</w:t>
            </w:r>
          </w:p>
        </w:tc>
        <w:tc>
          <w:tcPr>
            <w:tcW w:w="1949" w:type="dxa"/>
            <w:vAlign w:val="center"/>
          </w:tcPr>
          <w:p w14:paraId="747C8A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巩固期</w:t>
            </w:r>
          </w:p>
        </w:tc>
      </w:tr>
      <w:tr w14:paraId="7687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772B9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A1</w:t>
            </w:r>
          </w:p>
        </w:tc>
        <w:tc>
          <w:tcPr>
            <w:tcW w:w="1949" w:type="dxa"/>
            <w:vAlign w:val="center"/>
          </w:tcPr>
          <w:p w14:paraId="4CDD09A9">
            <w:pPr>
              <w:spacing w:after="0" w:line="240" w:lineRule="auto"/>
            </w:pPr>
            <w:r>
              <w:t>试验组 1（2HP1200MZ/2HP1200M；方案标签为缩写）</w:t>
            </w:r>
          </w:p>
        </w:tc>
        <w:tc>
          <w:tcPr>
            <w:tcW w:w="1949" w:type="dxa"/>
            <w:vAlign w:val="center"/>
          </w:tcPr>
          <w:p w14:paraId="252C5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1949" w:type="dxa"/>
            <w:vAlign w:val="center"/>
          </w:tcPr>
          <w:p w14:paraId="6ECD7E28">
            <w:pPr>
              <w:spacing w:after="0" w:line="240" w:lineRule="auto"/>
            </w:pPr>
            <w:r>
              <w:t>2 个月：H + 利福喷丁（目标20 mg/kg/日；体重分层；最高1200 mg/日）+ M + Z（HPMZ）</w:t>
            </w:r>
          </w:p>
        </w:tc>
        <w:tc>
          <w:tcPr>
            <w:tcW w:w="1949" w:type="dxa"/>
            <w:vAlign w:val="center"/>
          </w:tcPr>
          <w:p w14:paraId="182D2BBB">
            <w:pPr>
              <w:spacing w:after="0" w:line="240" w:lineRule="auto"/>
            </w:pPr>
            <w:r>
              <w:t>2 个月：H + 利福喷丁（同上）+ M（HPM）</w:t>
            </w:r>
          </w:p>
        </w:tc>
      </w:tr>
      <w:tr w14:paraId="4285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48AE6C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A2</w:t>
            </w:r>
          </w:p>
        </w:tc>
        <w:tc>
          <w:tcPr>
            <w:tcW w:w="1949" w:type="dxa"/>
            <w:vAlign w:val="center"/>
          </w:tcPr>
          <w:p w14:paraId="7B81E7DA">
            <w:pPr>
              <w:spacing w:after="0" w:line="240" w:lineRule="auto"/>
            </w:pPr>
            <w:r>
              <w:t>试验组 2（2HP900MZ/2HP900M；方案标签为缩写）</w:t>
            </w:r>
          </w:p>
        </w:tc>
        <w:tc>
          <w:tcPr>
            <w:tcW w:w="1949" w:type="dxa"/>
            <w:vAlign w:val="center"/>
          </w:tcPr>
          <w:p w14:paraId="767D43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4</w:t>
            </w:r>
          </w:p>
        </w:tc>
        <w:tc>
          <w:tcPr>
            <w:tcW w:w="1949" w:type="dxa"/>
            <w:vAlign w:val="center"/>
          </w:tcPr>
          <w:p w14:paraId="6CC2D143">
            <w:pPr>
              <w:spacing w:after="0" w:line="240" w:lineRule="auto"/>
            </w:pPr>
            <w:r>
              <w:t>2 个月：H + 利福喷丁（目标15 mg/kg/日；体重分层；最高1200 mg/日）+ M + Z（HPMZ）</w:t>
            </w:r>
          </w:p>
        </w:tc>
        <w:tc>
          <w:tcPr>
            <w:tcW w:w="1949" w:type="dxa"/>
            <w:vAlign w:val="center"/>
          </w:tcPr>
          <w:p w14:paraId="737EDECC">
            <w:pPr>
              <w:spacing w:after="0" w:line="240" w:lineRule="auto"/>
            </w:pPr>
            <w:r>
              <w:t>2 个月：H + 利福喷丁（同上）+ M（HPM）</w:t>
            </w:r>
          </w:p>
        </w:tc>
      </w:tr>
      <w:tr w14:paraId="0F5C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1D5EB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A3</w:t>
            </w:r>
          </w:p>
        </w:tc>
        <w:tc>
          <w:tcPr>
            <w:tcW w:w="1949" w:type="dxa"/>
            <w:vAlign w:val="center"/>
          </w:tcPr>
          <w:p w14:paraId="41F8CE0F">
            <w:pPr>
              <w:spacing w:after="0" w:line="240" w:lineRule="auto"/>
            </w:pPr>
            <w:r>
              <w:t>对照组（2HRZE/4HR）</w:t>
            </w:r>
          </w:p>
        </w:tc>
        <w:tc>
          <w:tcPr>
            <w:tcW w:w="1949" w:type="dxa"/>
            <w:vAlign w:val="center"/>
          </w:tcPr>
          <w:p w14:paraId="48814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w="1949" w:type="dxa"/>
            <w:vAlign w:val="center"/>
          </w:tcPr>
          <w:p w14:paraId="454AB79A">
            <w:pPr>
              <w:spacing w:after="0" w:line="240" w:lineRule="auto"/>
            </w:pPr>
            <w:r>
              <w:t>2 个月：H + R + Z + E（HRZE）</w:t>
            </w:r>
          </w:p>
        </w:tc>
        <w:tc>
          <w:tcPr>
            <w:tcW w:w="1949" w:type="dxa"/>
            <w:vAlign w:val="center"/>
          </w:tcPr>
          <w:p w14:paraId="10E4192B">
            <w:pPr>
              <w:spacing w:after="0" w:line="240" w:lineRule="auto"/>
            </w:pPr>
            <w:r>
              <w:t>4 个月：H + R（HR）</w:t>
            </w:r>
          </w:p>
        </w:tc>
      </w:tr>
    </w:tbl>
    <w:p w14:paraId="758D4367"/>
    <w:p w14:paraId="35DA5FE1">
      <w:r>
        <w:br w:type="page"/>
      </w:r>
    </w:p>
    <w:p w14:paraId="7D0E5CF5">
      <w:pPr>
        <w:pStyle w:val="4"/>
      </w:pPr>
      <w:r>
        <w:t>5.2 队列B（Cohort B）药物方案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E12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4DBC3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组别</w:t>
            </w:r>
          </w:p>
        </w:tc>
        <w:tc>
          <w:tcPr>
            <w:tcW w:w="1949" w:type="dxa"/>
            <w:vAlign w:val="center"/>
          </w:tcPr>
          <w:p w14:paraId="319288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组别/方案</w:t>
            </w:r>
          </w:p>
        </w:tc>
        <w:tc>
          <w:tcPr>
            <w:tcW w:w="1949" w:type="dxa"/>
            <w:vAlign w:val="center"/>
          </w:tcPr>
          <w:p w14:paraId="7C9CAA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治疗时长（月）</w:t>
            </w:r>
          </w:p>
        </w:tc>
        <w:tc>
          <w:tcPr>
            <w:tcW w:w="1949" w:type="dxa"/>
            <w:vAlign w:val="center"/>
          </w:tcPr>
          <w:p w14:paraId="15DB2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强化期</w:t>
            </w:r>
          </w:p>
        </w:tc>
        <w:tc>
          <w:tcPr>
            <w:tcW w:w="1949" w:type="dxa"/>
            <w:vAlign w:val="center"/>
          </w:tcPr>
          <w:p w14:paraId="03CC8F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巩固期</w:t>
            </w:r>
          </w:p>
        </w:tc>
      </w:tr>
      <w:tr w14:paraId="42D9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17F6E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B1</w:t>
            </w:r>
          </w:p>
        </w:tc>
        <w:tc>
          <w:tcPr>
            <w:tcW w:w="1949" w:type="dxa"/>
            <w:vAlign w:val="center"/>
          </w:tcPr>
          <w:p w14:paraId="6165C771">
            <w:pPr>
              <w:spacing w:after="0" w:line="240" w:lineRule="auto"/>
            </w:pPr>
            <w:r>
              <w:t>短程组（2HRZE/4HR；队列B M6随机前统一治疗）</w:t>
            </w:r>
          </w:p>
        </w:tc>
        <w:tc>
          <w:tcPr>
            <w:tcW w:w="1949" w:type="dxa"/>
            <w:vAlign w:val="center"/>
          </w:tcPr>
          <w:p w14:paraId="16D57F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6</w:t>
            </w:r>
          </w:p>
        </w:tc>
        <w:tc>
          <w:tcPr>
            <w:tcW w:w="1949" w:type="dxa"/>
            <w:vAlign w:val="center"/>
          </w:tcPr>
          <w:p w14:paraId="11A6D4A7">
            <w:pPr>
              <w:spacing w:after="0" w:line="240" w:lineRule="auto"/>
            </w:pPr>
            <w:r>
              <w:t>2 个月：H + R + Z + E（HRZE）</w:t>
            </w:r>
          </w:p>
        </w:tc>
        <w:tc>
          <w:tcPr>
            <w:tcW w:w="1949" w:type="dxa"/>
            <w:vAlign w:val="center"/>
          </w:tcPr>
          <w:p w14:paraId="74D208E9">
            <w:pPr>
              <w:spacing w:after="0" w:line="240" w:lineRule="auto"/>
            </w:pPr>
            <w:r>
              <w:t>4 个月：H + R（HR）</w:t>
            </w:r>
          </w:p>
        </w:tc>
      </w:tr>
      <w:tr w14:paraId="52F4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74C65C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B2</w:t>
            </w:r>
          </w:p>
        </w:tc>
        <w:tc>
          <w:tcPr>
            <w:tcW w:w="1949" w:type="dxa"/>
            <w:vAlign w:val="center"/>
          </w:tcPr>
          <w:p w14:paraId="3800F776">
            <w:pPr>
              <w:spacing w:after="0" w:line="240" w:lineRule="auto"/>
            </w:pPr>
            <w:r>
              <w:t>延长组（2HRZE/7HR；队列B M6随机后继续治疗策略）</w:t>
            </w:r>
          </w:p>
        </w:tc>
        <w:tc>
          <w:tcPr>
            <w:tcW w:w="1949" w:type="dxa"/>
            <w:vAlign w:val="center"/>
          </w:tcPr>
          <w:p w14:paraId="19F82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9</w:t>
            </w:r>
          </w:p>
        </w:tc>
        <w:tc>
          <w:tcPr>
            <w:tcW w:w="1949" w:type="dxa"/>
            <w:vAlign w:val="center"/>
          </w:tcPr>
          <w:p w14:paraId="4A138347">
            <w:pPr>
              <w:spacing w:after="0" w:line="240" w:lineRule="auto"/>
            </w:pPr>
            <w:r>
              <w:t>2 个月：H + R + Z + E（HRZE）</w:t>
            </w:r>
          </w:p>
        </w:tc>
        <w:tc>
          <w:tcPr>
            <w:tcW w:w="1949" w:type="dxa"/>
            <w:vAlign w:val="center"/>
          </w:tcPr>
          <w:p w14:paraId="2585828E">
            <w:pPr>
              <w:spacing w:after="0" w:line="240" w:lineRule="auto"/>
            </w:pPr>
            <w:r>
              <w:t>7 个月：H + R（HR）</w:t>
            </w:r>
          </w:p>
        </w:tc>
      </w:tr>
    </w:tbl>
    <w:p w14:paraId="1CAFB65E"/>
    <w:p w14:paraId="660A28F2">
      <w:pPr>
        <w:pStyle w:val="3"/>
      </w:pPr>
      <w:r>
        <w:t>6. 剂量表与体重分层</w:t>
      </w:r>
    </w:p>
    <w:p w14:paraId="76A11E62">
      <w:pPr>
        <w:pStyle w:val="16"/>
      </w:pPr>
      <w:r>
        <w:t>利福喷丁每日一次，建议在进食后1小时内服用；具体服药方法与记录要求见SOP04。</w:t>
      </w:r>
    </w:p>
    <w:p w14:paraId="1EC4AA54">
      <w:pPr>
        <w:pStyle w:val="16"/>
      </w:pPr>
      <w:r>
        <w:t>维生素B6（30 mg）全疗程常规补充。</w:t>
      </w:r>
    </w:p>
    <w:p w14:paraId="1BBA59FB">
      <w:pPr>
        <w:pStyle w:val="16"/>
      </w:pPr>
      <w:r>
        <w:t>发药时应记录当次体重及对应体重分层，并据此选取剂量；如发生跨分层变化，应在EDC中更新并注明原因。</w:t>
      </w:r>
    </w:p>
    <w:p w14:paraId="19E34CB9">
      <w:pPr>
        <w:pStyle w:val="4"/>
      </w:pPr>
      <w:r>
        <w:t>剂量表（按体重分层）</w:t>
      </w:r>
    </w:p>
    <w:p w14:paraId="6EDA60E4">
      <w:r>
        <w:t>注：利福喷丁（Rifapentine, RPT）仅用于队列A试验组（A1/A2），并按体重分层实现臂特异目标剂量（A1=20 mg/kg/日；A2=15 mg/kg/日；最高1200 mg/日）。利福平（Rifampin, RIF）用于对照组（A3）及队列B。乙胺丁醇（Ethambutol, E）仅用于HRZE方案的强化期（前2个月），需至少每月视力监测，疑似视神经病变立即停E并按SOP10记录。利福喷丁每日一次，建议在进食后1小时内服用（详见SOP04）。维生素B6全疗程常规补充。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749"/>
        <w:gridCol w:w="744"/>
        <w:gridCol w:w="737"/>
        <w:gridCol w:w="744"/>
        <w:gridCol w:w="742"/>
        <w:gridCol w:w="744"/>
        <w:gridCol w:w="748"/>
        <w:gridCol w:w="748"/>
        <w:gridCol w:w="748"/>
        <w:gridCol w:w="748"/>
        <w:gridCol w:w="749"/>
        <w:gridCol w:w="749"/>
      </w:tblGrid>
      <w:tr w14:paraId="6E39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23195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体重（kg）</w:t>
            </w:r>
          </w:p>
        </w:tc>
        <w:tc>
          <w:tcPr>
            <w:tcW w:w="750" w:type="dxa"/>
            <w:vAlign w:val="center"/>
          </w:tcPr>
          <w:p w14:paraId="6EC1E6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≤41.2</w:t>
            </w:r>
          </w:p>
        </w:tc>
        <w:tc>
          <w:tcPr>
            <w:tcW w:w="750" w:type="dxa"/>
            <w:vAlign w:val="center"/>
          </w:tcPr>
          <w:p w14:paraId="7096DF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41.3-44.9</w:t>
            </w:r>
          </w:p>
        </w:tc>
        <w:tc>
          <w:tcPr>
            <w:tcW w:w="750" w:type="dxa"/>
            <w:vAlign w:val="center"/>
          </w:tcPr>
          <w:p w14:paraId="43AD80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45-48.7</w:t>
            </w:r>
          </w:p>
        </w:tc>
        <w:tc>
          <w:tcPr>
            <w:tcW w:w="750" w:type="dxa"/>
            <w:vAlign w:val="center"/>
          </w:tcPr>
          <w:p w14:paraId="03DC85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48.8-49.9</w:t>
            </w:r>
          </w:p>
        </w:tc>
        <w:tc>
          <w:tcPr>
            <w:tcW w:w="750" w:type="dxa"/>
            <w:vAlign w:val="center"/>
          </w:tcPr>
          <w:p w14:paraId="4BD0B0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50-52.5</w:t>
            </w:r>
          </w:p>
        </w:tc>
        <w:tc>
          <w:tcPr>
            <w:tcW w:w="750" w:type="dxa"/>
            <w:vAlign w:val="center"/>
          </w:tcPr>
          <w:p w14:paraId="1927A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52.6-54.9</w:t>
            </w:r>
          </w:p>
        </w:tc>
        <w:tc>
          <w:tcPr>
            <w:tcW w:w="750" w:type="dxa"/>
            <w:vAlign w:val="center"/>
          </w:tcPr>
          <w:p w14:paraId="565193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55-56.2</w:t>
            </w:r>
          </w:p>
        </w:tc>
        <w:tc>
          <w:tcPr>
            <w:tcW w:w="750" w:type="dxa"/>
            <w:vAlign w:val="center"/>
          </w:tcPr>
          <w:p w14:paraId="6E080F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56.3-64.9</w:t>
            </w:r>
          </w:p>
        </w:tc>
        <w:tc>
          <w:tcPr>
            <w:tcW w:w="750" w:type="dxa"/>
            <w:vAlign w:val="center"/>
          </w:tcPr>
          <w:p w14:paraId="21FF5A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65-67.5</w:t>
            </w:r>
          </w:p>
        </w:tc>
        <w:tc>
          <w:tcPr>
            <w:tcW w:w="750" w:type="dxa"/>
            <w:vAlign w:val="center"/>
          </w:tcPr>
          <w:p w14:paraId="077619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67.6-70.9</w:t>
            </w:r>
          </w:p>
        </w:tc>
        <w:tc>
          <w:tcPr>
            <w:tcW w:w="750" w:type="dxa"/>
            <w:vAlign w:val="center"/>
          </w:tcPr>
          <w:p w14:paraId="415363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71.0-74.9</w:t>
            </w:r>
          </w:p>
        </w:tc>
        <w:tc>
          <w:tcPr>
            <w:tcW w:w="750" w:type="dxa"/>
            <w:vAlign w:val="center"/>
          </w:tcPr>
          <w:p w14:paraId="2AA442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≥75</w:t>
            </w:r>
          </w:p>
        </w:tc>
      </w:tr>
      <w:tr w14:paraId="2359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5277D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异烟肼（mg）</w:t>
            </w:r>
          </w:p>
        </w:tc>
        <w:tc>
          <w:tcPr>
            <w:tcW w:w="750" w:type="dxa"/>
            <w:vAlign w:val="center"/>
          </w:tcPr>
          <w:p w14:paraId="1C0D3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0FF428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063D5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5BD4F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5B11F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6790E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192752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41EDF7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3590A6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6B7712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52E724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  <w:tc>
          <w:tcPr>
            <w:tcW w:w="750" w:type="dxa"/>
            <w:vAlign w:val="center"/>
          </w:tcPr>
          <w:p w14:paraId="6C4773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300</w:t>
            </w:r>
          </w:p>
        </w:tc>
      </w:tr>
      <w:tr w14:paraId="519A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0" w:type="dxa"/>
            <w:gridSpan w:val="13"/>
            <w:vAlign w:val="center"/>
          </w:tcPr>
          <w:p w14:paraId="15D5DBCD">
            <w:pPr>
              <w:spacing w:after="0" w:line="240" w:lineRule="auto"/>
            </w:pPr>
            <w:r>
              <w:t>队列A利福喷丁按体重分层给药（qd，最高1200 mg/日）：A1目标20 mg/kg/日；A2目标15 mg/kg/日；建议餐后1小时内服用。</w:t>
            </w:r>
          </w:p>
        </w:tc>
      </w:tr>
      <w:tr w14:paraId="3A6C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4E088A00">
            <w:pPr>
              <w:spacing w:after="0" w:line="240" w:lineRule="auto"/>
            </w:pPr>
            <w:r>
              <w:t>利福喷丁（15 mg/kg/日；Arm A2）</w:t>
            </w:r>
          </w:p>
        </w:tc>
        <w:tc>
          <w:tcPr>
            <w:tcW w:w="750" w:type="dxa"/>
            <w:vAlign w:val="center"/>
          </w:tcPr>
          <w:p w14:paraId="4E4701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539807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0B800F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  <w:tc>
          <w:tcPr>
            <w:tcW w:w="750" w:type="dxa"/>
            <w:vAlign w:val="center"/>
          </w:tcPr>
          <w:p w14:paraId="6EDC5A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  <w:tc>
          <w:tcPr>
            <w:tcW w:w="750" w:type="dxa"/>
            <w:vAlign w:val="center"/>
          </w:tcPr>
          <w:p w14:paraId="5A46D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  <w:tc>
          <w:tcPr>
            <w:tcW w:w="750" w:type="dxa"/>
            <w:vAlign w:val="center"/>
          </w:tcPr>
          <w:p w14:paraId="029804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  <w:tc>
          <w:tcPr>
            <w:tcW w:w="750" w:type="dxa"/>
            <w:vAlign w:val="center"/>
          </w:tcPr>
          <w:p w14:paraId="271B11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w="750" w:type="dxa"/>
            <w:vAlign w:val="center"/>
          </w:tcPr>
          <w:p w14:paraId="7BC5D8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w="750" w:type="dxa"/>
            <w:vAlign w:val="center"/>
          </w:tcPr>
          <w:p w14:paraId="3EFC5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2806DD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54CA4F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20D7C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</w:tr>
      <w:tr w14:paraId="7CAF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656F5997">
            <w:pPr>
              <w:spacing w:after="0" w:line="240" w:lineRule="auto"/>
            </w:pPr>
            <w:r>
              <w:t>利福喷丁（20 mg/kg/日；Arm A1）</w:t>
            </w:r>
          </w:p>
        </w:tc>
        <w:tc>
          <w:tcPr>
            <w:tcW w:w="750" w:type="dxa"/>
            <w:vAlign w:val="center"/>
          </w:tcPr>
          <w:p w14:paraId="58CF06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750</w:t>
            </w:r>
          </w:p>
        </w:tc>
        <w:tc>
          <w:tcPr>
            <w:tcW w:w="750" w:type="dxa"/>
            <w:vAlign w:val="center"/>
          </w:tcPr>
          <w:p w14:paraId="205DBE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w="750" w:type="dxa"/>
            <w:vAlign w:val="center"/>
          </w:tcPr>
          <w:p w14:paraId="7F101E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900</w:t>
            </w:r>
          </w:p>
        </w:tc>
        <w:tc>
          <w:tcPr>
            <w:tcW w:w="750" w:type="dxa"/>
            <w:vAlign w:val="center"/>
          </w:tcPr>
          <w:p w14:paraId="408E0F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25CA01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16323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237486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1050</w:t>
            </w:r>
          </w:p>
        </w:tc>
        <w:tc>
          <w:tcPr>
            <w:tcW w:w="750" w:type="dxa"/>
            <w:vAlign w:val="center"/>
          </w:tcPr>
          <w:p w14:paraId="5CF1EC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  <w:tc>
          <w:tcPr>
            <w:tcW w:w="750" w:type="dxa"/>
            <w:vAlign w:val="center"/>
          </w:tcPr>
          <w:p w14:paraId="096781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  <w:tc>
          <w:tcPr>
            <w:tcW w:w="750" w:type="dxa"/>
            <w:vAlign w:val="center"/>
          </w:tcPr>
          <w:p w14:paraId="3ABFDF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  <w:tc>
          <w:tcPr>
            <w:tcW w:w="750" w:type="dxa"/>
            <w:vAlign w:val="center"/>
          </w:tcPr>
          <w:p w14:paraId="7E131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  <w:tc>
          <w:tcPr>
            <w:tcW w:w="750" w:type="dxa"/>
            <w:vAlign w:val="center"/>
          </w:tcPr>
          <w:p w14:paraId="343A29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1200</w:t>
            </w:r>
          </w:p>
        </w:tc>
      </w:tr>
      <w:tr w14:paraId="5CB50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2EBFAF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利福平（mg）</w:t>
            </w:r>
          </w:p>
        </w:tc>
        <w:tc>
          <w:tcPr>
            <w:tcW w:w="750" w:type="dxa"/>
            <w:vAlign w:val="center"/>
          </w:tcPr>
          <w:p w14:paraId="360451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w="750" w:type="dxa"/>
            <w:vAlign w:val="center"/>
          </w:tcPr>
          <w:p w14:paraId="518B8D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w="750" w:type="dxa"/>
            <w:vAlign w:val="center"/>
          </w:tcPr>
          <w:p w14:paraId="4C6B05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w="750" w:type="dxa"/>
            <w:vAlign w:val="center"/>
          </w:tcPr>
          <w:p w14:paraId="7B2546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450</w:t>
            </w:r>
          </w:p>
        </w:tc>
        <w:tc>
          <w:tcPr>
            <w:tcW w:w="750" w:type="dxa"/>
            <w:vAlign w:val="center"/>
          </w:tcPr>
          <w:p w14:paraId="1BD56F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76873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3F1F8C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26C88D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1E9E94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419ED9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11B451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  <w:tc>
          <w:tcPr>
            <w:tcW w:w="750" w:type="dxa"/>
            <w:vAlign w:val="center"/>
          </w:tcPr>
          <w:p w14:paraId="472B79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600</w:t>
            </w:r>
          </w:p>
        </w:tc>
      </w:tr>
      <w:tr w14:paraId="048B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</w:tcPr>
          <w:p w14:paraId="2E578376">
            <w:pPr>
              <w:spacing w:after="0" w:line="240" w:lineRule="auto"/>
            </w:pPr>
          </w:p>
        </w:tc>
        <w:tc>
          <w:tcPr>
            <w:tcW w:w="750" w:type="dxa"/>
          </w:tcPr>
          <w:p w14:paraId="7B1FBF10">
            <w:pPr>
              <w:spacing w:after="0" w:line="240" w:lineRule="auto"/>
            </w:pPr>
          </w:p>
        </w:tc>
        <w:tc>
          <w:tcPr>
            <w:tcW w:w="750" w:type="dxa"/>
          </w:tcPr>
          <w:p w14:paraId="4D0947D5">
            <w:pPr>
              <w:spacing w:after="0" w:line="240" w:lineRule="auto"/>
            </w:pPr>
          </w:p>
        </w:tc>
        <w:tc>
          <w:tcPr>
            <w:tcW w:w="750" w:type="dxa"/>
          </w:tcPr>
          <w:p w14:paraId="62891AD1">
            <w:pPr>
              <w:spacing w:after="0" w:line="240" w:lineRule="auto"/>
            </w:pPr>
          </w:p>
        </w:tc>
        <w:tc>
          <w:tcPr>
            <w:tcW w:w="750" w:type="dxa"/>
          </w:tcPr>
          <w:p w14:paraId="1BBFD4D3">
            <w:pPr>
              <w:spacing w:after="0" w:line="240" w:lineRule="auto"/>
            </w:pPr>
          </w:p>
        </w:tc>
        <w:tc>
          <w:tcPr>
            <w:tcW w:w="750" w:type="dxa"/>
          </w:tcPr>
          <w:p w14:paraId="55751012">
            <w:pPr>
              <w:spacing w:after="0" w:line="240" w:lineRule="auto"/>
            </w:pPr>
          </w:p>
        </w:tc>
        <w:tc>
          <w:tcPr>
            <w:tcW w:w="750" w:type="dxa"/>
          </w:tcPr>
          <w:p w14:paraId="35A49B8E">
            <w:pPr>
              <w:spacing w:after="0" w:line="240" w:lineRule="auto"/>
            </w:pPr>
          </w:p>
        </w:tc>
        <w:tc>
          <w:tcPr>
            <w:tcW w:w="750" w:type="dxa"/>
          </w:tcPr>
          <w:p w14:paraId="299B9F9C">
            <w:pPr>
              <w:spacing w:after="0" w:line="240" w:lineRule="auto"/>
            </w:pPr>
          </w:p>
        </w:tc>
        <w:tc>
          <w:tcPr>
            <w:tcW w:w="750" w:type="dxa"/>
          </w:tcPr>
          <w:p w14:paraId="67282CB9">
            <w:pPr>
              <w:spacing w:after="0" w:line="240" w:lineRule="auto"/>
            </w:pPr>
          </w:p>
        </w:tc>
        <w:tc>
          <w:tcPr>
            <w:tcW w:w="750" w:type="dxa"/>
          </w:tcPr>
          <w:p w14:paraId="39106C16">
            <w:pPr>
              <w:spacing w:after="0" w:line="240" w:lineRule="auto"/>
            </w:pPr>
          </w:p>
        </w:tc>
        <w:tc>
          <w:tcPr>
            <w:tcW w:w="750" w:type="dxa"/>
          </w:tcPr>
          <w:p w14:paraId="1E2F65FF">
            <w:pPr>
              <w:spacing w:after="0" w:line="240" w:lineRule="auto"/>
            </w:pPr>
          </w:p>
        </w:tc>
        <w:tc>
          <w:tcPr>
            <w:tcW w:w="750" w:type="dxa"/>
          </w:tcPr>
          <w:p w14:paraId="331400EE">
            <w:pPr>
              <w:spacing w:after="0" w:line="240" w:lineRule="auto"/>
            </w:pPr>
          </w:p>
        </w:tc>
        <w:tc>
          <w:tcPr>
            <w:tcW w:w="750" w:type="dxa"/>
          </w:tcPr>
          <w:p w14:paraId="7D2F3F97">
            <w:pPr>
              <w:spacing w:after="0" w:line="240" w:lineRule="auto"/>
            </w:pPr>
          </w:p>
        </w:tc>
      </w:tr>
      <w:tr w14:paraId="2930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56852B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莫西沙星（mg）</w:t>
            </w:r>
          </w:p>
        </w:tc>
        <w:tc>
          <w:tcPr>
            <w:tcW w:w="750" w:type="dxa"/>
            <w:vAlign w:val="center"/>
          </w:tcPr>
          <w:p w14:paraId="7B1912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39C30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4A0EFA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6F0594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23FAA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209F7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4E55AC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5E5FAA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5545BF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066BB0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0B9722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w="750" w:type="dxa"/>
            <w:vAlign w:val="center"/>
          </w:tcPr>
          <w:p w14:paraId="7BE014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</w:tr>
      <w:tr w14:paraId="5B79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0F005FD0">
            <w:pPr>
              <w:spacing w:after="0" w:line="240" w:lineRule="auto"/>
            </w:pPr>
            <w:r>
              <w:t>乙胺丁醇（E，mg）</w:t>
            </w:r>
          </w:p>
        </w:tc>
        <w:tc>
          <w:tcPr>
            <w:tcW w:w="750" w:type="dxa"/>
            <w:vAlign w:val="center"/>
          </w:tcPr>
          <w:p w14:paraId="58DFB78B">
            <w:pPr>
              <w:spacing w:after="0" w:line="240" w:lineRule="auto"/>
            </w:pPr>
            <w:r>
              <w:t>600</w:t>
            </w:r>
          </w:p>
        </w:tc>
        <w:tc>
          <w:tcPr>
            <w:tcW w:w="750" w:type="dxa"/>
            <w:vAlign w:val="center"/>
          </w:tcPr>
          <w:p w14:paraId="44C3FACE">
            <w:pPr>
              <w:spacing w:after="0" w:line="240" w:lineRule="auto"/>
            </w:pPr>
            <w:r>
              <w:t>800</w:t>
            </w:r>
          </w:p>
        </w:tc>
        <w:tc>
          <w:tcPr>
            <w:tcW w:w="750" w:type="dxa"/>
            <w:vAlign w:val="center"/>
          </w:tcPr>
          <w:p w14:paraId="2EA241F3">
            <w:pPr>
              <w:spacing w:after="0" w:line="240" w:lineRule="auto"/>
            </w:pPr>
            <w:r>
              <w:t>800</w:t>
            </w:r>
          </w:p>
        </w:tc>
        <w:tc>
          <w:tcPr>
            <w:tcW w:w="750" w:type="dxa"/>
            <w:vAlign w:val="center"/>
          </w:tcPr>
          <w:p w14:paraId="43263220">
            <w:pPr>
              <w:spacing w:after="0" w:line="240" w:lineRule="auto"/>
            </w:pPr>
            <w:r>
              <w:t>800</w:t>
            </w:r>
          </w:p>
        </w:tc>
        <w:tc>
          <w:tcPr>
            <w:tcW w:w="750" w:type="dxa"/>
            <w:vAlign w:val="center"/>
          </w:tcPr>
          <w:p w14:paraId="49342693">
            <w:pPr>
              <w:spacing w:after="0" w:line="240" w:lineRule="auto"/>
            </w:pPr>
            <w:r>
              <w:t>800</w:t>
            </w:r>
          </w:p>
        </w:tc>
        <w:tc>
          <w:tcPr>
            <w:tcW w:w="750" w:type="dxa"/>
            <w:vAlign w:val="center"/>
          </w:tcPr>
          <w:p w14:paraId="2157FDA5">
            <w:pPr>
              <w:spacing w:after="0" w:line="240" w:lineRule="auto"/>
            </w:pPr>
            <w:r>
              <w:t>800</w:t>
            </w:r>
          </w:p>
        </w:tc>
        <w:tc>
          <w:tcPr>
            <w:tcW w:w="750" w:type="dxa"/>
            <w:vAlign w:val="center"/>
          </w:tcPr>
          <w:p w14:paraId="3C57433C">
            <w:pPr>
              <w:spacing w:after="0" w:line="240" w:lineRule="auto"/>
            </w:pPr>
            <w:r>
              <w:t>1000</w:t>
            </w:r>
          </w:p>
        </w:tc>
        <w:tc>
          <w:tcPr>
            <w:tcW w:w="750" w:type="dxa"/>
            <w:vAlign w:val="center"/>
          </w:tcPr>
          <w:p w14:paraId="5C71C3F5">
            <w:pPr>
              <w:spacing w:after="0" w:line="240" w:lineRule="auto"/>
            </w:pPr>
            <w:r>
              <w:t>1000</w:t>
            </w:r>
          </w:p>
        </w:tc>
        <w:tc>
          <w:tcPr>
            <w:tcW w:w="750" w:type="dxa"/>
            <w:vAlign w:val="center"/>
          </w:tcPr>
          <w:p w14:paraId="21E0BDDD">
            <w:pPr>
              <w:spacing w:after="0" w:line="240" w:lineRule="auto"/>
            </w:pPr>
            <w:r>
              <w:t>1000</w:t>
            </w:r>
          </w:p>
        </w:tc>
        <w:tc>
          <w:tcPr>
            <w:tcW w:w="750" w:type="dxa"/>
            <w:vAlign w:val="center"/>
          </w:tcPr>
          <w:p w14:paraId="2A28820F">
            <w:pPr>
              <w:spacing w:after="0" w:line="240" w:lineRule="auto"/>
            </w:pPr>
            <w:r>
              <w:t>1200</w:t>
            </w:r>
          </w:p>
        </w:tc>
        <w:tc>
          <w:tcPr>
            <w:tcW w:w="750" w:type="dxa"/>
            <w:vAlign w:val="center"/>
          </w:tcPr>
          <w:p w14:paraId="77779061">
            <w:pPr>
              <w:spacing w:after="0" w:line="240" w:lineRule="auto"/>
            </w:pPr>
            <w:r>
              <w:t>1200</w:t>
            </w:r>
          </w:p>
        </w:tc>
        <w:tc>
          <w:tcPr>
            <w:tcW w:w="750" w:type="dxa"/>
            <w:vAlign w:val="center"/>
          </w:tcPr>
          <w:p w14:paraId="121F5931">
            <w:pPr>
              <w:spacing w:after="0" w:line="240" w:lineRule="auto"/>
            </w:pPr>
            <w:r>
              <w:t>1200</w:t>
            </w:r>
          </w:p>
        </w:tc>
      </w:tr>
      <w:tr w14:paraId="6F9B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 w14:paraId="6F552B35">
            <w:pPr>
              <w:spacing w:after="0" w:line="240" w:lineRule="auto"/>
            </w:pPr>
            <w:r>
              <w:t>维生素B6（mg）</w:t>
            </w:r>
          </w:p>
        </w:tc>
        <w:tc>
          <w:tcPr>
            <w:tcW w:w="9000" w:type="dxa"/>
            <w:gridSpan w:val="12"/>
            <w:vAlign w:val="center"/>
          </w:tcPr>
          <w:p w14:paraId="62D79F09">
            <w:pPr>
              <w:spacing w:after="0" w:line="240" w:lineRule="auto"/>
            </w:pPr>
          </w:p>
        </w:tc>
      </w:tr>
    </w:tbl>
    <w:p w14:paraId="00F386AA"/>
    <w:p w14:paraId="065EC101">
      <w:pPr>
        <w:pStyle w:val="3"/>
      </w:pPr>
      <w:r>
        <w:t>7. 关键记录与一致性核查</w:t>
      </w:r>
    </w:p>
    <w:p w14:paraId="7F6A26C1">
      <w:pPr>
        <w:pStyle w:val="16"/>
      </w:pPr>
      <w:r>
        <w:t>治疗臂代码（A1/A2/A3/B1/B2）、疗程阶段（强化期/巩固期）与起止日期。</w:t>
      </w:r>
    </w:p>
    <w:p w14:paraId="7ED0AF1D">
      <w:pPr>
        <w:pStyle w:val="16"/>
      </w:pPr>
      <w:r>
        <w:t>体重（kg）、体重分层、各药物每日剂量（mg）及给药频次（qd）。</w:t>
      </w:r>
    </w:p>
    <w:p w14:paraId="273A6432">
      <w:pPr>
        <w:pStyle w:val="16"/>
      </w:pPr>
      <w:r>
        <w:t>发药数量、退药/回收数量、药片计数（如适用）及偏差记录。</w:t>
      </w:r>
    </w:p>
    <w:p w14:paraId="47EAAA20">
      <w:pPr>
        <w:pStyle w:val="16"/>
      </w:pPr>
      <w:r>
        <w:t>如出现任何非方案性剂量调整/停药，须按SOP10记录并上报相应不良事件或偏差。</w:t>
      </w:r>
    </w:p>
    <w:p w14:paraId="031A8034">
      <w:pPr>
        <w:pStyle w:val="3"/>
      </w:pPr>
      <w:r>
        <w:t>8. 版本管理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49B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53A599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436" w:type="dxa"/>
          </w:tcPr>
          <w:p w14:paraId="355BB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2436" w:type="dxa"/>
          </w:tcPr>
          <w:p w14:paraId="6501EF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变更说明</w:t>
            </w:r>
          </w:p>
        </w:tc>
        <w:tc>
          <w:tcPr>
            <w:tcW w:w="2436" w:type="dxa"/>
          </w:tcPr>
          <w:p w14:paraId="2FC2D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批准</w:t>
            </w:r>
          </w:p>
        </w:tc>
      </w:tr>
      <w:tr w14:paraId="4A9D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52B7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2436" w:type="dxa"/>
          </w:tcPr>
          <w:p w14:paraId="066DF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2026-02-07</w:t>
            </w:r>
          </w:p>
        </w:tc>
        <w:tc>
          <w:tcPr>
            <w:tcW w:w="2436" w:type="dxa"/>
          </w:tcPr>
          <w:p w14:paraId="021C3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首次发布。</w:t>
            </w:r>
          </w:p>
        </w:tc>
        <w:tc>
          <w:tcPr>
            <w:tcW w:w="2436" w:type="dxa"/>
          </w:tcPr>
          <w:p w14:paraId="1FD6D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__________</w:t>
            </w:r>
          </w:p>
        </w:tc>
      </w:tr>
      <w:tr w14:paraId="0C05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5CB7936">
            <w:pPr>
              <w:spacing w:after="0" w:line="240" w:lineRule="auto"/>
            </w:pPr>
            <w:r>
              <w:t>V1.1</w:t>
            </w:r>
          </w:p>
        </w:tc>
        <w:tc>
          <w:tcPr>
            <w:tcW w:w="2436" w:type="dxa"/>
          </w:tcPr>
          <w:p w14:paraId="3806B6C3">
            <w:pPr>
              <w:spacing w:after="0" w:line="240" w:lineRule="auto"/>
            </w:pPr>
            <w:r>
              <w:t>2026-03-04</w:t>
            </w:r>
          </w:p>
        </w:tc>
        <w:tc>
          <w:tcPr>
            <w:tcW w:w="2436" w:type="dxa"/>
          </w:tcPr>
          <w:p w14:paraId="2723193B">
            <w:pPr>
              <w:spacing w:after="0" w:line="240" w:lineRule="auto"/>
            </w:pPr>
            <w:r>
              <w:t>与研究方案V2.0（2026-02-28）对齐：明确利福喷丁为体重分层给药（A1=20 mg/kg/日；A2=15 mg/kg/日；最高1200 mg/日，方案标签为缩写）；将HRZ/HR更新为HRZE/HR并补充乙胺丁醇（E）剂量与视力监测/停药规则；更新队列A/B方案概览与剂量表备注。</w:t>
            </w:r>
          </w:p>
        </w:tc>
        <w:tc>
          <w:tcPr>
            <w:tcW w:w="2436" w:type="dxa"/>
          </w:tcPr>
          <w:p w14:paraId="2607D498">
            <w:pPr>
              <w:spacing w:after="0" w:line="240" w:lineRule="auto"/>
            </w:pPr>
            <w:r>
              <w:t>_____</w:t>
            </w:r>
          </w:p>
        </w:tc>
      </w:tr>
    </w:tbl>
    <w:p w14:paraId="10DEC41D"/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D6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1416</Words>
  <Characters>2032</Characters>
  <Lines>0</Lines>
  <Paragraphs>0</Paragraphs>
  <TotalTime>0</TotalTime>
  <ScaleCrop>false</ScaleCrop>
  <LinksUpToDate>false</LinksUpToDate>
  <CharactersWithSpaces>2148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EBBFEAC26E174863B474946785D444C4_12</vt:lpwstr>
  </property>
</Properties>
</file>