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F0805">
      <w:pPr>
        <w:jc w:val="center"/>
      </w:pPr>
      <w:r>
        <w:rPr>
          <w:b/>
          <w:sz w:val="32"/>
        </w:rPr>
        <w:t>TDSC 研究 SOP0</w:t>
      </w:r>
      <w:r>
        <w:rPr>
          <w:rFonts w:hint="eastAsia"/>
          <w:b/>
          <w:sz w:val="32"/>
          <w:lang w:val="en-US" w:eastAsia="zh-CN"/>
        </w:rPr>
        <w:t>8</w:t>
      </w:r>
      <w:bookmarkStart w:id="0" w:name="_GoBack"/>
      <w:bookmarkEnd w:id="0"/>
      <w:r>
        <w:rPr>
          <w:b/>
          <w:sz w:val="32"/>
        </w:rPr>
        <w:t>：研究药物—服药方法与依从性管理</w:t>
      </w:r>
    </w:p>
    <w:p w14:paraId="16AD78B4">
      <w:pPr>
        <w:jc w:val="center"/>
      </w:pPr>
      <w:r>
        <w:rPr>
          <w:i/>
          <w:sz w:val="22"/>
        </w:rPr>
        <w:t>（适用于结核病合并2型糖尿病（TB-DM）治疗队列A与队列B）</w:t>
      </w:r>
    </w:p>
    <w:p w14:paraId="7FF071AE"/>
    <w:p w14:paraId="7F6B6CAB">
      <w:pPr>
        <w:pStyle w:val="3"/>
      </w:pPr>
      <w:r>
        <w:t>文件控制信息</w:t>
      </w:r>
    </w:p>
    <w:p w14:paraId="0785D542">
      <w:r>
        <w:rPr>
          <w:b/>
        </w:rPr>
        <w:t>SOP编号：</w:t>
      </w:r>
      <w:r>
        <w:t>TDSC-SOP04</w:t>
      </w:r>
    </w:p>
    <w:p w14:paraId="04A22549">
      <w:r>
        <w:t>版本：V1.1</w:t>
      </w:r>
    </w:p>
    <w:p w14:paraId="2EFBF851">
      <w:r>
        <w:t>生效日期：2026-03-04</w:t>
      </w:r>
    </w:p>
    <w:p w14:paraId="536088C0">
      <w:r>
        <w:t>关联文件：TDSC研究方案V2.0（2026-02-28）；SOP03《研究药物：药物组合与药物剂量表》（V1.1）；SOP06《DAIDS AE分级与PRO-CTCAE联合应用》；SOP10《不良事件管理与剂量调整/停药》；SOP00《文件体系与版本控制/培训管理》。</w:t>
      </w:r>
    </w:p>
    <w:p w14:paraId="6AAE6404">
      <w:pPr>
        <w:pStyle w:val="3"/>
      </w:pPr>
      <w:r>
        <w:t>1. 目的</w:t>
      </w:r>
    </w:p>
    <w:p w14:paraId="2233609A">
      <w:r>
        <w:t>规范TDSC研究中研究药物的发放、服用时间窗口、服药方法与依从性管理，最大化药物暴露一致性，降低服药错误与胃肠道不耐受导致的偏倚，确保受试者安全与研究数据质量。</w:t>
      </w:r>
    </w:p>
    <w:p w14:paraId="41E11445">
      <w:pPr>
        <w:pStyle w:val="3"/>
      </w:pPr>
      <w:r>
        <w:t>2. 适用范围</w:t>
      </w:r>
    </w:p>
    <w:p w14:paraId="2DFB4A56">
      <w:r>
        <w:t>适用于所有参加TDSC研究并接受研究方案规定抗结核治疗的受试者（队列A与队列B），以及负责发药、宣教、随访与依从性管理的研究团队成员。</w:t>
      </w:r>
    </w:p>
    <w:p w14:paraId="3EE434F7">
      <w:pPr>
        <w:pStyle w:val="3"/>
      </w:pPr>
      <w:r>
        <w:t>3. 术语与缩略语</w:t>
      </w:r>
    </w:p>
    <w:p w14:paraId="73EEB577">
      <w:r>
        <w:t>说明：本研究对照组/队列B的标准方案为2HRZE/4HR或2HRZE/7HR，强化期（前2个月）包含乙胺丁醇（E）。E暴露期间需至少每月视力监测（视力/色觉/视野条件允许时），疑似视神经病变应立即停E并按SOP10记录为AESI。队列A利福喷丁方案不含E。所有药物构成与剂量以SOP03为唯一依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D177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E454CA">
            <w:pPr>
              <w:spacing w:after="0" w:line="240" w:lineRule="auto"/>
            </w:pPr>
            <w:r>
              <w:t>术语/缩略语</w:t>
            </w:r>
          </w:p>
        </w:tc>
        <w:tc>
          <w:tcPr>
            <w:tcW w:w="4320" w:type="dxa"/>
          </w:tcPr>
          <w:p w14:paraId="6C3E1FC0">
            <w:pPr>
              <w:spacing w:after="0" w:line="240" w:lineRule="auto"/>
            </w:pPr>
            <w:r>
              <w:t>定义</w:t>
            </w:r>
          </w:p>
        </w:tc>
      </w:tr>
      <w:tr w14:paraId="7D26D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08AC0A">
            <w:pPr>
              <w:spacing w:after="0" w:line="240" w:lineRule="auto"/>
            </w:pPr>
            <w:r>
              <w:t>TDSC</w:t>
            </w:r>
          </w:p>
        </w:tc>
        <w:tc>
          <w:tcPr>
            <w:tcW w:w="4320" w:type="dxa"/>
          </w:tcPr>
          <w:p w14:paraId="6E457386">
            <w:pPr>
              <w:spacing w:after="0" w:line="240" w:lineRule="auto"/>
            </w:pPr>
            <w:r>
              <w:t>Tuberculosis–Diabetes Short Course（结核病-糖尿病短程治疗研究）</w:t>
            </w:r>
          </w:p>
        </w:tc>
      </w:tr>
      <w:tr w14:paraId="11034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545C1D">
            <w:pPr>
              <w:spacing w:after="0" w:line="240" w:lineRule="auto"/>
            </w:pPr>
            <w:r>
              <w:t>TB-DM</w:t>
            </w:r>
          </w:p>
        </w:tc>
        <w:tc>
          <w:tcPr>
            <w:tcW w:w="4320" w:type="dxa"/>
          </w:tcPr>
          <w:p w14:paraId="4A0F1714">
            <w:pPr>
              <w:spacing w:after="0" w:line="240" w:lineRule="auto"/>
            </w:pPr>
            <w:r>
              <w:t>Tuberculosis with Type 2 Diabetes Mellitus（结核病合并2型糖尿病）</w:t>
            </w:r>
          </w:p>
        </w:tc>
      </w:tr>
      <w:tr w14:paraId="7D1DB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788625">
            <w:pPr>
              <w:spacing w:after="0" w:line="240" w:lineRule="auto"/>
            </w:pPr>
            <w:r>
              <w:t>H</w:t>
            </w:r>
          </w:p>
        </w:tc>
        <w:tc>
          <w:tcPr>
            <w:tcW w:w="4320" w:type="dxa"/>
          </w:tcPr>
          <w:p w14:paraId="1138DEAA">
            <w:pPr>
              <w:spacing w:after="0" w:line="240" w:lineRule="auto"/>
            </w:pPr>
            <w:r>
              <w:t>异烟肼（Isoniazid）</w:t>
            </w:r>
          </w:p>
        </w:tc>
      </w:tr>
      <w:tr w14:paraId="77F2F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636483">
            <w:pPr>
              <w:spacing w:after="0" w:line="240" w:lineRule="auto"/>
            </w:pPr>
            <w:r>
              <w:t>R</w:t>
            </w:r>
          </w:p>
        </w:tc>
        <w:tc>
          <w:tcPr>
            <w:tcW w:w="4320" w:type="dxa"/>
          </w:tcPr>
          <w:p w14:paraId="443E3774">
            <w:pPr>
              <w:spacing w:after="0" w:line="240" w:lineRule="auto"/>
            </w:pPr>
            <w:r>
              <w:t>利福平（Rifampicin/Rifampin）</w:t>
            </w:r>
          </w:p>
        </w:tc>
      </w:tr>
      <w:tr w14:paraId="4D590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825019">
            <w:pPr>
              <w:spacing w:after="0" w:line="240" w:lineRule="auto"/>
            </w:pPr>
          </w:p>
        </w:tc>
        <w:tc>
          <w:tcPr>
            <w:tcW w:w="4320" w:type="dxa"/>
          </w:tcPr>
          <w:p w14:paraId="465DB00D">
            <w:pPr>
              <w:spacing w:after="0" w:line="240" w:lineRule="auto"/>
            </w:pPr>
          </w:p>
        </w:tc>
      </w:tr>
      <w:tr w14:paraId="3B5B6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2DD7CA">
            <w:pPr>
              <w:spacing w:after="0" w:line="240" w:lineRule="auto"/>
            </w:pPr>
            <w:r>
              <w:t>P</w:t>
            </w:r>
          </w:p>
        </w:tc>
        <w:tc>
          <w:tcPr>
            <w:tcW w:w="4320" w:type="dxa"/>
          </w:tcPr>
          <w:p w14:paraId="71BC462F">
            <w:pPr>
              <w:spacing w:after="0" w:line="240" w:lineRule="auto"/>
            </w:pPr>
            <w:r>
              <w:t>利福喷丁（Rifapentine）</w:t>
            </w:r>
          </w:p>
        </w:tc>
      </w:tr>
      <w:tr w14:paraId="7FA2C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917281">
            <w:pPr>
              <w:spacing w:after="0" w:line="240" w:lineRule="auto"/>
            </w:pPr>
            <w:r>
              <w:t>E</w:t>
            </w:r>
          </w:p>
        </w:tc>
        <w:tc>
          <w:tcPr>
            <w:tcW w:w="4320" w:type="dxa"/>
          </w:tcPr>
          <w:p w14:paraId="47C517A3">
            <w:pPr>
              <w:spacing w:after="0" w:line="240" w:lineRule="auto"/>
            </w:pPr>
            <w:r>
              <w:t>乙胺丁醇（Ethambutol；仅HRZE强化期使用；需视力监测，疑似视神经病变立即停E并记录）</w:t>
            </w:r>
          </w:p>
        </w:tc>
      </w:tr>
      <w:tr w14:paraId="5B747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8EB782">
            <w:pPr>
              <w:spacing w:after="0" w:line="240" w:lineRule="auto"/>
            </w:pPr>
            <w:r>
              <w:t>M</w:t>
            </w:r>
          </w:p>
        </w:tc>
        <w:tc>
          <w:tcPr>
            <w:tcW w:w="4320" w:type="dxa"/>
          </w:tcPr>
          <w:p w14:paraId="159B9BCA">
            <w:pPr>
              <w:spacing w:after="0" w:line="240" w:lineRule="auto"/>
            </w:pPr>
            <w:r>
              <w:t>莫西沙星（Moxifloxacin）</w:t>
            </w:r>
          </w:p>
        </w:tc>
      </w:tr>
      <w:tr w14:paraId="2FD58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149517">
            <w:pPr>
              <w:spacing w:after="0" w:line="240" w:lineRule="auto"/>
            </w:pPr>
            <w:r>
              <w:t>Vit B6</w:t>
            </w:r>
          </w:p>
        </w:tc>
        <w:tc>
          <w:tcPr>
            <w:tcW w:w="4320" w:type="dxa"/>
          </w:tcPr>
          <w:p w14:paraId="3E9E29CD">
            <w:pPr>
              <w:spacing w:after="0" w:line="240" w:lineRule="auto"/>
            </w:pPr>
            <w:r>
              <w:t>维生素B6/吡哆醇（30 mg qd，全疗程常规补充；用于周围神经症状预防/支持，详见SOP10）</w:t>
            </w:r>
          </w:p>
        </w:tc>
      </w:tr>
      <w:tr w14:paraId="02D46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F72FFE">
            <w:pPr>
              <w:spacing w:after="0" w:line="240" w:lineRule="auto"/>
            </w:pPr>
            <w:r>
              <w:t>DOT</w:t>
            </w:r>
          </w:p>
        </w:tc>
        <w:tc>
          <w:tcPr>
            <w:tcW w:w="4320" w:type="dxa"/>
          </w:tcPr>
          <w:p w14:paraId="22C731C8">
            <w:pPr>
              <w:spacing w:after="0" w:line="240" w:lineRule="auto"/>
            </w:pPr>
            <w:r>
              <w:t>直接面视下服药（Directly Observed Therapy）</w:t>
            </w:r>
          </w:p>
        </w:tc>
      </w:tr>
      <w:tr w14:paraId="124EB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C1F068">
            <w:pPr>
              <w:spacing w:after="0" w:line="240" w:lineRule="auto"/>
            </w:pPr>
            <w:r>
              <w:t>Video-DOT</w:t>
            </w:r>
          </w:p>
        </w:tc>
        <w:tc>
          <w:tcPr>
            <w:tcW w:w="4320" w:type="dxa"/>
          </w:tcPr>
          <w:p w14:paraId="1D3B1775">
            <w:pPr>
              <w:spacing w:after="0" w:line="240" w:lineRule="auto"/>
            </w:pPr>
            <w:r>
              <w:t>视频督导服药（Video Directly Observed Therapy）</w:t>
            </w:r>
          </w:p>
        </w:tc>
      </w:tr>
      <w:tr w14:paraId="1033B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AE7E1A">
            <w:pPr>
              <w:spacing w:after="0" w:line="240" w:lineRule="auto"/>
            </w:pPr>
            <w:r>
              <w:t>ePillbox</w:t>
            </w:r>
          </w:p>
        </w:tc>
        <w:tc>
          <w:tcPr>
            <w:tcW w:w="4320" w:type="dxa"/>
          </w:tcPr>
          <w:p w14:paraId="57925E73">
            <w:pPr>
              <w:spacing w:after="0" w:line="240" w:lineRule="auto"/>
            </w:pPr>
            <w:r>
              <w:t>电子药盒/智能药盒（用于客观记录实际服药）</w:t>
            </w:r>
          </w:p>
        </w:tc>
      </w:tr>
    </w:tbl>
    <w:p w14:paraId="2E1F507B">
      <w:pPr>
        <w:pStyle w:val="4"/>
      </w:pPr>
      <w:r>
        <w:t>3.1 服药时间窗口统一定义（用于全中心一致宣教）</w:t>
      </w:r>
    </w:p>
    <w:p w14:paraId="3489B4BB">
      <w:r>
        <w:t>为便于受试者理解与中心间一致执行，本SOP采用以下可操作性定义：</w:t>
      </w:r>
    </w:p>
    <w:p w14:paraId="5C433D8A">
      <w:r>
        <w:rPr>
          <w:b/>
        </w:rPr>
        <w:t>• 空腹：</w:t>
      </w:r>
      <w:r>
        <w:t>餐前≥1小时 或 餐后≥2小时（优先考虑清晨空腹）。</w:t>
      </w:r>
    </w:p>
    <w:p w14:paraId="4E4037D1">
      <w:r>
        <w:rPr>
          <w:b/>
        </w:rPr>
        <w:t>• 随餐：</w:t>
      </w:r>
      <w:r>
        <w:t>餐中或餐后≤30分钟。</w:t>
      </w:r>
    </w:p>
    <w:p w14:paraId="0C145D23">
      <w:r>
        <w:rPr>
          <w:b/>
        </w:rPr>
        <w:t>• 灰区：</w:t>
      </w:r>
      <w:r>
        <w:t>餐后30–120分钟（尽量避免；若发生须记录原因）。</w:t>
      </w:r>
    </w:p>
    <w:p w14:paraId="47B7F4A3">
      <w:pPr>
        <w:pStyle w:val="3"/>
      </w:pPr>
      <w:r>
        <w:t>4. 责任分工</w:t>
      </w:r>
    </w:p>
    <w:p w14:paraId="57E05EBB">
      <w:r>
        <w:t>研究医生：确认分组方案与剂量（以SOP03为准）；评估不良反应；决定是否需要调整支持治疗、处理漏服/呕吐/不耐受及必要的方案处置。</w:t>
      </w:r>
    </w:p>
    <w:p w14:paraId="477BDDFB">
      <w:r>
        <w:t>研究护士/CRC：完成宣教与演示；配置DOT/家庭督导与电子工具；随访核对依从性（ePillbox/Video-DOT/记录卡对账）；发现风险及时升级。</w:t>
      </w:r>
    </w:p>
    <w:p w14:paraId="209856E8">
      <w:r>
        <w:t>研究药师/发药人员：按随机分组与SOP03发放药品；核对批号、有效期与储存；完成发药台账与药品追溯。</w:t>
      </w:r>
    </w:p>
    <w:p w14:paraId="6DCE39F6">
      <w:r>
        <w:t>受试者及家庭督导员：按规定时间与方式服药；完成观察与记录；出现不适、漏服或设备异常及时联系研究团队。</w:t>
      </w:r>
    </w:p>
    <w:p w14:paraId="1EAF5852">
      <w:pPr>
        <w:pStyle w:val="3"/>
      </w:pPr>
      <w:r>
        <w:t>5. 操作流程</w:t>
      </w:r>
    </w:p>
    <w:p w14:paraId="26D7CE6F">
      <w:pPr>
        <w:pStyle w:val="4"/>
      </w:pPr>
      <w:r>
        <w:t>5.1 首次发药前宣教（必须完成并记录）</w:t>
      </w:r>
    </w:p>
    <w:p w14:paraId="5A02640F">
      <w:r>
        <w:t>（1）解释“空腹/随餐/灰区”等关键概念，并结合受试者日常作息举例确认其理解。</w:t>
      </w:r>
    </w:p>
    <w:p w14:paraId="5CC6C123">
      <w:r>
        <w:t>（2）强调本研究要求尽量保持“每日同一时间、同一方式服药”，以保持稳定药物暴露。</w:t>
      </w:r>
    </w:p>
    <w:p w14:paraId="3008B0C7">
      <w:r>
        <w:t>（3）配置依从性监测方式：按研究方案优先采用DOT（医务人员或经培训家庭督导员）并结合电子药盒和/或Video-DOT。</w:t>
      </w:r>
    </w:p>
    <w:p w14:paraId="10F0DA2E">
      <w:r>
        <w:t>（4）发放《服药记录卡》（附件A）与《服药时间窗口速查卡》（附件B），现场示范填写。</w:t>
      </w:r>
    </w:p>
    <w:p w14:paraId="3B632A5C">
      <w:r>
        <w:t>（5）核对并用药物与可能相互作用/影响吸收的制剂（如抗酸药、含金属离子补充剂等）；如需间隔，由研究医生给出个体化建议，并记录。</w:t>
      </w:r>
    </w:p>
    <w:p w14:paraId="142C6F4F">
      <w:pPr>
        <w:pStyle w:val="4"/>
      </w:pPr>
      <w:r>
        <w:t>5.2 依从性监测与对账（DOT + 电子工具为主）</w:t>
      </w:r>
    </w:p>
    <w:p w14:paraId="78414F23">
      <w:r>
        <w:t>（1）DOT安排：住院或门诊条件允许时由医务人员面视；出院后由经培训的家庭督导员执行DOT，并按规定上传Video-DOT或使用ePillbox记录。</w:t>
      </w:r>
    </w:p>
    <w:p w14:paraId="161FCB8B">
      <w:r>
        <w:t>（2）ePillbox：研究团队在每次访视下载/核对电子药盒数据，作为主要依从性数据源；若设备故障或缺失，需用Video-DOT与记录卡补证并注明原因。</w:t>
      </w:r>
    </w:p>
    <w:p w14:paraId="59975FE4">
      <w:r>
        <w:t>（3）Video-DOT：用于补充或强化依从性监督（按中心统一平台执行）；须避免泄露隐私信息。</w:t>
      </w:r>
    </w:p>
    <w:p w14:paraId="2C26CBD2">
      <w:r>
        <w:t>（4）对账频率：至少每次随访进行一次对账；治疗早期可根据中心管理需要提高频次。</w:t>
      </w:r>
    </w:p>
    <w:p w14:paraId="4DA9F2E3">
      <w:r>
        <w:t>（5）纠正措施：当依从性下降且可能影响“规定疗程完成（如PP人群所需服药率≥80%）”时，应立即启动再宣教、督导强化或设备更换，并记录纠正过程。</w:t>
      </w:r>
    </w:p>
    <w:p w14:paraId="325B5CC8">
      <w:pPr>
        <w:pStyle w:val="4"/>
      </w:pPr>
      <w:r>
        <w:t>5.3 通用服药原则（所有分组通用）</w:t>
      </w:r>
    </w:p>
    <w:p w14:paraId="702E1243">
      <w:r>
        <w:t>（1）方案与剂量以SOP03为唯一依据；任何剂量/方案变更必须由研究医生依据方案与不良反应处置流程决定，并完成记录。</w:t>
      </w:r>
    </w:p>
    <w:p w14:paraId="73C9A7D7">
      <w:r>
        <w:t>（2）同日药物尽量同一时点服用（顿服），并保持固定餐次/固定窗口。</w:t>
      </w:r>
    </w:p>
    <w:p w14:paraId="3FC91C24">
      <w:r>
        <w:t>（3）充足饮水整粒吞服；避免自行掰碎/研磨（除非研究医生另有指示）。</w:t>
      </w:r>
    </w:p>
    <w:p w14:paraId="10CB73FF">
      <w:r>
        <w:t>（4）如出现明显胃肠道反应：优先通过“随餐/足量饮水/调整吞服方式”等支持措施缓解；仍不能耐受者须联系研究医生评估，不得自行停药。</w:t>
      </w:r>
    </w:p>
    <w:p w14:paraId="501EB454">
      <w:pPr>
        <w:pStyle w:val="4"/>
      </w:pPr>
      <w:r>
        <w:t>5.4 方案特异服药要求（以方案代码区分）</w:t>
      </w:r>
    </w:p>
    <w:p w14:paraId="26579AA6">
      <w:r>
        <w:t>提示：本节仅规定服药“时间窗口与方法”。具体药物构成与剂量分带详见SOP03。</w:t>
      </w:r>
    </w:p>
    <w:p w14:paraId="6C997501">
      <w:r>
        <w:t>补充说明（E视神经毒性预警）：凡执行含E的HRZE强化期方案，应至少每月评估视力（建议含色觉/视野条件允许时），并对“视力下降、视物模糊、色觉异常”等进行宣教与主动询问；一旦怀疑视神经病变，立即停用E并按SOP10作为AESI记录与报告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2246"/>
        <w:gridCol w:w="1673"/>
        <w:gridCol w:w="1663"/>
        <w:gridCol w:w="1646"/>
      </w:tblGrid>
      <w:tr w14:paraId="430FD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87BBDF">
            <w:pPr>
              <w:spacing w:after="0" w:line="240" w:lineRule="auto"/>
            </w:pPr>
            <w:r>
              <w:t>适用队列</w:t>
            </w:r>
          </w:p>
        </w:tc>
        <w:tc>
          <w:tcPr>
            <w:tcW w:w="1728" w:type="dxa"/>
          </w:tcPr>
          <w:p w14:paraId="19186246">
            <w:pPr>
              <w:spacing w:after="0" w:line="240" w:lineRule="auto"/>
            </w:pPr>
            <w:r>
              <w:t>方案代码（示例）</w:t>
            </w:r>
          </w:p>
        </w:tc>
        <w:tc>
          <w:tcPr>
            <w:tcW w:w="1728" w:type="dxa"/>
          </w:tcPr>
          <w:p w14:paraId="1A3458BD">
            <w:pPr>
              <w:spacing w:after="0" w:line="240" w:lineRule="auto"/>
            </w:pPr>
            <w:r>
              <w:t>关键服药要求</w:t>
            </w:r>
          </w:p>
        </w:tc>
        <w:tc>
          <w:tcPr>
            <w:tcW w:w="1728" w:type="dxa"/>
          </w:tcPr>
          <w:p w14:paraId="2EC70ADF">
            <w:pPr>
              <w:spacing w:after="0" w:line="240" w:lineRule="auto"/>
            </w:pPr>
            <w:r>
              <w:t>推荐时间窗口</w:t>
            </w:r>
          </w:p>
        </w:tc>
        <w:tc>
          <w:tcPr>
            <w:tcW w:w="1728" w:type="dxa"/>
          </w:tcPr>
          <w:p w14:paraId="39B6C719">
            <w:pPr>
              <w:spacing w:after="0" w:line="240" w:lineRule="auto"/>
            </w:pPr>
            <w:r>
              <w:t>记录要点</w:t>
            </w:r>
          </w:p>
        </w:tc>
      </w:tr>
      <w:tr w14:paraId="6664E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353CE2A">
            <w:pPr>
              <w:spacing w:after="0" w:line="240" w:lineRule="auto"/>
            </w:pPr>
            <w:r>
              <w:t>队列A</w:t>
            </w:r>
          </w:p>
        </w:tc>
        <w:tc>
          <w:tcPr>
            <w:tcW w:w="1728" w:type="dxa"/>
          </w:tcPr>
          <w:p w14:paraId="0F696808">
            <w:pPr>
              <w:spacing w:after="0" w:line="240" w:lineRule="auto"/>
            </w:pPr>
            <w:r>
              <w:t>2HP1200MZ/2HPM；2HP900MZ/2HPM（含P）</w:t>
            </w:r>
          </w:p>
        </w:tc>
        <w:tc>
          <w:tcPr>
            <w:tcW w:w="1728" w:type="dxa"/>
          </w:tcPr>
          <w:p w14:paraId="1515AA0D">
            <w:pPr>
              <w:spacing w:after="0" w:line="240" w:lineRule="auto"/>
            </w:pPr>
            <w:r>
              <w:t>利福喷丁（P）需随餐服用以增加吸收；建议将当日所有药物与同一顿主餐同服（“三明治法”）以减少错误。漏服处理遵循“尽快补服、避免加倍”原则（见5.5；同日漏服且距下一次给药&gt;12小时可补服1次）。</w:t>
            </w:r>
          </w:p>
        </w:tc>
        <w:tc>
          <w:tcPr>
            <w:tcW w:w="1728" w:type="dxa"/>
          </w:tcPr>
          <w:p w14:paraId="1CC4EE7E">
            <w:pPr>
              <w:spacing w:after="0" w:line="240" w:lineRule="auto"/>
            </w:pPr>
            <w:r>
              <w:t>随餐：餐中或餐后≤30分钟（或按方案要求餐后1小时内）；尽量避免灰区。</w:t>
            </w:r>
          </w:p>
        </w:tc>
        <w:tc>
          <w:tcPr>
            <w:tcW w:w="1728" w:type="dxa"/>
          </w:tcPr>
          <w:p w14:paraId="7700679B">
            <w:pPr>
              <w:spacing w:after="0" w:line="240" w:lineRule="auto"/>
            </w:pPr>
            <w:r>
              <w:t>记录是否随餐/餐后≤1小时及是否进入灰区；记录漏服与补服（如适用）及原因。</w:t>
            </w:r>
          </w:p>
        </w:tc>
      </w:tr>
      <w:tr w14:paraId="047DA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396A79E">
            <w:pPr>
              <w:spacing w:after="0" w:line="240" w:lineRule="auto"/>
            </w:pPr>
            <w:r>
              <w:t>队列A/队列B</w:t>
            </w:r>
          </w:p>
        </w:tc>
        <w:tc>
          <w:tcPr>
            <w:tcW w:w="1728" w:type="dxa"/>
          </w:tcPr>
          <w:p w14:paraId="091C557F">
            <w:pPr>
              <w:spacing w:after="0" w:line="240" w:lineRule="auto"/>
            </w:pPr>
            <w:r>
              <w:t>2HRZE/4HR（对照/短程）；2HRZE/7HR（延长；队列B继续策略）</w:t>
            </w:r>
          </w:p>
        </w:tc>
        <w:tc>
          <w:tcPr>
            <w:tcW w:w="1728" w:type="dxa"/>
          </w:tcPr>
          <w:p w14:paraId="5306242F">
            <w:pPr>
              <w:spacing w:after="0" w:line="240" w:lineRule="auto"/>
            </w:pPr>
            <w:r>
              <w:t>利福平（R）为核心方案时，优先空腹顿服以优化暴露；若空腹不耐受，可在研究医生指导下选择替代窗口并保持一致。HRZE强化期包含乙胺丁醇（E），需按月进行视力监测并宣教识别视力下降/视物模糊/色觉异常等症状。</w:t>
            </w:r>
          </w:p>
        </w:tc>
        <w:tc>
          <w:tcPr>
            <w:tcW w:w="1728" w:type="dxa"/>
          </w:tcPr>
          <w:p w14:paraId="2EE60191">
            <w:pPr>
              <w:spacing w:after="0" w:line="240" w:lineRule="auto"/>
            </w:pPr>
            <w:r>
              <w:t>优先空腹：餐前≥1小时或餐后≥2小时（如清晨空腹）；必要时采用中心一致的替代窗口。</w:t>
            </w:r>
          </w:p>
        </w:tc>
        <w:tc>
          <w:tcPr>
            <w:tcW w:w="1728" w:type="dxa"/>
          </w:tcPr>
          <w:p w14:paraId="689E0410">
            <w:pPr>
              <w:spacing w:after="0" w:line="240" w:lineRule="auto"/>
            </w:pPr>
            <w:r>
              <w:t>记录实际服药时间与窗口类型；如由空腹改为替代窗口需记录原因及批准人；E暴露期记录视力监测完成情况与异常处置。</w:t>
            </w:r>
          </w:p>
        </w:tc>
      </w:tr>
    </w:tbl>
    <w:p w14:paraId="2A6A8763">
      <w:pPr>
        <w:pStyle w:val="4"/>
      </w:pPr>
      <w:r>
        <w:t>5.5 漏服/错服/呕吐等特殊情况处理（原则性处置）</w:t>
      </w:r>
    </w:p>
    <w:p w14:paraId="43B7A4F0">
      <w:r>
        <w:t>（1）漏服：遵循“尽快补服、避免加倍”原则。对含利福喷丁（P）的方案：若同日发现漏服且距下一次计划给药&gt;12小时，可在当日补服1次（尽量仍满足随餐/餐后≤1小时窗口）；若≤12小时则跳过漏服剂量，次日按原计划恢复，不得加倍。对其他方案亦参照上述“&gt;12小时可补服1次；≤12小时跳过”规则执行。所有漏服/补服须记录并及时告知研究团队。</w:t>
      </w:r>
    </w:p>
    <w:p w14:paraId="26F65442">
      <w:r>
        <w:t>（2）错服（时间窗口错误或药物错误）：应立即联系研究团队；研究医生评估风险并给出处置；须按方案偏差流程记录（含原因、影响评估与纠正措施）。</w:t>
      </w:r>
    </w:p>
    <w:p w14:paraId="45ED3FA9">
      <w:r>
        <w:t>（3）呕吐：服药后发生呕吐时，受试者应停止自行补服并立即联系研究团队。研究医生结合呕吐发生时间（距服药时间）、症状程度与药物吸收特点评估是否需要补服或观察，并记录处置结论。</w:t>
      </w:r>
    </w:p>
    <w:p w14:paraId="59084E4F">
      <w:pPr>
        <w:pStyle w:val="4"/>
      </w:pPr>
      <w:r>
        <w:t>5.6 记录与EDC填写要点</w:t>
      </w:r>
    </w:p>
    <w:p w14:paraId="7AAE3C39">
      <w:r>
        <w:t>（1）核心字段：实际服药时间；窗口类型（空腹/随餐/灰区）；DOT执行者；ePillbox/Video-DOT证据；漏服/呕吐/不耐受及处理。</w:t>
      </w:r>
    </w:p>
    <w:p w14:paraId="1D0048D1">
      <w:r>
        <w:t>（2）如餐后30–120分钟服药，须勾选“进入灰区”并在备注栏写明原因。</w:t>
      </w:r>
    </w:p>
    <w:p w14:paraId="10F837D8">
      <w:r>
        <w:t>（3）研究团队需在源文件中保留：宣教完成记录、DOT/设备配置记录、依从性对账记录、纠正措施记录。</w:t>
      </w:r>
    </w:p>
    <w:p w14:paraId="30CD02C6">
      <w:pPr>
        <w:pStyle w:val="3"/>
      </w:pPr>
      <w:r>
        <w:t>6. 质量控制（QC）</w:t>
      </w:r>
    </w:p>
    <w:p w14:paraId="18095A94">
      <w:r>
        <w:t>（1）中心启动前培训：统一时间窗口定义、方案代码口径、DOT与电子工具流程。</w:t>
      </w:r>
    </w:p>
    <w:p w14:paraId="641E633C">
      <w:r>
        <w:t>（2）定期抽查：PMO/数据管理抽查ePillbox与EDC记录一致性；发现系统性偏差需组织再培训。</w:t>
      </w:r>
    </w:p>
    <w:p w14:paraId="3079AA83">
      <w:r>
        <w:t>（3）关键偏差：连续漏服、依从性显著下降、擅自停药或不按规定时间窗长期服药，均需按偏差流程记录并评估对主要终点的潜在影响。</w:t>
      </w:r>
    </w:p>
    <w:p w14:paraId="322C14B3">
      <w:pPr>
        <w:pStyle w:val="3"/>
      </w:pPr>
      <w:r>
        <w:t>附件A：服药记录卡（示例字段）</w:t>
      </w:r>
    </w:p>
    <w:p w14:paraId="7698C616">
      <w:r>
        <w:t>日期｜方案代码｜实际服药时间｜空腹/随餐/灰区｜DOT执行者｜ePillbox记录（是/否）｜Video-DOT（是/否）｜漏服/呕吐/不适（简述）｜备注/联系研究团队（时间）</w:t>
      </w:r>
    </w:p>
    <w:p w14:paraId="087C5C50">
      <w:pPr>
        <w:pStyle w:val="3"/>
      </w:pPr>
      <w:r>
        <w:t>附件B：服药时间窗口速查卡（现场宣教用）</w:t>
      </w:r>
    </w:p>
    <w:p w14:paraId="06650209">
      <w:r>
        <w:t>1) 含利福喷丁（P）的方案：随餐服用（餐中或餐后≤30分钟，或按方案要求餐后≤1小时）；尽量避免餐后30–120分钟灰区。</w:t>
      </w:r>
    </w:p>
    <w:p w14:paraId="09AE463D">
      <w:r>
        <w:t>2) 含利福平（R）的方案：优先空腹（餐前≥1小时或餐后≥2小时），如不耐受请联系研究医生，不要自行改变。HRZE强化期含乙胺丁醇（E），需按月做视力监测并及时报告视力下降/色觉异常。</w:t>
      </w:r>
    </w:p>
    <w:p w14:paraId="3A805630">
      <w:r>
        <w:t>3) 发现漏服/呕吐/严重不适：不要自行加倍补服或停药。一般规则：同日漏服且距下一次给药&gt;12小时可补服1次，≤12小时跳过；尽快联系研究团队并如实记录。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E0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3215</Words>
  <Characters>3812</Characters>
  <Lines>0</Lines>
  <Paragraphs>0</Paragraphs>
  <TotalTime>0</TotalTime>
  <ScaleCrop>false</ScaleCrop>
  <LinksUpToDate>false</LinksUpToDate>
  <CharactersWithSpaces>3853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付亮</cp:lastModifiedBy>
  <dcterms:modified xsi:type="dcterms:W3CDTF">2026-03-04T14:46:21Z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eyJoZGlkIjoiZTY1YTEzNzUzNjc3OTdhYTczZDYyMDcwZjdjMDcyY2UiLCJ1c2VySWQiOiIyMDkyMjY1MzMifQ==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DEEAC6D619B0463F8C8B104CCD5A1283_12</vt:lpwstr>
  </property>
</Properties>
</file>