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153A5">
      <w:pPr>
        <w:pStyle w:val="31"/>
        <w:widowControl/>
        <w:ind w:firstLine="1928" w:firstLineChars="600"/>
      </w:pPr>
      <w:r>
        <w:t>TB-DM 受试者糖尿病确诊与基线评估</w:t>
      </w:r>
    </w:p>
    <w:p w14:paraId="6EDB7CEF"/>
    <w:p w14:paraId="7DF3C734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1B5E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D0BE196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414332C0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43C8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CA02EB1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23B0D849">
            <w:pPr>
              <w:spacing w:after="0" w:line="240" w:lineRule="auto"/>
            </w:pPr>
            <w:r>
              <w:rPr>
                <w:sz w:val="21"/>
              </w:rPr>
              <w:t>TDSC-TB-DM-SOP01</w:t>
            </w:r>
          </w:p>
        </w:tc>
      </w:tr>
      <w:tr w14:paraId="3FF3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B5060E8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6D9B81D4">
            <w:pPr>
              <w:spacing w:after="0" w:line="240" w:lineRule="auto"/>
            </w:pPr>
            <w:r>
              <w:rPr>
                <w:sz w:val="21"/>
              </w:rPr>
              <w:t>TB-DM 受试者糖尿病确诊与基线评估</w:t>
            </w:r>
          </w:p>
        </w:tc>
      </w:tr>
      <w:tr w14:paraId="2409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8147D19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17DCEE6C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459C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BFA28FD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4915D83C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3C74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5089543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4A9330CE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3828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63DC149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28C97549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305C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F68C64C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628AEFCE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07D74004"/>
    <w:p w14:paraId="0836E499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7DD9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A9FB47D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0B4F0F6A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070F622E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1C37F1E3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2B9B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0DDC9BC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017899DD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040F162F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75068B4E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15566195"/>
    <w:p w14:paraId="156A20A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4FEF6FA1">
      <w:pPr>
        <w:pStyle w:val="19"/>
        <w:widowControl/>
      </w:pPr>
      <w:r>
        <w:t>目的：规范TB-DM受试者的糖尿病确诊与基线评估，形成一致的风险画像，为后续分层控糖与安全性管理提供可靠依据。</w:t>
      </w:r>
    </w:p>
    <w:p w14:paraId="79D2D6C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5BAD84BA">
      <w:pPr>
        <w:pStyle w:val="19"/>
        <w:widowControl/>
      </w:pPr>
      <w:r>
        <w:t>适用范围：适用于所有分中心TB-DM受试者筛选期与基线期（随机/入组确认前）。</w:t>
      </w:r>
    </w:p>
    <w:p w14:paraId="74EC6CB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术语定义</w:t>
      </w:r>
    </w:p>
    <w:p w14:paraId="0A3C8FFD">
      <w:pPr>
        <w:pStyle w:val="16"/>
        <w:bidi w:val="0"/>
        <w:ind w:left="360" w:leftChars="0" w:hanging="360" w:firstLineChars="0"/>
      </w:pPr>
      <w:r>
        <w:t>TB-DM：肺结核合并糖尿病。</w:t>
      </w:r>
    </w:p>
    <w:p w14:paraId="77F184A1">
      <w:pPr>
        <w:pStyle w:val="16"/>
        <w:bidi w:val="0"/>
        <w:ind w:left="360" w:leftChars="0" w:hanging="360" w:firstLineChars="0"/>
      </w:pPr>
      <w:r>
        <w:t>HbA1c：糖化血红蛋白，用于评估近2–3个月血糖控制。</w:t>
      </w:r>
    </w:p>
    <w:p w14:paraId="24D672EF">
      <w:pPr>
        <w:pStyle w:val="16"/>
        <w:bidi w:val="0"/>
        <w:ind w:left="360" w:leftChars="0" w:hanging="360" w:firstLineChars="0"/>
      </w:pPr>
      <w:r>
        <w:t>FPG/PPG：空腹血糖/餐后2小时血糖。</w:t>
      </w:r>
    </w:p>
    <w:p w14:paraId="39C703CD">
      <w:pPr>
        <w:pStyle w:val="16"/>
        <w:bidi w:val="0"/>
        <w:ind w:left="360" w:leftChars="0" w:hanging="360" w:firstLineChars="0"/>
      </w:pPr>
      <w:r>
        <w:t>GMP：控糖管理计划（EDC内）。</w:t>
      </w:r>
    </w:p>
    <w:p w14:paraId="202BA37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2BBEC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16E4C38">
            <w:pPr>
              <w:spacing w:after="0" w:line="240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500" w:type="pct"/>
          </w:tcPr>
          <w:p w14:paraId="2CB6D47C">
            <w:pPr>
              <w:spacing w:after="0" w:line="240" w:lineRule="auto"/>
            </w:pPr>
            <w:r>
              <w:rPr>
                <w:b/>
                <w:sz w:val="21"/>
              </w:rPr>
              <w:t>职责</w:t>
            </w:r>
          </w:p>
        </w:tc>
      </w:tr>
      <w:tr w14:paraId="7103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8C81D59">
            <w:pPr>
              <w:spacing w:after="0" w:line="240" w:lineRule="auto"/>
            </w:pPr>
            <w:r>
              <w:rPr>
                <w:sz w:val="21"/>
              </w:rPr>
              <w:t>分中心研究者（结核科）</w:t>
            </w:r>
          </w:p>
        </w:tc>
        <w:tc>
          <w:tcPr>
            <w:tcW w:w="2500" w:type="pct"/>
          </w:tcPr>
          <w:p w14:paraId="21DCABC0">
            <w:pPr>
              <w:spacing w:after="0" w:line="240" w:lineRule="auto"/>
            </w:pPr>
            <w:r>
              <w:rPr>
                <w:sz w:val="21"/>
              </w:rPr>
              <w:t>确认入排标准；开立基线检查；整合TB与DM评估。</w:t>
            </w:r>
          </w:p>
        </w:tc>
      </w:tr>
      <w:tr w14:paraId="094B2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D26B7CB">
            <w:pPr>
              <w:spacing w:after="0" w:line="240" w:lineRule="auto"/>
            </w:pPr>
            <w:r>
              <w:rPr>
                <w:sz w:val="21"/>
              </w:rPr>
              <w:t>内分泌医生</w:t>
            </w:r>
          </w:p>
        </w:tc>
        <w:tc>
          <w:tcPr>
            <w:tcW w:w="2500" w:type="pct"/>
          </w:tcPr>
          <w:p w14:paraId="056849BE">
            <w:pPr>
              <w:spacing w:after="0" w:line="240" w:lineRule="auto"/>
            </w:pPr>
            <w:r>
              <w:rPr>
                <w:sz w:val="21"/>
              </w:rPr>
              <w:t>确认糖尿病类型/表型；并发症分期；必要时设定个体化目标。</w:t>
            </w:r>
          </w:p>
        </w:tc>
      </w:tr>
      <w:tr w14:paraId="670A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82C969D">
            <w:pPr>
              <w:spacing w:after="0" w:line="240" w:lineRule="auto"/>
            </w:pPr>
            <w:r>
              <w:rPr>
                <w:sz w:val="21"/>
              </w:rPr>
              <w:t>研究护士</w:t>
            </w:r>
          </w:p>
        </w:tc>
        <w:tc>
          <w:tcPr>
            <w:tcW w:w="2500" w:type="pct"/>
          </w:tcPr>
          <w:p w14:paraId="1DF71D72">
            <w:pPr>
              <w:spacing w:after="0" w:line="240" w:lineRule="auto"/>
            </w:pPr>
            <w:r>
              <w:rPr>
                <w:sz w:val="21"/>
              </w:rPr>
              <w:t>采集病史与量表；完成培训；确保表单完整。</w:t>
            </w:r>
          </w:p>
        </w:tc>
      </w:tr>
      <w:tr w14:paraId="1A78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1283AEF">
            <w:pPr>
              <w:spacing w:after="0" w:line="240" w:lineRule="auto"/>
            </w:pPr>
            <w:r>
              <w:rPr>
                <w:sz w:val="21"/>
              </w:rPr>
              <w:t>临床药师</w:t>
            </w:r>
          </w:p>
        </w:tc>
        <w:tc>
          <w:tcPr>
            <w:tcW w:w="2500" w:type="pct"/>
          </w:tcPr>
          <w:p w14:paraId="04563DAD">
            <w:pPr>
              <w:spacing w:after="0" w:line="240" w:lineRule="auto"/>
            </w:pPr>
            <w:r>
              <w:rPr>
                <w:sz w:val="21"/>
              </w:rPr>
              <w:t>用药核对；利福喷丁方案DDI预检。</w:t>
            </w:r>
          </w:p>
        </w:tc>
      </w:tr>
      <w:tr w14:paraId="22E6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9BF546F">
            <w:pPr>
              <w:spacing w:after="0" w:line="240" w:lineRule="auto"/>
            </w:pPr>
            <w:r>
              <w:rPr>
                <w:sz w:val="21"/>
              </w:rPr>
              <w:t>数据管理员</w:t>
            </w:r>
          </w:p>
        </w:tc>
        <w:tc>
          <w:tcPr>
            <w:tcW w:w="2500" w:type="pct"/>
          </w:tcPr>
          <w:p w14:paraId="763CBFFD">
            <w:pPr>
              <w:spacing w:after="0" w:line="240" w:lineRule="auto"/>
            </w:pPr>
            <w:r>
              <w:rPr>
                <w:sz w:val="21"/>
              </w:rPr>
              <w:t>基线完整性核查；缺失项查询；执行EDC逻辑锁。</w:t>
            </w:r>
          </w:p>
        </w:tc>
      </w:tr>
    </w:tbl>
    <w:p w14:paraId="116968F9"/>
    <w:p w14:paraId="39A1D85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操作流程</w:t>
      </w:r>
    </w:p>
    <w:p w14:paraId="41D85A33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糖尿病确诊</w:t>
      </w:r>
    </w:p>
    <w:p w14:paraId="66943B6E">
      <w:pPr>
        <w:pStyle w:val="16"/>
        <w:bidi w:val="0"/>
        <w:ind w:left="360" w:leftChars="0" w:hanging="360" w:firstLineChars="0"/>
        <w:rPr>
          <w:b w:val="0"/>
        </w:rPr>
      </w:pPr>
      <w:r>
        <w:t>按分中心临床规范确认糖尿病诊断（记录诊断依据与诊断时间）。</w:t>
      </w:r>
    </w:p>
    <w:p w14:paraId="7C7EBF21">
      <w:pPr>
        <w:pStyle w:val="16"/>
        <w:bidi w:val="0"/>
        <w:ind w:left="360" w:leftChars="0" w:hanging="360" w:firstLineChars="0"/>
        <w:rPr>
          <w:b w:val="0"/>
        </w:rPr>
      </w:pPr>
      <w:r>
        <w:t>记录既往降糖治疗史、严重低血糖/酮症酸中毒（DKA）史。</w:t>
      </w:r>
    </w:p>
    <w:p w14:paraId="655EA7A4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基线评估（最低数据集）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9"/>
        <w:gridCol w:w="3319"/>
        <w:gridCol w:w="3320"/>
      </w:tblGrid>
      <w:tr w14:paraId="2184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E181362">
            <w:pPr>
              <w:spacing w:after="0" w:line="240" w:lineRule="auto"/>
            </w:pPr>
            <w:r>
              <w:rPr>
                <w:b/>
                <w:sz w:val="21"/>
              </w:rPr>
              <w:t>领域</w:t>
            </w:r>
          </w:p>
        </w:tc>
        <w:tc>
          <w:tcPr>
            <w:tcW w:w="1666" w:type="pct"/>
          </w:tcPr>
          <w:p w14:paraId="7CA2DAA1">
            <w:pPr>
              <w:spacing w:after="0" w:line="240" w:lineRule="auto"/>
            </w:pPr>
            <w:r>
              <w:rPr>
                <w:b/>
                <w:sz w:val="21"/>
              </w:rPr>
              <w:t>最低采集项目</w:t>
            </w:r>
          </w:p>
        </w:tc>
        <w:tc>
          <w:tcPr>
            <w:tcW w:w="1666" w:type="pct"/>
          </w:tcPr>
          <w:p w14:paraId="28718F4C">
            <w:pPr>
              <w:spacing w:after="0" w:line="240" w:lineRule="auto"/>
            </w:pPr>
            <w:r>
              <w:rPr>
                <w:b/>
                <w:sz w:val="21"/>
              </w:rPr>
              <w:t>时间窗</w:t>
            </w:r>
          </w:p>
        </w:tc>
      </w:tr>
      <w:tr w14:paraId="4991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63579F0">
            <w:pPr>
              <w:spacing w:after="0" w:line="240" w:lineRule="auto"/>
            </w:pPr>
            <w:r>
              <w:rPr>
                <w:sz w:val="21"/>
              </w:rPr>
              <w:t>血糖控制</w:t>
            </w:r>
          </w:p>
        </w:tc>
        <w:tc>
          <w:tcPr>
            <w:tcW w:w="1666" w:type="pct"/>
          </w:tcPr>
          <w:p w14:paraId="0EAF4275">
            <w:pPr>
              <w:spacing w:after="0" w:line="240" w:lineRule="auto"/>
            </w:pPr>
            <w:r>
              <w:rPr>
                <w:sz w:val="21"/>
              </w:rPr>
              <w:t>HbA1c；空腹血糖；餐后2小时血糖（无法时随机血糖）；可得时既往SMBG模式</w:t>
            </w:r>
          </w:p>
        </w:tc>
        <w:tc>
          <w:tcPr>
            <w:tcW w:w="1666" w:type="pct"/>
          </w:tcPr>
          <w:p w14:paraId="7473FC40">
            <w:pPr>
              <w:spacing w:after="0" w:line="240" w:lineRule="auto"/>
            </w:pPr>
            <w:r>
              <w:rPr>
                <w:sz w:val="21"/>
              </w:rPr>
              <w:t>基线前14天内</w:t>
            </w:r>
          </w:p>
        </w:tc>
      </w:tr>
      <w:tr w14:paraId="2D26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CEF326B">
            <w:pPr>
              <w:spacing w:after="0" w:line="240" w:lineRule="auto"/>
            </w:pPr>
            <w:r>
              <w:rPr>
                <w:sz w:val="21"/>
              </w:rPr>
              <w:t>并发症</w:t>
            </w:r>
          </w:p>
        </w:tc>
        <w:tc>
          <w:tcPr>
            <w:tcW w:w="1666" w:type="pct"/>
          </w:tcPr>
          <w:p w14:paraId="743BB482">
            <w:pPr>
              <w:spacing w:after="0" w:line="240" w:lineRule="auto"/>
            </w:pPr>
            <w:r>
              <w:rPr>
                <w:sz w:val="21"/>
              </w:rPr>
              <w:t>视网膜病变史；肾病（可做UACR更佳）；神经病变症状；心脑血管史；足部风险筛查</w:t>
            </w:r>
          </w:p>
        </w:tc>
        <w:tc>
          <w:tcPr>
            <w:tcW w:w="1666" w:type="pct"/>
          </w:tcPr>
          <w:p w14:paraId="43C4ABFA">
            <w:pPr>
              <w:spacing w:after="0" w:line="240" w:lineRule="auto"/>
            </w:pPr>
            <w:r>
              <w:rPr>
                <w:sz w:val="21"/>
              </w:rPr>
              <w:t>基线访视</w:t>
            </w:r>
          </w:p>
        </w:tc>
      </w:tr>
      <w:tr w14:paraId="571C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B072B86">
            <w:pPr>
              <w:spacing w:after="0" w:line="240" w:lineRule="auto"/>
            </w:pPr>
            <w:r>
              <w:rPr>
                <w:sz w:val="21"/>
              </w:rPr>
              <w:t>脏器功能</w:t>
            </w:r>
          </w:p>
        </w:tc>
        <w:tc>
          <w:tcPr>
            <w:tcW w:w="1666" w:type="pct"/>
          </w:tcPr>
          <w:p w14:paraId="2BD04B6D">
            <w:pPr>
              <w:spacing w:after="0" w:line="240" w:lineRule="auto"/>
            </w:pPr>
            <w:r>
              <w:rPr>
                <w:sz w:val="21"/>
              </w:rPr>
              <w:t>肌酐/eGFR；ALT/AST；白蛋白；（必要时）妊娠试验</w:t>
            </w:r>
          </w:p>
        </w:tc>
        <w:tc>
          <w:tcPr>
            <w:tcW w:w="1666" w:type="pct"/>
          </w:tcPr>
          <w:p w14:paraId="25371147">
            <w:pPr>
              <w:spacing w:after="0" w:line="240" w:lineRule="auto"/>
            </w:pPr>
            <w:r>
              <w:rPr>
                <w:sz w:val="21"/>
              </w:rPr>
              <w:t>14天内</w:t>
            </w:r>
          </w:p>
        </w:tc>
      </w:tr>
      <w:tr w14:paraId="451C6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F117683">
            <w:pPr>
              <w:spacing w:after="0" w:line="240" w:lineRule="auto"/>
            </w:pPr>
            <w:r>
              <w:rPr>
                <w:sz w:val="21"/>
              </w:rPr>
              <w:t>人体测量</w:t>
            </w:r>
          </w:p>
        </w:tc>
        <w:tc>
          <w:tcPr>
            <w:tcW w:w="1666" w:type="pct"/>
          </w:tcPr>
          <w:p w14:paraId="01F9652B">
            <w:pPr>
              <w:spacing w:after="0" w:line="240" w:lineRule="auto"/>
            </w:pPr>
            <w:r>
              <w:rPr>
                <w:sz w:val="21"/>
              </w:rPr>
              <w:t>身高体重、BMI、血压；TB严重程度指标按方案</w:t>
            </w:r>
          </w:p>
        </w:tc>
        <w:tc>
          <w:tcPr>
            <w:tcW w:w="1666" w:type="pct"/>
          </w:tcPr>
          <w:p w14:paraId="22D0A2BE">
            <w:pPr>
              <w:spacing w:after="0" w:line="240" w:lineRule="auto"/>
            </w:pPr>
            <w:r>
              <w:rPr>
                <w:sz w:val="21"/>
              </w:rPr>
              <w:t>基线访视</w:t>
            </w:r>
          </w:p>
        </w:tc>
      </w:tr>
      <w:tr w14:paraId="5B0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ACA10A3">
            <w:pPr>
              <w:spacing w:after="0" w:line="240" w:lineRule="auto"/>
            </w:pPr>
            <w:r>
              <w:rPr>
                <w:sz w:val="21"/>
              </w:rPr>
              <w:t>用药核对</w:t>
            </w:r>
          </w:p>
        </w:tc>
        <w:tc>
          <w:tcPr>
            <w:tcW w:w="1666" w:type="pct"/>
          </w:tcPr>
          <w:p w14:paraId="1F2457A2">
            <w:pPr>
              <w:spacing w:after="0" w:line="240" w:lineRule="auto"/>
            </w:pPr>
            <w:r>
              <w:rPr>
                <w:sz w:val="21"/>
              </w:rPr>
              <w:t>所有用药（抗结核、降糖、他汀、抗凝等）</w:t>
            </w:r>
          </w:p>
        </w:tc>
        <w:tc>
          <w:tcPr>
            <w:tcW w:w="1666" w:type="pct"/>
          </w:tcPr>
          <w:p w14:paraId="5397A198">
            <w:pPr>
              <w:spacing w:after="0" w:line="240" w:lineRule="auto"/>
            </w:pPr>
            <w:r>
              <w:rPr>
                <w:sz w:val="21"/>
              </w:rPr>
              <w:t>基线访视</w:t>
            </w:r>
          </w:p>
        </w:tc>
      </w:tr>
    </w:tbl>
    <w:p w14:paraId="1A7AC881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风险标记与即时处置</w:t>
      </w:r>
    </w:p>
    <w:p w14:paraId="7B1E939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HbA1c&gt;9% 或空腹&gt;11.1 mmol/L：72小时内内分泌评估，考虑胰岛素强化。</w:t>
      </w:r>
    </w:p>
    <w:p w14:paraId="47759F5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HbA1c&gt;10% 或空腹&gt;15 mmol/L 或伴明显高血糖症状：当天完成内分泌评估。</w:t>
      </w:r>
    </w:p>
    <w:p w14:paraId="2C59EEF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既往DKA/酮症史或正在使用SGLT2：强化酮症教育与急危预案（SOP08）。</w:t>
      </w:r>
    </w:p>
    <w:p w14:paraId="743ACAE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肾功能受损（eGFR&lt;45）：评估二甲双胍适用性与剂量，并记录管理计划。</w:t>
      </w:r>
    </w:p>
    <w:p w14:paraId="7526F150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EDC要求（逻辑锁）</w:t>
      </w:r>
    </w:p>
    <w:p w14:paraId="5F33A94F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随机/入组确认前必须完成《糖尿病基线评估表》（见SOP10逻辑锁）。</w:t>
      </w:r>
    </w:p>
    <w:p w14:paraId="657A1476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基线必须建立GMP并由结核科医生签署；队列B/强化路径建议内分泌医生共同签署。</w:t>
      </w:r>
    </w:p>
    <w:p w14:paraId="5A8CE96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bookmarkStart w:id="0" w:name="_GoBack"/>
      <w:bookmarkEnd w:id="0"/>
      <w:r>
        <w:t>记录与存档</w:t>
      </w:r>
    </w:p>
    <w:p w14:paraId="441DB08B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EDC《糖尿病基线评估表》。</w:t>
      </w:r>
    </w:p>
    <w:p w14:paraId="0BD679E7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《用药核对清单》及DDI预检记录（SOP06）。</w:t>
      </w:r>
    </w:p>
    <w:p w14:paraId="3141EA21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GMP（基线版）及患者教育确认单。</w:t>
      </w:r>
    </w:p>
    <w:p w14:paraId="5D733767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3F38C"/>
    <w:multiLevelType w:val="singleLevel"/>
    <w:tmpl w:val="8603F38C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">
    <w:nsid w:val="96A6EAAE"/>
    <w:multiLevelType w:val="singleLevel"/>
    <w:tmpl w:val="96A6EAA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C6FD4FAE"/>
    <w:multiLevelType w:val="singleLevel"/>
    <w:tmpl w:val="C6FD4FA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157494D"/>
    <w:multiLevelType w:val="singleLevel"/>
    <w:tmpl w:val="1157494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5B3040B2"/>
    <w:multiLevelType w:val="singleLevel"/>
    <w:tmpl w:val="5B3040B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76A3D25D"/>
    <w:multiLevelType w:val="singleLevel"/>
    <w:tmpl w:val="76A3D25D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B34E0E"/>
    <w:rsid w:val="1038246B"/>
    <w:rsid w:val="5062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906</Words>
  <Characters>1089</Characters>
  <Lines>0</Lines>
  <Paragraphs>0</Paragraphs>
  <TotalTime>1</TotalTime>
  <ScaleCrop>false</ScaleCrop>
  <LinksUpToDate>false</LinksUpToDate>
  <CharactersWithSpaces>1100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2026-03-13T02:50:45Z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3EE219A4D49048E082E3EA4AF2566960_12</vt:lpwstr>
  </property>
</Properties>
</file>