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3AEA6">
      <w:pPr>
        <w:pStyle w:val="31"/>
        <w:widowControl/>
        <w:ind w:firstLine="2249" w:firstLineChars="700"/>
      </w:pPr>
      <w:r>
        <w:t>TB-DM 分层控糖路径（AI驱动）</w:t>
      </w:r>
    </w:p>
    <w:p w14:paraId="26FB788C"/>
    <w:p w14:paraId="5295D267">
      <w:pPr>
        <w:pStyle w:val="3"/>
        <w:widowControl/>
      </w:pPr>
      <w:r>
        <w:t>文件控制信息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171C1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7EFE9261">
            <w:pPr>
              <w:spacing w:after="0" w:line="240" w:lineRule="auto"/>
            </w:pPr>
            <w:r>
              <w:rPr>
                <w:sz w:val="21"/>
              </w:rPr>
              <w:t>研究</w:t>
            </w:r>
          </w:p>
        </w:tc>
        <w:tc>
          <w:tcPr>
            <w:tcW w:w="2500" w:type="pct"/>
            <w:vAlign w:val="center"/>
          </w:tcPr>
          <w:p w14:paraId="343493F1">
            <w:pPr>
              <w:spacing w:after="0" w:line="240" w:lineRule="auto"/>
            </w:pPr>
            <w:r>
              <w:rPr>
                <w:sz w:val="21"/>
              </w:rPr>
              <w:t>TDSC</w:t>
            </w:r>
          </w:p>
        </w:tc>
      </w:tr>
      <w:tr w14:paraId="6E66E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0E941677">
            <w:pPr>
              <w:spacing w:after="0" w:line="240" w:lineRule="auto"/>
            </w:pPr>
            <w:r>
              <w:rPr>
                <w:sz w:val="21"/>
              </w:rPr>
              <w:t>SOP编号</w:t>
            </w:r>
          </w:p>
        </w:tc>
        <w:tc>
          <w:tcPr>
            <w:tcW w:w="2500" w:type="pct"/>
            <w:vAlign w:val="center"/>
          </w:tcPr>
          <w:p w14:paraId="1D6DD5FF">
            <w:pPr>
              <w:spacing w:after="0" w:line="240" w:lineRule="auto"/>
            </w:pPr>
            <w:r>
              <w:rPr>
                <w:sz w:val="21"/>
              </w:rPr>
              <w:t>TDSC-TB-DM-SOP02</w:t>
            </w:r>
          </w:p>
        </w:tc>
      </w:tr>
      <w:tr w14:paraId="5C0EE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13735CF3">
            <w:pPr>
              <w:spacing w:after="0" w:line="240" w:lineRule="auto"/>
            </w:pPr>
            <w:r>
              <w:rPr>
                <w:sz w:val="21"/>
              </w:rPr>
              <w:t>标题</w:t>
            </w:r>
          </w:p>
        </w:tc>
        <w:tc>
          <w:tcPr>
            <w:tcW w:w="2500" w:type="pct"/>
            <w:vAlign w:val="center"/>
          </w:tcPr>
          <w:p w14:paraId="1CA6AFDB">
            <w:pPr>
              <w:spacing w:after="0" w:line="240" w:lineRule="auto"/>
            </w:pPr>
            <w:r>
              <w:rPr>
                <w:sz w:val="21"/>
              </w:rPr>
              <w:t>TB-DM 分层控糖路径（AI驱动）</w:t>
            </w:r>
          </w:p>
        </w:tc>
      </w:tr>
      <w:tr w14:paraId="2F30F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C7119F4">
            <w:pPr>
              <w:spacing w:after="0" w:line="240" w:lineRule="auto"/>
            </w:pPr>
            <w:r>
              <w:rPr>
                <w:sz w:val="21"/>
              </w:rPr>
              <w:t>版本</w:t>
            </w:r>
          </w:p>
        </w:tc>
        <w:tc>
          <w:tcPr>
            <w:tcW w:w="2500" w:type="pct"/>
            <w:vAlign w:val="center"/>
          </w:tcPr>
          <w:p w14:paraId="6D763E4D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</w:tr>
      <w:tr w14:paraId="0A08D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05EA27E1">
            <w:pPr>
              <w:spacing w:after="0" w:line="240" w:lineRule="auto"/>
            </w:pPr>
            <w:r>
              <w:rPr>
                <w:sz w:val="21"/>
              </w:rPr>
              <w:t>生效日期</w:t>
            </w:r>
          </w:p>
        </w:tc>
        <w:tc>
          <w:tcPr>
            <w:tcW w:w="2500" w:type="pct"/>
            <w:vAlign w:val="center"/>
          </w:tcPr>
          <w:p w14:paraId="17C5D91F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</w:tr>
      <w:tr w14:paraId="1026C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2D426394">
            <w:pPr>
              <w:spacing w:after="0" w:line="240" w:lineRule="auto"/>
            </w:pPr>
            <w:r>
              <w:rPr>
                <w:sz w:val="21"/>
              </w:rPr>
              <w:t>牵头部门</w:t>
            </w:r>
          </w:p>
        </w:tc>
        <w:tc>
          <w:tcPr>
            <w:tcW w:w="2500" w:type="pct"/>
            <w:vAlign w:val="center"/>
          </w:tcPr>
          <w:p w14:paraId="3EF1BFA4">
            <w:pPr>
              <w:spacing w:after="0" w:line="240" w:lineRule="auto"/>
            </w:pPr>
            <w:r>
              <w:rPr>
                <w:sz w:val="21"/>
              </w:rPr>
              <w:t>TB-DM MDT工作组</w:t>
            </w:r>
          </w:p>
        </w:tc>
      </w:tr>
      <w:tr w14:paraId="4E258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1DF6EFA2">
            <w:pPr>
              <w:spacing w:after="0" w:line="240" w:lineRule="auto"/>
            </w:pPr>
            <w:r>
              <w:rPr>
                <w:sz w:val="21"/>
              </w:rPr>
              <w:t>起草</w:t>
            </w:r>
          </w:p>
        </w:tc>
        <w:tc>
          <w:tcPr>
            <w:tcW w:w="2500" w:type="pct"/>
            <w:vAlign w:val="center"/>
          </w:tcPr>
          <w:p w14:paraId="443C70D8">
            <w:pPr>
              <w:spacing w:after="0" w:line="240" w:lineRule="auto"/>
            </w:pPr>
            <w:r>
              <w:rPr>
                <w:sz w:val="21"/>
              </w:rPr>
              <w:t>TDSC 方法学与数据团队</w:t>
            </w:r>
          </w:p>
        </w:tc>
      </w:tr>
      <w:tr w14:paraId="7BAB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62F12AEE">
            <w:pPr>
              <w:spacing w:after="0" w:line="240" w:lineRule="auto"/>
            </w:pPr>
            <w:r>
              <w:rPr>
                <w:sz w:val="21"/>
              </w:rPr>
              <w:t>批准</w:t>
            </w:r>
          </w:p>
        </w:tc>
        <w:tc>
          <w:tcPr>
            <w:tcW w:w="2500" w:type="pct"/>
            <w:vAlign w:val="center"/>
          </w:tcPr>
          <w:p w14:paraId="720D4D32">
            <w:pPr>
              <w:spacing w:after="0" w:line="240" w:lineRule="auto"/>
            </w:pPr>
            <w:r>
              <w:rPr>
                <w:sz w:val="21"/>
              </w:rPr>
              <w:t>PI / 指导委员会</w:t>
            </w:r>
          </w:p>
        </w:tc>
      </w:tr>
    </w:tbl>
    <w:p w14:paraId="4ECBD944"/>
    <w:p w14:paraId="6C27F815">
      <w:pPr>
        <w:pStyle w:val="3"/>
        <w:widowControl/>
      </w:pPr>
      <w:r>
        <w:t>修订记录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20869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1D405F7">
            <w:pPr>
              <w:spacing w:after="0" w:line="240" w:lineRule="auto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1250" w:type="pct"/>
          </w:tcPr>
          <w:p w14:paraId="4170B7AE">
            <w:pPr>
              <w:spacing w:after="0" w:line="240" w:lineRule="auto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w="1250" w:type="pct"/>
          </w:tcPr>
          <w:p w14:paraId="7DFD775B">
            <w:pPr>
              <w:spacing w:after="0" w:line="240" w:lineRule="auto"/>
            </w:pPr>
            <w:r>
              <w:rPr>
                <w:b/>
                <w:sz w:val="21"/>
              </w:rPr>
              <w:t>修订内容</w:t>
            </w:r>
          </w:p>
        </w:tc>
        <w:tc>
          <w:tcPr>
            <w:tcW w:w="1250" w:type="pct"/>
          </w:tcPr>
          <w:p w14:paraId="665A71D0">
            <w:pPr>
              <w:spacing w:after="0" w:line="240" w:lineRule="auto"/>
            </w:pPr>
            <w:r>
              <w:rPr>
                <w:b/>
                <w:sz w:val="21"/>
              </w:rPr>
              <w:t>作者</w:t>
            </w:r>
          </w:p>
        </w:tc>
      </w:tr>
      <w:tr w14:paraId="43FFE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FCE57DD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  <w:tc>
          <w:tcPr>
            <w:tcW w:w="1250" w:type="pct"/>
          </w:tcPr>
          <w:p w14:paraId="20885C24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  <w:tc>
          <w:tcPr>
            <w:tcW w:w="1250" w:type="pct"/>
          </w:tcPr>
          <w:p w14:paraId="4808DB20">
            <w:pPr>
              <w:spacing w:after="0" w:line="240" w:lineRule="auto"/>
            </w:pPr>
            <w:r>
              <w:rPr>
                <w:sz w:val="21"/>
              </w:rPr>
              <w:t>首次发布。</w:t>
            </w:r>
          </w:p>
        </w:tc>
        <w:tc>
          <w:tcPr>
            <w:tcW w:w="1250" w:type="pct"/>
          </w:tcPr>
          <w:p w14:paraId="3C89C334">
            <w:pPr>
              <w:spacing w:after="0" w:line="240" w:lineRule="auto"/>
            </w:pPr>
            <w:r>
              <w:rPr>
                <w:sz w:val="21"/>
              </w:rPr>
              <w:t>—</w:t>
            </w:r>
          </w:p>
        </w:tc>
      </w:tr>
    </w:tbl>
    <w:p w14:paraId="1C591F76"/>
    <w:p w14:paraId="1DD8F55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638853CF">
      <w:pPr>
        <w:pStyle w:val="19"/>
        <w:widowControl/>
      </w:pPr>
      <w:r>
        <w:t>目的：在TDSC研究中建立AI驱动的TB-DM分层控糖路径，形成多中心可复制、可审计的控糖策略，以兼顾疗效、安全性与可执行性。</w:t>
      </w:r>
    </w:p>
    <w:p w14:paraId="00C1D7D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117023F9">
      <w:pPr>
        <w:pStyle w:val="19"/>
        <w:widowControl/>
      </w:pPr>
      <w:r>
        <w:t>适用范围：适用于所有入组TB-DM受试者，覆盖筛选期至随访结束。本SOP与TB-DM-SOP03/04/06/08/10及TDSC既有AE/SAE体系衔接。</w:t>
      </w:r>
    </w:p>
    <w:p w14:paraId="2B6E333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术语定义</w:t>
      </w:r>
    </w:p>
    <w:p w14:paraId="5321C1BF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队列A（适合短程/低风险）：以HbA1c目标为主的标准化控糖路径。</w:t>
      </w:r>
    </w:p>
    <w:p w14:paraId="3E2E3847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队列B（中高风险/难治倾向）：以CGM+TIR目标为主的强化控糖路径。</w:t>
      </w:r>
    </w:p>
    <w:p w14:paraId="0FF3FD95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SMBG：指尖血糖自我监测；CGM：动态血糖监测；AGP：动态葡萄糖图谱；TIR：目标范围内时间（70–180 mg/dL）。</w:t>
      </w:r>
    </w:p>
    <w:p w14:paraId="232D4F33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DPM：医护端管理平台；APP：患者端数据上传/提醒平台。</w:t>
      </w:r>
    </w:p>
    <w:p w14:paraId="65AC92BF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红绿灯预警：绿灯（稳定）、黄灯（注意）、红灯（危急）。</w:t>
      </w:r>
    </w:p>
    <w:p w14:paraId="14C165B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职责分工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673F3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5B13640">
            <w:pPr>
              <w:spacing w:after="0" w:line="240" w:lineRule="auto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2500" w:type="pct"/>
          </w:tcPr>
          <w:p w14:paraId="1865C6A2">
            <w:pPr>
              <w:spacing w:after="0" w:line="240" w:lineRule="auto"/>
            </w:pPr>
            <w:r>
              <w:rPr>
                <w:b/>
                <w:sz w:val="21"/>
              </w:rPr>
              <w:t>主要职责</w:t>
            </w:r>
          </w:p>
        </w:tc>
      </w:tr>
      <w:tr w14:paraId="4F96C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C57DC42">
            <w:pPr>
              <w:spacing w:after="0" w:line="240" w:lineRule="auto"/>
            </w:pPr>
            <w:r>
              <w:rPr>
                <w:sz w:val="21"/>
              </w:rPr>
              <w:t>结核科医生（PI/研究者）</w:t>
            </w:r>
          </w:p>
        </w:tc>
        <w:tc>
          <w:tcPr>
            <w:tcW w:w="2500" w:type="pct"/>
          </w:tcPr>
          <w:p w14:paraId="12C8328B">
            <w:pPr>
              <w:spacing w:after="0" w:line="240" w:lineRule="auto"/>
            </w:pPr>
            <w:r>
              <w:rPr>
                <w:sz w:val="21"/>
              </w:rPr>
              <w:t>总体临床管理；将抗结核方案与控糖路径整合；必要时启动MDT。</w:t>
            </w:r>
          </w:p>
        </w:tc>
      </w:tr>
      <w:tr w14:paraId="17A0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D6C0B9C">
            <w:pPr>
              <w:spacing w:after="0" w:line="240" w:lineRule="auto"/>
            </w:pPr>
            <w:r>
              <w:rPr>
                <w:sz w:val="21"/>
              </w:rPr>
              <w:t>内分泌科医生</w:t>
            </w:r>
          </w:p>
        </w:tc>
        <w:tc>
          <w:tcPr>
            <w:tcW w:w="2500" w:type="pct"/>
          </w:tcPr>
          <w:p w14:paraId="70725285">
            <w:pPr>
              <w:spacing w:after="0" w:line="240" w:lineRule="auto"/>
            </w:pPr>
            <w:r>
              <w:rPr>
                <w:sz w:val="21"/>
              </w:rPr>
              <w:t>制定/调整降糖方案；解读CGM/AGP；参与紧急事件决策。</w:t>
            </w:r>
          </w:p>
        </w:tc>
      </w:tr>
      <w:tr w14:paraId="52706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BA195B9">
            <w:pPr>
              <w:spacing w:after="0" w:line="240" w:lineRule="auto"/>
            </w:pPr>
            <w:r>
              <w:rPr>
                <w:sz w:val="21"/>
              </w:rPr>
              <w:t>研究护士/协调员</w:t>
            </w:r>
          </w:p>
        </w:tc>
        <w:tc>
          <w:tcPr>
            <w:tcW w:w="2500" w:type="pct"/>
          </w:tcPr>
          <w:p w14:paraId="77B831C4">
            <w:pPr>
              <w:spacing w:after="0" w:line="240" w:lineRule="auto"/>
            </w:pPr>
            <w:r>
              <w:rPr>
                <w:sz w:val="21"/>
              </w:rPr>
              <w:t>培训与随访；监测DPM预警并首轮响应；在EDC记录闭环。</w:t>
            </w:r>
          </w:p>
        </w:tc>
      </w:tr>
      <w:tr w14:paraId="3EADA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E10241E">
            <w:pPr>
              <w:spacing w:after="0" w:line="240" w:lineRule="auto"/>
            </w:pPr>
            <w:r>
              <w:rPr>
                <w:sz w:val="21"/>
              </w:rPr>
              <w:t>临床药师</w:t>
            </w:r>
          </w:p>
        </w:tc>
        <w:tc>
          <w:tcPr>
            <w:tcW w:w="2500" w:type="pct"/>
          </w:tcPr>
          <w:p w14:paraId="05181488">
            <w:pPr>
              <w:spacing w:after="0" w:line="240" w:lineRule="auto"/>
            </w:pPr>
            <w:r>
              <w:rPr>
                <w:sz w:val="21"/>
              </w:rPr>
              <w:t>用药核对；评估利福喷丁相关DDI并提出替代建议。</w:t>
            </w:r>
          </w:p>
        </w:tc>
      </w:tr>
      <w:tr w14:paraId="1997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EE1724F">
            <w:pPr>
              <w:spacing w:after="0" w:line="240" w:lineRule="auto"/>
            </w:pPr>
            <w:r>
              <w:rPr>
                <w:sz w:val="21"/>
              </w:rPr>
              <w:t>数据管理员</w:t>
            </w:r>
          </w:p>
        </w:tc>
        <w:tc>
          <w:tcPr>
            <w:tcW w:w="2500" w:type="pct"/>
          </w:tcPr>
          <w:p w14:paraId="51A08A46">
            <w:pPr>
              <w:spacing w:after="0" w:line="240" w:lineRule="auto"/>
            </w:pPr>
            <w:r>
              <w:rPr>
                <w:sz w:val="21"/>
              </w:rPr>
              <w:t>数据完整性与一致性；逻辑锁配置；处理DPM与EDC对账。</w:t>
            </w:r>
          </w:p>
        </w:tc>
      </w:tr>
    </w:tbl>
    <w:p w14:paraId="7CFC2F89"/>
    <w:p w14:paraId="0B0AE79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操作流程</w:t>
      </w:r>
    </w:p>
    <w:p w14:paraId="32D6A2C8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  <w:bdr w:val="none" w:sz="0" w:space="0"/>
        </w:rPr>
      </w:pPr>
      <w:r>
        <w:t>筛选与基线评估（V0）</w:t>
      </w:r>
    </w:p>
    <w:p w14:paraId="332DC7A2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确认糖尿病诊断；记录既往/当前降糖用药、并发症、肝肾功能；完成基线HbA1c及血糖相关指标。</w:t>
      </w:r>
    </w:p>
    <w:p w14:paraId="421EF20F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依据专家版AI分层工具将受试者分配至队列A或队列B，并在EDC中记录分层结果。</w:t>
      </w:r>
    </w:p>
    <w:p w14:paraId="694864CD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在EDC中建立个体化《控糖管理计划（GMP）》，明确控糖目标、监测方式（SMBG/CGM）、随访频率与升级触发条件。</w:t>
      </w:r>
    </w:p>
    <w:p w14:paraId="58ACFB41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  <w:bdr w:val="none" w:sz="0" w:space="0"/>
        </w:rPr>
      </w:pPr>
      <w:r>
        <w:t>路径A（队列A：HbA1c目标的标准控糖路径）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5684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3B37FC5">
            <w:pPr>
              <w:spacing w:after="0" w:line="240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2500" w:type="pct"/>
          </w:tcPr>
          <w:p w14:paraId="7CCB6EF1">
            <w:pPr>
              <w:spacing w:after="0" w:line="240" w:lineRule="auto"/>
            </w:pPr>
            <w:r>
              <w:rPr>
                <w:b/>
                <w:sz w:val="21"/>
              </w:rPr>
              <w:t>标准要求</w:t>
            </w:r>
          </w:p>
        </w:tc>
      </w:tr>
      <w:tr w14:paraId="531A8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DF8F12C">
            <w:pPr>
              <w:spacing w:after="0" w:line="240" w:lineRule="auto"/>
            </w:pPr>
            <w:r>
              <w:rPr>
                <w:sz w:val="21"/>
              </w:rPr>
              <w:t>主要目标</w:t>
            </w:r>
          </w:p>
        </w:tc>
        <w:tc>
          <w:tcPr>
            <w:tcW w:w="2500" w:type="pct"/>
          </w:tcPr>
          <w:p w14:paraId="1D88CEB1">
            <w:pPr>
              <w:spacing w:after="0" w:line="240" w:lineRule="auto"/>
            </w:pPr>
            <w:r>
              <w:rPr>
                <w:sz w:val="21"/>
              </w:rPr>
              <w:t>HbA1c &lt; 7.0%（除非内分泌医生个体化调整）。</w:t>
            </w:r>
          </w:p>
        </w:tc>
      </w:tr>
      <w:tr w14:paraId="69F23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1B9651D">
            <w:pPr>
              <w:spacing w:after="0" w:line="240" w:lineRule="auto"/>
            </w:pPr>
            <w:r>
              <w:rPr>
                <w:sz w:val="21"/>
              </w:rPr>
              <w:t>监测</w:t>
            </w:r>
          </w:p>
        </w:tc>
        <w:tc>
          <w:tcPr>
            <w:tcW w:w="2500" w:type="pct"/>
          </w:tcPr>
          <w:p w14:paraId="3A000D89">
            <w:pPr>
              <w:spacing w:after="0" w:line="240" w:lineRule="auto"/>
            </w:pPr>
            <w:r>
              <w:rPr>
                <w:sz w:val="21"/>
              </w:rPr>
              <w:t>SMBG 每周3次：空腹+餐后2小时；通过APP上传。</w:t>
            </w:r>
          </w:p>
        </w:tc>
      </w:tr>
      <w:tr w14:paraId="1AEEF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6A4C46B">
            <w:pPr>
              <w:spacing w:after="0" w:line="240" w:lineRule="auto"/>
            </w:pPr>
            <w:r>
              <w:rPr>
                <w:sz w:val="21"/>
              </w:rPr>
              <w:t>用药原则</w:t>
            </w:r>
          </w:p>
        </w:tc>
        <w:tc>
          <w:tcPr>
            <w:tcW w:w="2500" w:type="pct"/>
          </w:tcPr>
          <w:p w14:paraId="398C6D10">
            <w:pPr>
              <w:spacing w:after="0" w:line="240" w:lineRule="auto"/>
            </w:pPr>
            <w:r>
              <w:rPr>
                <w:sz w:val="21"/>
              </w:rPr>
              <w:t>首选二甲双胍（无禁忌时）；避免/慎用受利福喷丁诱导影响显著药物，详见SOP06。</w:t>
            </w:r>
          </w:p>
        </w:tc>
      </w:tr>
      <w:tr w14:paraId="77B05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569EBF4E">
            <w:pPr>
              <w:spacing w:after="0" w:line="240" w:lineRule="auto"/>
            </w:pPr>
            <w:r>
              <w:rPr>
                <w:sz w:val="21"/>
              </w:rPr>
              <w:t>升级触发</w:t>
            </w:r>
          </w:p>
        </w:tc>
        <w:tc>
          <w:tcPr>
            <w:tcW w:w="2500" w:type="pct"/>
          </w:tcPr>
          <w:p w14:paraId="762B4BF7">
            <w:pPr>
              <w:spacing w:after="0" w:line="240" w:lineRule="auto"/>
            </w:pPr>
            <w:r>
              <w:rPr>
                <w:sz w:val="21"/>
              </w:rPr>
              <w:t>出现黄灯/红灯预警，或连续3天空腹血糖&gt;8.0 mmol/L 内分泌评估与调整。</w:t>
            </w:r>
          </w:p>
        </w:tc>
      </w:tr>
    </w:tbl>
    <w:p w14:paraId="01870D09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  <w:bdr w:val="none" w:sz="0" w:space="0"/>
        </w:rPr>
      </w:pPr>
      <w:r>
        <w:t>路径B（队列B：CGM/TIR目标的强化控糖路径）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4BC15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D4C5144">
            <w:pPr>
              <w:spacing w:after="0" w:line="240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2500" w:type="pct"/>
          </w:tcPr>
          <w:p w14:paraId="22B7A225">
            <w:pPr>
              <w:spacing w:after="0" w:line="240" w:lineRule="auto"/>
            </w:pPr>
            <w:r>
              <w:rPr>
                <w:b/>
                <w:sz w:val="21"/>
              </w:rPr>
              <w:t>标准要求</w:t>
            </w:r>
          </w:p>
        </w:tc>
      </w:tr>
      <w:tr w14:paraId="49E98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3348A85">
            <w:pPr>
              <w:spacing w:after="0" w:line="240" w:lineRule="auto"/>
            </w:pPr>
            <w:r>
              <w:rPr>
                <w:sz w:val="21"/>
              </w:rPr>
              <w:t>主要目标</w:t>
            </w:r>
          </w:p>
        </w:tc>
        <w:tc>
          <w:tcPr>
            <w:tcW w:w="2500" w:type="pct"/>
          </w:tcPr>
          <w:p w14:paraId="430CF968">
            <w:pPr>
              <w:spacing w:after="0" w:line="240" w:lineRule="auto"/>
            </w:pPr>
            <w:r>
              <w:rPr>
                <w:sz w:val="21"/>
              </w:rPr>
              <w:t>TIR &gt; 70%（70–180 mg/dL）。</w:t>
            </w:r>
          </w:p>
        </w:tc>
      </w:tr>
      <w:tr w14:paraId="1B570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57EA422">
            <w:pPr>
              <w:spacing w:after="0" w:line="240" w:lineRule="auto"/>
            </w:pPr>
            <w:r>
              <w:rPr>
                <w:sz w:val="21"/>
              </w:rPr>
              <w:t>监测</w:t>
            </w:r>
          </w:p>
        </w:tc>
        <w:tc>
          <w:tcPr>
            <w:tcW w:w="2500" w:type="pct"/>
          </w:tcPr>
          <w:p w14:paraId="2C8BCB28">
            <w:pPr>
              <w:spacing w:after="0" w:line="240" w:lineRule="auto"/>
            </w:pPr>
            <w:r>
              <w:rPr>
                <w:sz w:val="21"/>
              </w:rPr>
              <w:t>基线V1开始佩戴CGM连续监测14天；W2读取AGP；后续按内分泌计划+必要的SMBG补充。</w:t>
            </w:r>
          </w:p>
        </w:tc>
      </w:tr>
      <w:tr w14:paraId="0AFCA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3A4FDA5">
            <w:pPr>
              <w:spacing w:after="0" w:line="240" w:lineRule="auto"/>
            </w:pPr>
            <w:r>
              <w:rPr>
                <w:sz w:val="21"/>
              </w:rPr>
              <w:t>治疗骨架</w:t>
            </w:r>
          </w:p>
        </w:tc>
        <w:tc>
          <w:tcPr>
            <w:tcW w:w="2500" w:type="pct"/>
          </w:tcPr>
          <w:p w14:paraId="2DB0EC09">
            <w:pPr>
              <w:spacing w:after="0" w:line="240" w:lineRule="auto"/>
            </w:pPr>
            <w:r>
              <w:rPr>
                <w:sz w:val="21"/>
              </w:rPr>
              <w:t>以胰岛素强化治疗为主（基础-餐时或基础加餐时）；二甲双胍可耐受时联合。</w:t>
            </w:r>
          </w:p>
        </w:tc>
      </w:tr>
      <w:tr w14:paraId="3BB9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CE360AD">
            <w:pPr>
              <w:spacing w:after="0" w:line="240" w:lineRule="auto"/>
            </w:pPr>
            <w:r>
              <w:rPr>
                <w:sz w:val="21"/>
              </w:rPr>
              <w:t>W2决策</w:t>
            </w:r>
          </w:p>
        </w:tc>
        <w:tc>
          <w:tcPr>
            <w:tcW w:w="2500" w:type="pct"/>
          </w:tcPr>
          <w:p w14:paraId="3AC7B45A">
            <w:pPr>
              <w:spacing w:after="0" w:line="240" w:lineRule="auto"/>
            </w:pPr>
            <w:r>
              <w:rPr>
                <w:sz w:val="21"/>
              </w:rPr>
              <w:t>若TIR&lt;70%或低血糖风险高，立即调整胰岛素方案并在EDC记录依据。</w:t>
            </w:r>
          </w:p>
        </w:tc>
      </w:tr>
    </w:tbl>
    <w:p w14:paraId="085C619C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  <w:bdr w:val="none" w:sz="0" w:space="0"/>
        </w:rPr>
      </w:pPr>
      <w:r>
        <w:t>与安全性/升级机制的衔接</w:t>
      </w:r>
    </w:p>
    <w:p w14:paraId="02F26886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红绿灯预警与响应时限按TB-DM-SOP04执行。</w:t>
      </w:r>
    </w:p>
    <w:p w14:paraId="35AA6AD3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利福喷丁相关药物相互作用评估与用药调整按TB-DM-SOP06执行。</w:t>
      </w:r>
    </w:p>
    <w:p w14:paraId="161E0BDD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低血糖/高血糖/疑似DKA等急危事件按TB-DM-SOP08及TDSC AE/SAE报告体系执行。</w:t>
      </w:r>
    </w:p>
    <w:p w14:paraId="0679EA38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任何红灯预警均需在24小时内完成MDT讨论，并使用《MDT紧急会诊记录单》留痕。</w:t>
      </w:r>
    </w:p>
    <w:p w14:paraId="515C88D3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记录与存档</w:t>
      </w:r>
    </w:p>
    <w:p w14:paraId="394021B3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EDC中的《控糖管理计划（GMP）》及更新记录。</w:t>
      </w:r>
    </w:p>
    <w:p w14:paraId="5A3DDA4C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降糖用药调整记录（时间、原因、开立者）。</w:t>
      </w:r>
    </w:p>
    <w:p w14:paraId="342E27D5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CGM/AGP 报告上传（PDF/图片）及解读记录（W2及必要时）。</w:t>
      </w:r>
    </w:p>
    <w:p w14:paraId="1B1F9315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预警处置闭环记录（SOP04）与MDT紧急会诊记录（SOP08）。</w:t>
      </w:r>
    </w:p>
    <w:p w14:paraId="5B424BC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培训与质控</w:t>
      </w:r>
    </w:p>
    <w:p w14:paraId="2E9BB1B2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启动会培训：分层与路径分配、监测设备、预警闭环、DDI原则。</w:t>
      </w:r>
    </w:p>
    <w:p w14:paraId="38B26493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每月数据完整性核查；每季度中心间KPI复盘（HbA1c/TIR达标率、预警响应时限、记录完整率）。</w:t>
      </w:r>
    </w:p>
    <w:p w14:paraId="00BF607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附录</w:t>
      </w:r>
    </w:p>
    <w:p w14:paraId="28F714F3">
      <w:pPr>
        <w:pStyle w:val="164"/>
        <w:widowControl/>
      </w:pPr>
      <w:r>
        <w:t>附录A：各队列控糖目标与监测标准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59DB2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2EC289C">
            <w:pPr>
              <w:spacing w:after="0" w:line="240" w:lineRule="auto"/>
            </w:pPr>
            <w:r>
              <w:rPr>
                <w:b/>
                <w:sz w:val="21"/>
              </w:rPr>
              <w:t>队列</w:t>
            </w:r>
          </w:p>
        </w:tc>
        <w:tc>
          <w:tcPr>
            <w:tcW w:w="1250" w:type="pct"/>
          </w:tcPr>
          <w:p w14:paraId="34906245">
            <w:pPr>
              <w:spacing w:after="0" w:line="240" w:lineRule="auto"/>
            </w:pPr>
            <w:r>
              <w:rPr>
                <w:b/>
                <w:sz w:val="21"/>
              </w:rPr>
              <w:t>主要目标</w:t>
            </w:r>
          </w:p>
        </w:tc>
        <w:tc>
          <w:tcPr>
            <w:tcW w:w="1250" w:type="pct"/>
          </w:tcPr>
          <w:p w14:paraId="74339AEC">
            <w:pPr>
              <w:spacing w:after="0" w:line="240" w:lineRule="auto"/>
            </w:pPr>
            <w:r>
              <w:rPr>
                <w:b/>
                <w:sz w:val="21"/>
              </w:rPr>
              <w:t>监测</w:t>
            </w:r>
          </w:p>
        </w:tc>
        <w:tc>
          <w:tcPr>
            <w:tcW w:w="1250" w:type="pct"/>
          </w:tcPr>
          <w:p w14:paraId="657D6BAC">
            <w:pPr>
              <w:spacing w:after="0" w:line="240" w:lineRule="auto"/>
            </w:pPr>
            <w:r>
              <w:rPr>
                <w:b/>
                <w:sz w:val="21"/>
              </w:rPr>
              <w:t>主要升级触发</w:t>
            </w:r>
          </w:p>
        </w:tc>
      </w:tr>
      <w:tr w14:paraId="2C91B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4E100213">
            <w:pPr>
              <w:spacing w:after="0" w:line="240" w:lineRule="auto"/>
            </w:pPr>
            <w:r>
              <w:rPr>
                <w:sz w:val="21"/>
              </w:rPr>
              <w:t>A</w:t>
            </w:r>
          </w:p>
        </w:tc>
        <w:tc>
          <w:tcPr>
            <w:tcW w:w="1250" w:type="pct"/>
          </w:tcPr>
          <w:p w14:paraId="2C47218C">
            <w:pPr>
              <w:spacing w:after="0" w:line="240" w:lineRule="auto"/>
            </w:pPr>
            <w:r>
              <w:rPr>
                <w:sz w:val="21"/>
              </w:rPr>
              <w:t>HbA1c &lt; 7.0%</w:t>
            </w:r>
          </w:p>
        </w:tc>
        <w:tc>
          <w:tcPr>
            <w:tcW w:w="1250" w:type="pct"/>
          </w:tcPr>
          <w:p w14:paraId="3BBBEC81">
            <w:pPr>
              <w:spacing w:after="0" w:line="240" w:lineRule="auto"/>
            </w:pPr>
            <w:r>
              <w:rPr>
                <w:sz w:val="21"/>
              </w:rPr>
              <w:t>SMBG每周3次（空腹+餐后2h）</w:t>
            </w:r>
          </w:p>
        </w:tc>
        <w:tc>
          <w:tcPr>
            <w:tcW w:w="1250" w:type="pct"/>
          </w:tcPr>
          <w:p w14:paraId="392D7CD0">
            <w:pPr>
              <w:spacing w:after="0" w:line="240" w:lineRule="auto"/>
            </w:pPr>
            <w:r>
              <w:rPr>
                <w:sz w:val="21"/>
              </w:rPr>
              <w:t>黄/红灯预警或连续3天空腹&gt;8.0</w:t>
            </w:r>
          </w:p>
        </w:tc>
      </w:tr>
      <w:tr w14:paraId="20299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293B7ED7">
            <w:pPr>
              <w:spacing w:after="0" w:line="240" w:lineRule="auto"/>
            </w:pPr>
            <w:r>
              <w:rPr>
                <w:sz w:val="21"/>
              </w:rPr>
              <w:t>B</w:t>
            </w:r>
          </w:p>
        </w:tc>
        <w:tc>
          <w:tcPr>
            <w:tcW w:w="1250" w:type="pct"/>
          </w:tcPr>
          <w:p w14:paraId="5368D5BC">
            <w:pPr>
              <w:spacing w:after="0" w:line="240" w:lineRule="auto"/>
            </w:pPr>
            <w:r>
              <w:rPr>
                <w:sz w:val="21"/>
              </w:rPr>
              <w:t>TIR &gt; 70%（70–180 mg/dL）</w:t>
            </w:r>
          </w:p>
        </w:tc>
        <w:tc>
          <w:tcPr>
            <w:tcW w:w="1250" w:type="pct"/>
          </w:tcPr>
          <w:p w14:paraId="12C4FCB0">
            <w:pPr>
              <w:spacing w:after="0" w:line="240" w:lineRule="auto"/>
            </w:pPr>
            <w:r>
              <w:rPr>
                <w:sz w:val="21"/>
              </w:rPr>
              <w:t>CGM连续14天 + W2读取AGP</w:t>
            </w:r>
          </w:p>
        </w:tc>
        <w:tc>
          <w:tcPr>
            <w:tcW w:w="1250" w:type="pct"/>
          </w:tcPr>
          <w:p w14:paraId="5386EFE5">
            <w:pPr>
              <w:spacing w:after="0" w:line="240" w:lineRule="auto"/>
            </w:pPr>
            <w:r>
              <w:rPr>
                <w:sz w:val="21"/>
              </w:rPr>
              <w:t xml:space="preserve">TIR&lt;70%或低血糖风险高 </w:t>
            </w:r>
            <w:bookmarkStart w:id="0" w:name="_GoBack"/>
            <w:bookmarkEnd w:id="0"/>
            <w:r>
              <w:rPr>
                <w:sz w:val="21"/>
              </w:rPr>
              <w:t>立即调药</w:t>
            </w:r>
          </w:p>
        </w:tc>
      </w:tr>
    </w:tbl>
    <w:p w14:paraId="71D88480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F4AC8"/>
    <w:multiLevelType w:val="singleLevel"/>
    <w:tmpl w:val="B7DF4AC8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BA70B64F"/>
    <w:multiLevelType w:val="singleLevel"/>
    <w:tmpl w:val="BA70B64F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C4C0DE3F"/>
    <w:multiLevelType w:val="singleLevel"/>
    <w:tmpl w:val="C4C0DE3F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CB806462"/>
    <w:multiLevelType w:val="singleLevel"/>
    <w:tmpl w:val="CB80646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F1686F86"/>
    <w:multiLevelType w:val="singleLevel"/>
    <w:tmpl w:val="F1686F86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0CCD5416"/>
    <w:multiLevelType w:val="singleLevel"/>
    <w:tmpl w:val="0CCD541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1">
    <w:nsid w:val="294B401E"/>
    <w:multiLevelType w:val="singleLevel"/>
    <w:tmpl w:val="294B401E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2">
    <w:nsid w:val="36ADACC8"/>
    <w:multiLevelType w:val="singleLevel"/>
    <w:tmpl w:val="36ADACC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7"/>
  </w:num>
  <w:num w:numId="5">
    <w:abstractNumId w:val="5"/>
  </w:num>
  <w:num w:numId="6">
    <w:abstractNumId w:val="8"/>
  </w:num>
  <w:num w:numId="7">
    <w:abstractNumId w:val="11"/>
  </w:num>
  <w:num w:numId="8">
    <w:abstractNumId w:val="10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7F4924"/>
    <w:rsid w:val="43455072"/>
    <w:rsid w:val="7815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1345</Words>
  <Characters>1720</Characters>
  <Lines>0</Lines>
  <Paragraphs>0</Paragraphs>
  <TotalTime>5</TotalTime>
  <ScaleCrop>false</ScaleCrop>
  <LinksUpToDate>false</LinksUpToDate>
  <CharactersWithSpaces>1759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2026-03-13T02:49:46Z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C77BE6B91E7E43EFB6DC005D8EBD9699_12</vt:lpwstr>
  </property>
</Properties>
</file>