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6FB74">
      <w:pPr>
        <w:pStyle w:val="31"/>
        <w:widowControl/>
        <w:ind w:firstLine="2249" w:firstLineChars="700"/>
      </w:pPr>
      <w:r>
        <w:t>SMBG/CGM 监测流程与设备管理</w:t>
      </w:r>
    </w:p>
    <w:p w14:paraId="57608AFF"/>
    <w:p w14:paraId="74ACF9AC">
      <w:pPr>
        <w:pStyle w:val="3"/>
        <w:widowControl/>
      </w:pPr>
      <w:r>
        <w:t>文件控制信息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7B6BF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67AB9405">
            <w:pPr>
              <w:spacing w:after="0" w:line="240" w:lineRule="auto"/>
            </w:pPr>
            <w:r>
              <w:rPr>
                <w:sz w:val="21"/>
              </w:rPr>
              <w:t>研究</w:t>
            </w:r>
          </w:p>
        </w:tc>
        <w:tc>
          <w:tcPr>
            <w:tcW w:w="2500" w:type="pct"/>
            <w:vAlign w:val="center"/>
          </w:tcPr>
          <w:p w14:paraId="469BAF6D">
            <w:pPr>
              <w:spacing w:after="0" w:line="240" w:lineRule="auto"/>
            </w:pPr>
            <w:r>
              <w:rPr>
                <w:sz w:val="21"/>
              </w:rPr>
              <w:t>TDSC</w:t>
            </w:r>
          </w:p>
        </w:tc>
      </w:tr>
      <w:tr w14:paraId="4050E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12A64D63">
            <w:pPr>
              <w:spacing w:after="0" w:line="240" w:lineRule="auto"/>
            </w:pPr>
            <w:r>
              <w:rPr>
                <w:sz w:val="21"/>
              </w:rPr>
              <w:t>SOP编号</w:t>
            </w:r>
          </w:p>
        </w:tc>
        <w:tc>
          <w:tcPr>
            <w:tcW w:w="2500" w:type="pct"/>
            <w:vAlign w:val="center"/>
          </w:tcPr>
          <w:p w14:paraId="4623125C">
            <w:pPr>
              <w:spacing w:after="0" w:line="240" w:lineRule="auto"/>
            </w:pPr>
            <w:r>
              <w:rPr>
                <w:sz w:val="21"/>
              </w:rPr>
              <w:t>TDSC-TB-DM-SOP03</w:t>
            </w:r>
          </w:p>
        </w:tc>
      </w:tr>
      <w:tr w14:paraId="074EC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1BCB44D1">
            <w:pPr>
              <w:spacing w:after="0" w:line="240" w:lineRule="auto"/>
            </w:pPr>
            <w:r>
              <w:rPr>
                <w:sz w:val="21"/>
              </w:rPr>
              <w:t>标题</w:t>
            </w:r>
          </w:p>
        </w:tc>
        <w:tc>
          <w:tcPr>
            <w:tcW w:w="2500" w:type="pct"/>
            <w:vAlign w:val="center"/>
          </w:tcPr>
          <w:p w14:paraId="3FC016D1">
            <w:pPr>
              <w:spacing w:after="0" w:line="240" w:lineRule="auto"/>
            </w:pPr>
            <w:r>
              <w:rPr>
                <w:sz w:val="21"/>
              </w:rPr>
              <w:t>SMBG/CGM 监测流程与设备管理</w:t>
            </w:r>
          </w:p>
        </w:tc>
      </w:tr>
      <w:tr w14:paraId="6F3F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730285A0">
            <w:pPr>
              <w:spacing w:after="0" w:line="240" w:lineRule="auto"/>
            </w:pPr>
            <w:r>
              <w:rPr>
                <w:sz w:val="21"/>
              </w:rPr>
              <w:t>版本</w:t>
            </w:r>
          </w:p>
        </w:tc>
        <w:tc>
          <w:tcPr>
            <w:tcW w:w="2500" w:type="pct"/>
            <w:vAlign w:val="center"/>
          </w:tcPr>
          <w:p w14:paraId="557CA006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</w:tr>
      <w:tr w14:paraId="1F3A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03F3653B">
            <w:pPr>
              <w:spacing w:after="0" w:line="240" w:lineRule="auto"/>
            </w:pPr>
            <w:r>
              <w:rPr>
                <w:sz w:val="21"/>
              </w:rPr>
              <w:t>生效日期</w:t>
            </w:r>
          </w:p>
        </w:tc>
        <w:tc>
          <w:tcPr>
            <w:tcW w:w="2500" w:type="pct"/>
            <w:vAlign w:val="center"/>
          </w:tcPr>
          <w:p w14:paraId="6682A275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</w:tr>
      <w:tr w14:paraId="4FF05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3D7A5A42">
            <w:pPr>
              <w:spacing w:after="0" w:line="240" w:lineRule="auto"/>
            </w:pPr>
            <w:r>
              <w:rPr>
                <w:sz w:val="21"/>
              </w:rPr>
              <w:t>牵头部门</w:t>
            </w:r>
          </w:p>
        </w:tc>
        <w:tc>
          <w:tcPr>
            <w:tcW w:w="2500" w:type="pct"/>
            <w:vAlign w:val="center"/>
          </w:tcPr>
          <w:p w14:paraId="1A44F662">
            <w:pPr>
              <w:spacing w:after="0" w:line="240" w:lineRule="auto"/>
            </w:pPr>
            <w:r>
              <w:rPr>
                <w:sz w:val="21"/>
              </w:rPr>
              <w:t>TB-DM MDT工作组</w:t>
            </w:r>
          </w:p>
        </w:tc>
      </w:tr>
      <w:tr w14:paraId="53791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762E8463">
            <w:pPr>
              <w:spacing w:after="0" w:line="240" w:lineRule="auto"/>
            </w:pPr>
            <w:r>
              <w:rPr>
                <w:sz w:val="21"/>
              </w:rPr>
              <w:t>起草</w:t>
            </w:r>
          </w:p>
        </w:tc>
        <w:tc>
          <w:tcPr>
            <w:tcW w:w="2500" w:type="pct"/>
            <w:vAlign w:val="center"/>
          </w:tcPr>
          <w:p w14:paraId="41130F29">
            <w:pPr>
              <w:spacing w:after="0" w:line="240" w:lineRule="auto"/>
            </w:pPr>
            <w:r>
              <w:rPr>
                <w:sz w:val="21"/>
              </w:rPr>
              <w:t>TDSC 方法学与数据团队</w:t>
            </w:r>
          </w:p>
        </w:tc>
      </w:tr>
      <w:tr w14:paraId="472B5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16721DB9">
            <w:pPr>
              <w:spacing w:after="0" w:line="240" w:lineRule="auto"/>
            </w:pPr>
            <w:r>
              <w:rPr>
                <w:sz w:val="21"/>
              </w:rPr>
              <w:t>批准</w:t>
            </w:r>
          </w:p>
        </w:tc>
        <w:tc>
          <w:tcPr>
            <w:tcW w:w="2500" w:type="pct"/>
            <w:vAlign w:val="center"/>
          </w:tcPr>
          <w:p w14:paraId="3CAFD595">
            <w:pPr>
              <w:spacing w:after="0" w:line="240" w:lineRule="auto"/>
            </w:pPr>
            <w:r>
              <w:rPr>
                <w:sz w:val="21"/>
              </w:rPr>
              <w:t>PI / 指导委员会</w:t>
            </w:r>
          </w:p>
        </w:tc>
      </w:tr>
    </w:tbl>
    <w:p w14:paraId="0E653766"/>
    <w:p w14:paraId="5E57C410">
      <w:pPr>
        <w:pStyle w:val="3"/>
        <w:widowControl/>
      </w:pPr>
      <w:r>
        <w:t>修订记录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780E8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299E719">
            <w:pPr>
              <w:spacing w:after="0" w:line="240" w:lineRule="auto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1250" w:type="pct"/>
          </w:tcPr>
          <w:p w14:paraId="45271E51">
            <w:pPr>
              <w:spacing w:after="0" w:line="240" w:lineRule="auto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1250" w:type="pct"/>
          </w:tcPr>
          <w:p w14:paraId="552E07B9">
            <w:pPr>
              <w:spacing w:after="0" w:line="240" w:lineRule="auto"/>
            </w:pPr>
            <w:r>
              <w:rPr>
                <w:b/>
                <w:sz w:val="21"/>
              </w:rPr>
              <w:t>修订内容</w:t>
            </w:r>
          </w:p>
        </w:tc>
        <w:tc>
          <w:tcPr>
            <w:tcW w:w="1250" w:type="pct"/>
          </w:tcPr>
          <w:p w14:paraId="57F01D5C">
            <w:pPr>
              <w:spacing w:after="0" w:line="240" w:lineRule="auto"/>
            </w:pPr>
            <w:r>
              <w:rPr>
                <w:b/>
                <w:sz w:val="21"/>
              </w:rPr>
              <w:t>作者</w:t>
            </w:r>
          </w:p>
        </w:tc>
      </w:tr>
      <w:tr w14:paraId="45777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8EBED66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  <w:tc>
          <w:tcPr>
            <w:tcW w:w="1250" w:type="pct"/>
          </w:tcPr>
          <w:p w14:paraId="15865861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  <w:tc>
          <w:tcPr>
            <w:tcW w:w="1250" w:type="pct"/>
          </w:tcPr>
          <w:p w14:paraId="758A04C2">
            <w:pPr>
              <w:spacing w:after="0" w:line="240" w:lineRule="auto"/>
            </w:pPr>
            <w:r>
              <w:rPr>
                <w:sz w:val="21"/>
              </w:rPr>
              <w:t>首次发布。</w:t>
            </w:r>
          </w:p>
        </w:tc>
        <w:tc>
          <w:tcPr>
            <w:tcW w:w="1250" w:type="pct"/>
          </w:tcPr>
          <w:p w14:paraId="2EE7FE8F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</w:tr>
    </w:tbl>
    <w:p w14:paraId="0D69B04F"/>
    <w:p w14:paraId="0509A11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目的</w:t>
      </w:r>
    </w:p>
    <w:p w14:paraId="12C95C85">
      <w:pPr>
        <w:pStyle w:val="19"/>
        <w:widowControl/>
      </w:pPr>
      <w:r>
        <w:t>目的：规范TDSC TB-DM研究中SMBG与CGM的监测操作、设备发放与回收、数据上传与质量要求，保证多中心一致性与可审计性。</w:t>
      </w:r>
    </w:p>
    <w:p w14:paraId="6551740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适用范围</w:t>
      </w:r>
    </w:p>
    <w:p w14:paraId="37C140F6">
      <w:pPr>
        <w:pStyle w:val="19"/>
        <w:widowControl/>
      </w:pPr>
      <w:r>
        <w:t>适用范围：适用于所有使用研究批准血糖仪/CGM设备的分中心。与TB-DM-SOP04（数字化闭环）及TB-DM-SOP10（数据标准）衔接。</w:t>
      </w:r>
    </w:p>
    <w:p w14:paraId="3786052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术语定义</w:t>
      </w:r>
    </w:p>
    <w:p w14:paraId="732E9783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SMBG：指尖血糖检测，需记录日期/时间及场景（空腹/餐后2h/症状时）。</w:t>
      </w:r>
    </w:p>
    <w:p w14:paraId="6B200F17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CGM佩戴周期：连续14天（目标）；数据充分性：传感器有效数据覆盖≥70%方可生成AGP并用于评估。</w:t>
      </w:r>
    </w:p>
    <w:p w14:paraId="7258D668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AGP：CGM标准化汇总报告，由内分泌医生解读并记录。</w:t>
      </w:r>
    </w:p>
    <w:p w14:paraId="43C07075"/>
    <w:p w14:paraId="2F03B4B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职责分工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6D11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86C854C">
            <w:pPr>
              <w:spacing w:after="0" w:line="240" w:lineRule="auto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2500" w:type="pct"/>
          </w:tcPr>
          <w:p w14:paraId="6A1C7FB7">
            <w:pPr>
              <w:spacing w:after="0" w:line="240" w:lineRule="auto"/>
            </w:pPr>
            <w:r>
              <w:rPr>
                <w:b/>
                <w:sz w:val="21"/>
              </w:rPr>
              <w:t>职责</w:t>
            </w:r>
          </w:p>
        </w:tc>
      </w:tr>
      <w:tr w14:paraId="7D01E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C70D766">
            <w:pPr>
              <w:spacing w:after="0" w:line="240" w:lineRule="auto"/>
            </w:pPr>
            <w:r>
              <w:rPr>
                <w:sz w:val="21"/>
              </w:rPr>
              <w:t>研究护士/协调员</w:t>
            </w:r>
          </w:p>
        </w:tc>
        <w:tc>
          <w:tcPr>
            <w:tcW w:w="2500" w:type="pct"/>
          </w:tcPr>
          <w:p w14:paraId="122AFE07">
            <w:pPr>
              <w:spacing w:after="0" w:line="240" w:lineRule="auto"/>
            </w:pPr>
            <w:r>
              <w:rPr>
                <w:sz w:val="21"/>
              </w:rPr>
              <w:t>设备发放、培训、故障处理、回收与处置；监测上传状态。</w:t>
            </w:r>
          </w:p>
        </w:tc>
      </w:tr>
      <w:tr w14:paraId="007AC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EF8BB6B">
            <w:pPr>
              <w:spacing w:after="0" w:line="240" w:lineRule="auto"/>
            </w:pPr>
            <w:r>
              <w:rPr>
                <w:sz w:val="21"/>
              </w:rPr>
              <w:t>内分泌医生</w:t>
            </w:r>
          </w:p>
        </w:tc>
        <w:tc>
          <w:tcPr>
            <w:tcW w:w="2500" w:type="pct"/>
          </w:tcPr>
          <w:p w14:paraId="71714B34">
            <w:pPr>
              <w:spacing w:after="0" w:line="240" w:lineRule="auto"/>
            </w:pPr>
            <w:r>
              <w:rPr>
                <w:sz w:val="21"/>
              </w:rPr>
              <w:t>AGP解读与监测方案调整；确认数据充分性。</w:t>
            </w:r>
          </w:p>
        </w:tc>
      </w:tr>
      <w:tr w14:paraId="64E25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B7F3EEB">
            <w:pPr>
              <w:spacing w:after="0" w:line="240" w:lineRule="auto"/>
            </w:pPr>
            <w:r>
              <w:rPr>
                <w:sz w:val="21"/>
              </w:rPr>
              <w:t>数据管理员</w:t>
            </w:r>
          </w:p>
        </w:tc>
        <w:tc>
          <w:tcPr>
            <w:tcW w:w="2500" w:type="pct"/>
          </w:tcPr>
          <w:p w14:paraId="4030693B">
            <w:pPr>
              <w:spacing w:after="0" w:line="240" w:lineRule="auto"/>
            </w:pPr>
            <w:r>
              <w:rPr>
                <w:sz w:val="21"/>
              </w:rPr>
              <w:t>DPM与EDC对账；处理缺失/重复；执行逻辑锁。</w:t>
            </w:r>
          </w:p>
        </w:tc>
      </w:tr>
    </w:tbl>
    <w:p w14:paraId="369DEDB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操作流程</w:t>
      </w:r>
    </w:p>
    <w:p w14:paraId="212ACD84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</w:rPr>
      </w:pPr>
      <w:r>
        <w:t>设备库存与标识</w:t>
      </w:r>
    </w:p>
    <w:p w14:paraId="3C838B98">
      <w:pPr>
        <w:pStyle w:val="19"/>
        <w:widowControl/>
        <w:numPr>
          <w:ilvl w:val="0"/>
          <w:numId w:val="10"/>
        </w:numPr>
        <w:ind w:left="425" w:leftChars="0" w:hanging="425" w:firstLineChars="0"/>
      </w:pPr>
      <w:r>
        <w:t>建立分中心库存台账：血糖仪、试纸、采血针、CGM传感器及辅料。</w:t>
      </w:r>
    </w:p>
    <w:p w14:paraId="2569EE0E">
      <w:pPr>
        <w:pStyle w:val="19"/>
        <w:widowControl/>
        <w:numPr>
          <w:ilvl w:val="0"/>
          <w:numId w:val="10"/>
        </w:numPr>
        <w:ind w:left="425" w:leftChars="0" w:hanging="425" w:firstLineChars="0"/>
        <w:rPr>
          <w:b w:val="0"/>
        </w:rPr>
      </w:pPr>
      <w:r>
        <w:t>每台设备/每批传感器赋予唯一编号；发放前在EDC中与受试者ID绑定。</w:t>
      </w:r>
    </w:p>
    <w:p w14:paraId="2C2DB546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</w:rPr>
      </w:pPr>
      <w:r>
        <w:t>SMBG操作流程（队列A默认）</w:t>
      </w:r>
    </w:p>
    <w:p w14:paraId="6FF73F70">
      <w:pPr>
        <w:pStyle w:val="19"/>
        <w:widowControl/>
        <w:numPr>
          <w:ilvl w:val="0"/>
          <w:numId w:val="11"/>
        </w:numPr>
        <w:ind w:left="425" w:leftChars="0" w:hanging="425" w:firstLineChars="0"/>
      </w:pPr>
      <w:r>
        <w:t>监测频率：</w:t>
      </w:r>
      <w:r>
        <w:rPr>
          <w:rFonts w:hint="eastAsia"/>
          <w:highlight w:val="yellow"/>
          <w:lang w:val="en-US" w:eastAsia="zh-CN"/>
        </w:rPr>
        <w:t>入组后第1、3、5天测空腹及三餐后2h血糖；血糖稳定后1周测4次，分别四天执行，分别测空腹、早餐后、中餐后、晚餐后2h血糖或者一周规定一天为血糖日测一天的空腹及三餐后2h血糖</w:t>
      </w:r>
      <w:r>
        <w:t>；</w:t>
      </w:r>
    </w:p>
    <w:p w14:paraId="55BFAB1C">
      <w:pPr>
        <w:pStyle w:val="19"/>
        <w:widowControl/>
        <w:numPr>
          <w:ilvl w:val="0"/>
          <w:numId w:val="11"/>
        </w:numPr>
        <w:ind w:left="425" w:leftChars="0" w:hanging="425" w:firstLineChars="0"/>
      </w:pPr>
      <w:r>
        <w:t>手卫生；使用一次性采血针；检测并确认单位（mmol/L）。</w:t>
      </w:r>
    </w:p>
    <w:p w14:paraId="34866355">
      <w:pPr>
        <w:pStyle w:val="19"/>
        <w:widowControl/>
        <w:numPr>
          <w:ilvl w:val="0"/>
          <w:numId w:val="11"/>
        </w:numPr>
        <w:ind w:left="425" w:leftChars="0" w:hanging="425" w:firstLineChars="0"/>
      </w:pPr>
      <w:r>
        <w:t>记录：日期/时间、空腹/餐后、进餐时间、症状、是否漏服降糖药。</w:t>
      </w:r>
    </w:p>
    <w:p w14:paraId="1E815903">
      <w:pPr>
        <w:pStyle w:val="19"/>
        <w:widowControl/>
        <w:numPr>
          <w:ilvl w:val="0"/>
          <w:numId w:val="11"/>
        </w:numPr>
        <w:ind w:left="425" w:leftChars="0" w:hanging="425" w:firstLineChars="0"/>
      </w:pPr>
      <w:r>
        <w:t>当日通过APP上传；如上传失败，暂以“手工录入+来源标记”录入EDC。</w:t>
      </w:r>
    </w:p>
    <w:p w14:paraId="784FD528">
      <w:pPr>
        <w:pStyle w:val="4"/>
        <w:widowControl/>
      </w:pPr>
      <w:r>
        <w:t>5.3 CGM操作流程（队列B默认）</w:t>
      </w:r>
    </w:p>
    <w:p w14:paraId="5F90BA8A">
      <w:pPr>
        <w:pStyle w:val="19"/>
        <w:widowControl/>
        <w:numPr>
          <w:ilvl w:val="0"/>
          <w:numId w:val="12"/>
        </w:numPr>
        <w:ind w:left="425" w:leftChars="0" w:hanging="425" w:firstLineChars="0"/>
      </w:pPr>
      <w:r>
        <w:t>基线V1开始佩戴CGM，目标连续监测14天。</w:t>
      </w:r>
      <w:r>
        <w:rPr>
          <w:rFonts w:hint="eastAsia"/>
          <w:highlight w:val="yellow"/>
          <w:lang w:val="en-US" w:eastAsia="zh-CN"/>
        </w:rPr>
        <w:t>血糖稳定后1周测4次，分别四天执行，分别测空腹、早餐后、中餐后、晚餐后2h血糖或者一周规定一天为血糖日测一天的空腹及三餐后2h血糖</w:t>
      </w:r>
      <w:r>
        <w:t>；</w:t>
      </w:r>
    </w:p>
    <w:p w14:paraId="44DA45B0">
      <w:pPr>
        <w:pStyle w:val="19"/>
        <w:widowControl/>
        <w:numPr>
          <w:ilvl w:val="0"/>
          <w:numId w:val="12"/>
        </w:numPr>
        <w:ind w:left="425" w:leftChars="0" w:hanging="425" w:firstLineChars="0"/>
      </w:pPr>
      <w:r>
        <w:t>统一患者教育：传感器护理、扫描/校准（如适用）、低/高血糖应对。</w:t>
      </w:r>
    </w:p>
    <w:p w14:paraId="4511AA2B">
      <w:pPr>
        <w:pStyle w:val="19"/>
        <w:widowControl/>
        <w:numPr>
          <w:ilvl w:val="0"/>
          <w:numId w:val="12"/>
        </w:numPr>
        <w:ind w:left="425" w:leftChars="0" w:hanging="425" w:firstLineChars="0"/>
      </w:pPr>
      <w:r>
        <w:t>W2访视：下载/核对数据，生成AGP报告；内分泌医生完成解读并记录调药决策。</w:t>
      </w:r>
    </w:p>
    <w:p w14:paraId="4EAF85BC">
      <w:pPr>
        <w:pStyle w:val="19"/>
        <w:widowControl/>
        <w:numPr>
          <w:ilvl w:val="0"/>
          <w:numId w:val="12"/>
        </w:numPr>
        <w:ind w:left="425" w:leftChars="0" w:hanging="425" w:firstLineChars="0"/>
      </w:pPr>
      <w:r>
        <w:t>若传感器在第1</w:t>
      </w:r>
      <w:bookmarkStart w:id="0" w:name="_GoBack"/>
      <w:bookmarkEnd w:id="0"/>
      <w:r>
        <w:t>0天前失效，优先更换并尽可能补足可分析的14天窗口。</w:t>
      </w:r>
    </w:p>
    <w:p w14:paraId="1702BC41">
      <w:pPr>
        <w:pStyle w:val="19"/>
        <w:widowControl/>
        <w:numPr>
          <w:ilvl w:val="0"/>
          <w:numId w:val="12"/>
        </w:numPr>
        <w:ind w:left="425" w:leftChars="0" w:hanging="425" w:firstLineChars="0"/>
      </w:pPr>
      <w:r>
        <w:t>数据质量要求：报告窗口内有效数据覆盖≥70%；不足者需记录原因与纠正措施。</w:t>
      </w:r>
    </w:p>
    <w:p w14:paraId="07B1276C">
      <w:pPr>
        <w:pStyle w:val="4"/>
        <w:widowControl/>
      </w:pPr>
      <w:r>
        <w:t>5.4 数据上传与故障处理</w:t>
      </w:r>
    </w:p>
    <w:p w14:paraId="1E600240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优先采用APP自动上传至DPM；研究护士每日查看DPM仪表盘同步状态。</w:t>
      </w:r>
    </w:p>
    <w:p w14:paraId="2AB9C272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上传延迟&gt;48小时：护士联系受试者排障，并在EDC记录。</w:t>
      </w:r>
    </w:p>
    <w:p w14:paraId="36DE0791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持续失败：临时启用纸质记录+手工录入EDC；恢复后进行补录与对账。</w:t>
      </w:r>
    </w:p>
    <w:p w14:paraId="69EF91D3">
      <w:pPr>
        <w:pStyle w:val="3"/>
        <w:widowControl/>
        <w:numPr>
          <w:ilvl w:val="0"/>
          <w:numId w:val="14"/>
        </w:numPr>
        <w:ind w:left="0" w:leftChars="0" w:firstLine="0" w:firstLineChars="0"/>
        <w:rPr>
          <w:b/>
        </w:rPr>
      </w:pPr>
      <w:r>
        <w:t>记录与存档</w:t>
      </w:r>
    </w:p>
    <w:p w14:paraId="064C4681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库存台账；发放/回收清单；生物危害处置记录。</w:t>
      </w:r>
    </w:p>
    <w:p w14:paraId="0B2A725F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DPM与EDC中的SMBG/CGM数据记录（含来源标识）。</w:t>
      </w:r>
    </w:p>
    <w:p w14:paraId="77E9923E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AGP报告上传及解读记录（W2及必要时）。</w:t>
      </w:r>
    </w:p>
    <w:p w14:paraId="26EF6394">
      <w:pPr>
        <w:pStyle w:val="3"/>
        <w:widowControl/>
        <w:numPr>
          <w:ilvl w:val="0"/>
          <w:numId w:val="14"/>
        </w:numPr>
        <w:ind w:left="0" w:leftChars="0" w:firstLine="0" w:firstLineChars="0"/>
        <w:rPr>
          <w:b/>
        </w:rPr>
      </w:pPr>
      <w:r>
        <w:t>质量控制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0429E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C67792F">
            <w:pPr>
              <w:spacing w:after="0" w:line="240" w:lineRule="auto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w="2500" w:type="pct"/>
          </w:tcPr>
          <w:p w14:paraId="71D4D32E">
            <w:pPr>
              <w:spacing w:after="0" w:line="240" w:lineRule="auto"/>
            </w:pPr>
            <w:r>
              <w:rPr>
                <w:b/>
                <w:sz w:val="21"/>
              </w:rPr>
              <w:t>目标</w:t>
            </w:r>
          </w:p>
        </w:tc>
      </w:tr>
      <w:tr w14:paraId="51F99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18DDB57">
            <w:pPr>
              <w:spacing w:after="0" w:line="240" w:lineRule="auto"/>
            </w:pPr>
            <w:r>
              <w:rPr>
                <w:sz w:val="21"/>
              </w:rPr>
              <w:t>SMBG上传/录入完整率</w:t>
            </w:r>
          </w:p>
        </w:tc>
        <w:tc>
          <w:tcPr>
            <w:tcW w:w="2500" w:type="pct"/>
          </w:tcPr>
          <w:p w14:paraId="53A0F4B7">
            <w:pPr>
              <w:spacing w:after="0" w:line="240" w:lineRule="auto"/>
            </w:pPr>
            <w:r>
              <w:rPr>
                <w:sz w:val="21"/>
              </w:rPr>
              <w:t>≥90%（按计划监测日）</w:t>
            </w:r>
          </w:p>
        </w:tc>
      </w:tr>
      <w:tr w14:paraId="18735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8127C75">
            <w:pPr>
              <w:spacing w:after="0" w:line="240" w:lineRule="auto"/>
            </w:pPr>
            <w:r>
              <w:rPr>
                <w:sz w:val="21"/>
              </w:rPr>
              <w:t>CGM有效数据覆盖</w:t>
            </w:r>
          </w:p>
        </w:tc>
        <w:tc>
          <w:tcPr>
            <w:tcW w:w="2500" w:type="pct"/>
          </w:tcPr>
          <w:p w14:paraId="09295E0E">
            <w:pPr>
              <w:spacing w:after="0" w:line="240" w:lineRule="auto"/>
            </w:pPr>
            <w:r>
              <w:rPr>
                <w:sz w:val="21"/>
              </w:rPr>
              <w:t>≥70%（报告窗口）</w:t>
            </w:r>
          </w:p>
        </w:tc>
      </w:tr>
      <w:tr w14:paraId="5CB04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A525E3F">
            <w:pPr>
              <w:spacing w:after="0" w:line="240" w:lineRule="auto"/>
            </w:pPr>
            <w:r>
              <w:rPr>
                <w:sz w:val="21"/>
              </w:rPr>
              <w:t>队列B W2 AGP可获得率</w:t>
            </w:r>
          </w:p>
        </w:tc>
        <w:tc>
          <w:tcPr>
            <w:tcW w:w="2500" w:type="pct"/>
          </w:tcPr>
          <w:p w14:paraId="7DD4D0E0">
            <w:pPr>
              <w:spacing w:after="0" w:line="240" w:lineRule="auto"/>
            </w:pPr>
            <w:r>
              <w:rPr>
                <w:sz w:val="21"/>
              </w:rPr>
              <w:t>≥95%</w:t>
            </w:r>
          </w:p>
        </w:tc>
      </w:tr>
      <w:tr w14:paraId="509EB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9889F86">
            <w:pPr>
              <w:spacing w:after="0" w:line="240" w:lineRule="auto"/>
            </w:pPr>
            <w:r>
              <w:rPr>
                <w:sz w:val="21"/>
              </w:rPr>
              <w:t>设备遗失/损坏率</w:t>
            </w:r>
          </w:p>
        </w:tc>
        <w:tc>
          <w:tcPr>
            <w:tcW w:w="2500" w:type="pct"/>
          </w:tcPr>
          <w:p w14:paraId="100C88B1">
            <w:pPr>
              <w:spacing w:after="0" w:line="240" w:lineRule="auto"/>
            </w:pPr>
            <w:r>
              <w:rPr>
                <w:sz w:val="21"/>
              </w:rPr>
              <w:t>每季度&lt;2%</w:t>
            </w:r>
          </w:p>
        </w:tc>
      </w:tr>
    </w:tbl>
    <w:p w14:paraId="34983D7D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DDB9D"/>
    <w:multiLevelType w:val="singleLevel"/>
    <w:tmpl w:val="A31DDB9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C60763A3"/>
    <w:multiLevelType w:val="singleLevel"/>
    <w:tmpl w:val="C60763A3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E8417EC1"/>
    <w:multiLevelType w:val="singleLevel"/>
    <w:tmpl w:val="E8417EC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555B7B8"/>
    <w:multiLevelType w:val="singleLevel"/>
    <w:tmpl w:val="1555B7B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>
    <w:nsid w:val="2213BFC8"/>
    <w:multiLevelType w:val="singleLevel"/>
    <w:tmpl w:val="2213BFC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388E8FCA"/>
    <w:multiLevelType w:val="singleLevel"/>
    <w:tmpl w:val="388E8FC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5C87CB11"/>
    <w:multiLevelType w:val="singleLevel"/>
    <w:tmpl w:val="5C87CB11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2">
    <w:nsid w:val="632148C1"/>
    <w:multiLevelType w:val="singleLevel"/>
    <w:tmpl w:val="632148C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3">
    <w:nsid w:val="6351289A"/>
    <w:multiLevelType w:val="singleLevel"/>
    <w:tmpl w:val="6351289A"/>
    <w:lvl w:ilvl="0" w:tentative="0">
      <w:start w:val="6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4">
    <w:nsid w:val="76E67E06"/>
    <w:multiLevelType w:val="singleLevel"/>
    <w:tmpl w:val="76E67E0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14"/>
  </w:num>
  <w:num w:numId="9">
    <w:abstractNumId w:val="11"/>
  </w:num>
  <w:num w:numId="10">
    <w:abstractNumId w:val="8"/>
  </w:num>
  <w:num w:numId="11">
    <w:abstractNumId w:val="12"/>
  </w:num>
  <w:num w:numId="12">
    <w:abstractNumId w:val="2"/>
  </w:num>
  <w:num w:numId="13">
    <w:abstractNumId w:val="9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8131FE"/>
    <w:rsid w:val="12AD1419"/>
    <w:rsid w:val="35B04BF9"/>
    <w:rsid w:val="39E6508D"/>
    <w:rsid w:val="4090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981</Words>
  <Characters>1179</Characters>
  <Lines>0</Lines>
  <Paragraphs>0</Paragraphs>
  <TotalTime>4</TotalTime>
  <ScaleCrop>false</ScaleCrop>
  <LinksUpToDate>false</LinksUpToDate>
  <CharactersWithSpaces>1190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2026-03-17T02:16:42Z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A47940091CA545528A6C2E0BA139D209_12</vt:lpwstr>
  </property>
</Properties>
</file>