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A2A2">
      <w:pPr>
        <w:pStyle w:val="31"/>
        <w:widowControl/>
        <w:ind w:firstLine="964" w:firstLineChars="300"/>
      </w:pPr>
      <w:r>
        <w:t>数字化平台（APP/DPM）与红绿灯预警闭环</w:t>
      </w:r>
    </w:p>
    <w:p w14:paraId="5CC63F9B"/>
    <w:p w14:paraId="7412A422">
      <w:pPr>
        <w:pStyle w:val="19"/>
        <w:widowControl/>
      </w:pPr>
      <w:r>
        <w:rPr>
          <w:b/>
        </w:rP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403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720DDAA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2C1BA0CA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6D47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4D5ECBF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0B88E498">
            <w:pPr>
              <w:spacing w:after="0" w:line="240" w:lineRule="auto"/>
            </w:pPr>
            <w:r>
              <w:rPr>
                <w:sz w:val="21"/>
              </w:rPr>
              <w:t>TDSC-TB-DM-SOP04</w:t>
            </w:r>
          </w:p>
        </w:tc>
      </w:tr>
      <w:tr w14:paraId="1F3E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EC997C9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71EA3532">
            <w:pPr>
              <w:spacing w:after="0" w:line="240" w:lineRule="auto"/>
            </w:pPr>
            <w:r>
              <w:rPr>
                <w:sz w:val="21"/>
              </w:rPr>
              <w:t>数字化平台（APP/DPM）与红绿灯预警闭环</w:t>
            </w:r>
          </w:p>
        </w:tc>
      </w:tr>
      <w:tr w14:paraId="1180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0BFE1D9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4972A10B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17A4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09A30BB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4CFEED30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0AAA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62739D6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3DCDBF89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29A4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7E554C4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5CBE6871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12001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E0368B7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6D417C7D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143D90D9"/>
    <w:p w14:paraId="79F002BF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3B60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1E24829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49A84B6E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649F57B6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66FF23E3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4517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E484E6D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3A90F128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358A479B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1705A33F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5F171077"/>
    <w:p w14:paraId="05E91F4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4515F3D8">
      <w:pPr>
        <w:pStyle w:val="19"/>
        <w:widowControl/>
      </w:pPr>
      <w:r>
        <w:t>目的：规范TDSC TB-DM研究中数字化闭环：数据上传、红绿灯预警、响应时限、升级与审计留痕，确保安全与可追溯。</w:t>
      </w:r>
    </w:p>
    <w:p w14:paraId="599A763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4A8E2C88">
      <w:pPr>
        <w:pStyle w:val="19"/>
        <w:widowControl/>
      </w:pPr>
      <w:r>
        <w:t>适用范围：适用于所有使用患者端APP与医护端DPM系统的受试者及研究人员。与SOP03（监测）、SOP08（急危）、SOP10（数据标准）衔接。</w:t>
      </w:r>
    </w:p>
    <w:p w14:paraId="0AEA83E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预警定义与响应时限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1E32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C52CDB2">
            <w:pPr>
              <w:spacing w:after="0" w:line="240" w:lineRule="auto"/>
            </w:pPr>
            <w:r>
              <w:rPr>
                <w:b/>
                <w:sz w:val="21"/>
              </w:rPr>
              <w:t>预警等级</w:t>
            </w:r>
          </w:p>
        </w:tc>
        <w:tc>
          <w:tcPr>
            <w:tcW w:w="1250" w:type="pct"/>
          </w:tcPr>
          <w:p w14:paraId="46F69083">
            <w:pPr>
              <w:spacing w:after="0" w:line="240" w:lineRule="auto"/>
            </w:pPr>
            <w:r>
              <w:rPr>
                <w:b/>
                <w:sz w:val="21"/>
              </w:rPr>
              <w:t>触发条件（默认）</w:t>
            </w:r>
          </w:p>
        </w:tc>
        <w:tc>
          <w:tcPr>
            <w:tcW w:w="1250" w:type="pct"/>
          </w:tcPr>
          <w:p w14:paraId="744FA747">
            <w:pPr>
              <w:spacing w:after="0" w:line="240" w:lineRule="auto"/>
            </w:pPr>
            <w:r>
              <w:rPr>
                <w:b/>
                <w:sz w:val="21"/>
              </w:rPr>
              <w:t>系统动作</w:t>
            </w:r>
          </w:p>
        </w:tc>
        <w:tc>
          <w:tcPr>
            <w:tcW w:w="1250" w:type="pct"/>
          </w:tcPr>
          <w:p w14:paraId="47993EA8">
            <w:pPr>
              <w:spacing w:after="0" w:line="240" w:lineRule="auto"/>
            </w:pPr>
            <w:r>
              <w:rPr>
                <w:b/>
                <w:sz w:val="21"/>
              </w:rPr>
              <w:t>首轮响应时限</w:t>
            </w:r>
          </w:p>
        </w:tc>
      </w:tr>
      <w:tr w14:paraId="51BB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30D6E83">
            <w:pPr>
              <w:spacing w:after="0" w:line="240" w:lineRule="auto"/>
            </w:pPr>
            <w:r>
              <w:rPr>
                <w:sz w:val="21"/>
              </w:rPr>
              <w:t>绿灯</w:t>
            </w:r>
          </w:p>
        </w:tc>
        <w:tc>
          <w:tcPr>
            <w:tcW w:w="1250" w:type="pct"/>
          </w:tcPr>
          <w:p w14:paraId="2B3C8D6D">
            <w:pPr>
              <w:spacing w:after="0" w:line="240" w:lineRule="auto"/>
            </w:pPr>
            <w:r>
              <w:rPr>
                <w:sz w:val="21"/>
              </w:rPr>
              <w:t>血糖平稳，无预警</w:t>
            </w:r>
          </w:p>
        </w:tc>
        <w:tc>
          <w:tcPr>
            <w:tcW w:w="1250" w:type="pct"/>
          </w:tcPr>
          <w:p w14:paraId="49551A40">
            <w:pPr>
              <w:spacing w:after="0" w:line="240" w:lineRule="auto"/>
            </w:pPr>
            <w:r>
              <w:rPr>
                <w:sz w:val="21"/>
              </w:rPr>
              <w:t>无需干预，常规监测</w:t>
            </w:r>
          </w:p>
        </w:tc>
        <w:tc>
          <w:tcPr>
            <w:tcW w:w="1250" w:type="pct"/>
          </w:tcPr>
          <w:p w14:paraId="20AA45D3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  <w:tr w14:paraId="0FCE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21B4C2C">
            <w:pPr>
              <w:spacing w:after="0" w:line="240" w:lineRule="auto"/>
            </w:pPr>
            <w:r>
              <w:rPr>
                <w:sz w:val="21"/>
              </w:rPr>
              <w:t>黄灯</w:t>
            </w:r>
          </w:p>
        </w:tc>
        <w:tc>
          <w:tcPr>
            <w:tcW w:w="1250" w:type="pct"/>
          </w:tcPr>
          <w:p w14:paraId="1600D172">
            <w:pPr>
              <w:spacing w:after="0" w:line="240" w:lineRule="auto"/>
            </w:pPr>
            <w:r>
              <w:rPr>
                <w:sz w:val="21"/>
              </w:rPr>
              <w:t>连续3天空腹血糖&gt;8.0 mmol/L</w:t>
            </w:r>
          </w:p>
        </w:tc>
        <w:tc>
          <w:tcPr>
            <w:tcW w:w="1250" w:type="pct"/>
          </w:tcPr>
          <w:p w14:paraId="3C0D22A2">
            <w:pPr>
              <w:spacing w:after="0" w:line="240" w:lineRule="auto"/>
            </w:pPr>
            <w:r>
              <w:rPr>
                <w:sz w:val="21"/>
              </w:rPr>
              <w:t>APP推送生活方式建议；DPM标记</w:t>
            </w:r>
          </w:p>
        </w:tc>
        <w:tc>
          <w:tcPr>
            <w:tcW w:w="1250" w:type="pct"/>
          </w:tcPr>
          <w:p w14:paraId="0C39E291">
            <w:pPr>
              <w:spacing w:after="0" w:line="240" w:lineRule="auto"/>
            </w:pPr>
            <w:r>
              <w:rPr>
                <w:sz w:val="21"/>
              </w:rPr>
              <w:t>24小时内（护士复核）</w:t>
            </w:r>
          </w:p>
        </w:tc>
      </w:tr>
      <w:tr w14:paraId="6FD3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9A11400">
            <w:pPr>
              <w:spacing w:after="0" w:line="240" w:lineRule="auto"/>
            </w:pPr>
            <w:r>
              <w:rPr>
                <w:sz w:val="21"/>
              </w:rPr>
              <w:t>红灯</w:t>
            </w:r>
          </w:p>
        </w:tc>
        <w:tc>
          <w:tcPr>
            <w:tcW w:w="1250" w:type="pct"/>
          </w:tcPr>
          <w:p w14:paraId="1B0EBC51">
            <w:pPr>
              <w:spacing w:after="0" w:line="240" w:lineRule="auto"/>
            </w:pPr>
            <w:r>
              <w:rPr>
                <w:sz w:val="21"/>
              </w:rPr>
              <w:t>血糖&lt;3.9 或 &gt;16.7 mmol/L</w:t>
            </w:r>
          </w:p>
        </w:tc>
        <w:tc>
          <w:tcPr>
            <w:tcW w:w="1250" w:type="pct"/>
          </w:tcPr>
          <w:p w14:paraId="45758995">
            <w:pPr>
              <w:spacing w:after="0" w:line="240" w:lineRule="auto"/>
            </w:pPr>
            <w:r>
              <w:rPr>
                <w:sz w:val="21"/>
              </w:rPr>
              <w:t>APP震动+ DPM弹窗 + 短信/邮件通知MDT</w:t>
            </w:r>
          </w:p>
        </w:tc>
        <w:tc>
          <w:tcPr>
            <w:tcW w:w="1250" w:type="pct"/>
          </w:tcPr>
          <w:p w14:paraId="7849C019">
            <w:pPr>
              <w:spacing w:after="0" w:line="240" w:lineRule="auto"/>
            </w:pPr>
            <w:r>
              <w:rPr>
                <w:sz w:val="21"/>
              </w:rPr>
              <w:t>有症状或&lt;3.9：1小时内首次触达；单纯高血糖：4小时内首次触达</w:t>
            </w:r>
          </w:p>
        </w:tc>
      </w:tr>
    </w:tbl>
    <w:p w14:paraId="24F83C3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06AC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</w:tcPr>
          <w:p w14:paraId="6E1B3B83">
            <w:pPr>
              <w:spacing w:after="0" w:line="240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500" w:type="pct"/>
          </w:tcPr>
          <w:p w14:paraId="0F63189B">
            <w:pPr>
              <w:spacing w:after="0" w:line="240" w:lineRule="auto"/>
            </w:pPr>
            <w:r>
              <w:rPr>
                <w:b/>
                <w:sz w:val="21"/>
              </w:rPr>
              <w:t>职责</w:t>
            </w:r>
          </w:p>
        </w:tc>
      </w:tr>
      <w:tr w14:paraId="0BB0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B9664F9">
            <w:pPr>
              <w:spacing w:after="0" w:line="240" w:lineRule="auto"/>
            </w:pPr>
            <w:r>
              <w:rPr>
                <w:sz w:val="21"/>
              </w:rPr>
              <w:t>研究护士</w:t>
            </w:r>
          </w:p>
        </w:tc>
        <w:tc>
          <w:tcPr>
            <w:tcW w:w="2500" w:type="pct"/>
          </w:tcPr>
          <w:p w14:paraId="7AA977BF">
            <w:pPr>
              <w:spacing w:after="0" w:line="240" w:lineRule="auto"/>
            </w:pPr>
            <w:r>
              <w:rPr>
                <w:sz w:val="21"/>
              </w:rPr>
              <w:t>监测预警；首轮联系；按标准话术指导；完成闭环记录。</w:t>
            </w:r>
          </w:p>
        </w:tc>
      </w:tr>
      <w:tr w14:paraId="7210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02EBFDE">
            <w:pPr>
              <w:spacing w:after="0" w:line="240" w:lineRule="auto"/>
            </w:pPr>
            <w:r>
              <w:rPr>
                <w:sz w:val="21"/>
              </w:rPr>
              <w:t>结核科/内分泌医生</w:t>
            </w:r>
          </w:p>
        </w:tc>
        <w:tc>
          <w:tcPr>
            <w:tcW w:w="2500" w:type="pct"/>
          </w:tcPr>
          <w:p w14:paraId="3DB27D9F">
            <w:pPr>
              <w:spacing w:after="0" w:line="240" w:lineRule="auto"/>
            </w:pPr>
            <w:r>
              <w:rPr>
                <w:sz w:val="21"/>
              </w:rPr>
              <w:t>临床决策；调整用药；决定门诊复诊或急诊/住院。</w:t>
            </w:r>
          </w:p>
        </w:tc>
      </w:tr>
      <w:tr w14:paraId="2649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2EAAEB">
            <w:pPr>
              <w:spacing w:after="0" w:line="240" w:lineRule="auto"/>
            </w:pPr>
            <w:r>
              <w:rPr>
                <w:sz w:val="21"/>
              </w:rPr>
              <w:t>MDT组长</w:t>
            </w:r>
          </w:p>
        </w:tc>
        <w:tc>
          <w:tcPr>
            <w:tcW w:w="2500" w:type="pct"/>
          </w:tcPr>
          <w:p w14:paraId="3A77212B">
            <w:pPr>
              <w:spacing w:after="0" w:line="240" w:lineRule="auto"/>
            </w:pPr>
            <w:r>
              <w:rPr>
                <w:sz w:val="21"/>
              </w:rPr>
              <w:t>红灯24小时内召集紧急MDT并签署决策。</w:t>
            </w:r>
          </w:p>
        </w:tc>
      </w:tr>
      <w:tr w14:paraId="0B587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5E7A52E">
            <w:pPr>
              <w:spacing w:after="0" w:line="240" w:lineRule="auto"/>
            </w:pPr>
            <w:r>
              <w:rPr>
                <w:sz w:val="21"/>
              </w:rPr>
              <w:t>数据管理员</w:t>
            </w:r>
          </w:p>
        </w:tc>
        <w:tc>
          <w:tcPr>
            <w:tcW w:w="2500" w:type="pct"/>
          </w:tcPr>
          <w:p w14:paraId="2D6DEB26">
            <w:pPr>
              <w:spacing w:after="0" w:line="240" w:lineRule="auto"/>
            </w:pPr>
            <w:r>
              <w:rPr>
                <w:sz w:val="21"/>
              </w:rPr>
              <w:t>核查预警记录与时间戳完整；审计响应时限达标。</w:t>
            </w:r>
          </w:p>
        </w:tc>
      </w:tr>
    </w:tbl>
    <w:p w14:paraId="6FCFDA66"/>
    <w:p w14:paraId="560EA5C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操作流程</w:t>
      </w:r>
      <w:bookmarkStart w:id="0" w:name="_GoBack"/>
      <w:bookmarkEnd w:id="0"/>
    </w:p>
    <w:p w14:paraId="2956F912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DPM日常监测</w:t>
      </w:r>
    </w:p>
    <w:p w14:paraId="5739DC5A">
      <w:pPr>
        <w:pStyle w:val="16"/>
        <w:bidi w:val="0"/>
        <w:ind w:left="360" w:leftChars="0" w:hanging="360" w:firstLineChars="0"/>
      </w:pPr>
      <w:r>
        <w:t>研究护士至少每日（工作日）查看一次DPM仪表盘；每日早晨重点核查夜间红灯预警。</w:t>
      </w:r>
    </w:p>
    <w:p w14:paraId="0194B3E0">
      <w:pPr>
        <w:pStyle w:val="16"/>
        <w:bidi w:val="0"/>
        <w:ind w:left="360" w:leftChars="0" w:hanging="360" w:firstLineChars="0"/>
      </w:pPr>
      <w:r>
        <w:t>对任何预警，需核对数据来源（SMBG/CGM）与场景（空腹/餐后/症状），排除录入错误。</w:t>
      </w:r>
    </w:p>
    <w:p w14:paraId="765D3C38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黄灯处置</w:t>
      </w:r>
    </w:p>
    <w:p w14:paraId="05399C9E">
      <w:pPr>
        <w:pStyle w:val="16"/>
        <w:bidi w:val="0"/>
        <w:ind w:left="360" w:leftChars="0" w:hanging="360" w:firstLineChars="0"/>
      </w:pPr>
      <w:r>
        <w:t>3.24小时内通过APP推送标准化生活方式建议；必要时电话随访。</w:t>
      </w:r>
    </w:p>
    <w:p w14:paraId="3C18185E">
      <w:pPr>
        <w:pStyle w:val="16"/>
        <w:bidi w:val="0"/>
        <w:ind w:left="360" w:leftChars="0" w:hanging="360" w:firstLineChars="0"/>
      </w:pPr>
      <w:r>
        <w:t>黄灯持续&gt;7天或空腹血糖持续&gt;10 mmol/L，升级至内分泌医生评估并调整用药。</w:t>
      </w:r>
    </w:p>
    <w:p w14:paraId="6CAFA80E">
      <w:pPr>
        <w:pStyle w:val="16"/>
        <w:bidi w:val="0"/>
        <w:ind w:left="360" w:leftChars="0" w:hanging="360" w:firstLineChars="0"/>
      </w:pPr>
      <w:r>
        <w:t>在EDC《预警处置表》中记录并完成闭环。</w:t>
      </w:r>
    </w:p>
    <w:p w14:paraId="7995A127">
      <w:pPr>
        <w:pStyle w:val="4"/>
        <w:widowControl/>
      </w:pPr>
      <w:r>
        <w:t>5.3 红灯处置</w:t>
      </w:r>
    </w:p>
    <w:p w14:paraId="03C9F103">
      <w:pPr>
        <w:pStyle w:val="16"/>
        <w:bidi w:val="0"/>
        <w:ind w:left="360" w:leftChars="0" w:hanging="360" w:firstLineChars="0"/>
        <w:rPr>
          <w:b w:val="0"/>
        </w:rPr>
      </w:pPr>
      <w:r>
        <w:t>立即核对：排除录入/设备误差；条件允许时复测血糖。</w:t>
      </w:r>
    </w:p>
    <w:p w14:paraId="112E4E34">
      <w:pPr>
        <w:pStyle w:val="16"/>
        <w:bidi w:val="0"/>
        <w:ind w:left="360" w:leftChars="0" w:hanging="360" w:firstLineChars="0"/>
        <w:rPr>
          <w:b w:val="0"/>
        </w:rPr>
      </w:pPr>
      <w:r>
        <w:t>首次触达时限：有症状或血糖&lt;3.9者1小时内；单纯&gt;16.7且无症状者4小时内。</w:t>
      </w:r>
    </w:p>
    <w:p w14:paraId="70348013">
      <w:pPr>
        <w:pStyle w:val="16"/>
        <w:bidi w:val="0"/>
        <w:ind w:left="360" w:leftChars="0" w:hanging="360" w:firstLineChars="0"/>
        <w:rPr>
          <w:b w:val="0"/>
        </w:rPr>
      </w:pPr>
      <w:r>
        <w:t>按SOP08提供标准化指导：低血糖立即处理；如严重症状或疑似DKA，立即转急诊/住院。</w:t>
      </w:r>
    </w:p>
    <w:p w14:paraId="20F0A8E0">
      <w:pPr>
        <w:pStyle w:val="16"/>
        <w:bidi w:val="0"/>
        <w:ind w:left="360" w:leftChars="0" w:hanging="360" w:firstLineChars="0"/>
        <w:rPr>
          <w:b w:val="0"/>
        </w:rPr>
      </w:pPr>
      <w:r>
        <w:t>升级：通知结核科医生与内分泌医生；符合标准时MDT组长24小时内召集紧急MDT。</w:t>
      </w:r>
    </w:p>
    <w:p w14:paraId="548ECC89">
      <w:pPr>
        <w:pStyle w:val="16"/>
        <w:bidi w:val="0"/>
        <w:ind w:left="360" w:leftChars="0" w:hanging="360" w:firstLineChars="0"/>
        <w:rPr>
          <w:b w:val="0"/>
        </w:rPr>
      </w:pPr>
      <w:r>
        <w:t>记录：预警时间、联系时间、处置措施、临床结局与闭环完成时间，形成完整审计链。</w:t>
      </w:r>
    </w:p>
    <w:p w14:paraId="4D9E8C4F">
      <w:pPr>
        <w:pStyle w:val="4"/>
        <w:widowControl/>
      </w:pPr>
      <w:r>
        <w:t>5.4 失联与兜底机制</w:t>
      </w:r>
    </w:p>
    <w:p w14:paraId="7CBB1ABB">
      <w:pPr>
        <w:pStyle w:val="16"/>
        <w:bidi w:val="0"/>
        <w:ind w:left="360" w:leftChars="0" w:hanging="360" w:firstLineChars="0"/>
      </w:pPr>
      <w:r>
        <w:t>2小时内尝试联系≥3次仍失联：按知情同意联系紧急联系人。</w:t>
      </w:r>
    </w:p>
    <w:p w14:paraId="6454345E">
      <w:pPr>
        <w:pStyle w:val="16"/>
        <w:bidi w:val="0"/>
        <w:ind w:left="360" w:leftChars="0" w:hanging="360" w:firstLineChars="0"/>
      </w:pPr>
      <w:r>
        <w:t>如判断存在严重风险：建议立即呼叫当地急救并通知分中心PI。</w:t>
      </w:r>
    </w:p>
    <w:p w14:paraId="796784D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记录与审计</w:t>
      </w:r>
    </w:p>
    <w:p w14:paraId="7EE2CEA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EDC《预警处置表》（尽量由DPM时间戳自动带入）。</w:t>
      </w:r>
    </w:p>
    <w:p w14:paraId="5E0B403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红灯触发且符合标准者填写《MDT紧急会诊记录单》。</w:t>
      </w:r>
    </w:p>
    <w:p w14:paraId="3DDD7A18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每月输出SLA审计报告（红灯/黄灯响应达标）。</w:t>
      </w:r>
    </w:p>
    <w:p w14:paraId="2A2D857D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4E04FB7B"/>
    <w:multiLevelType w:val="singleLevel"/>
    <w:tmpl w:val="4E04FB7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4EF8D1AA"/>
    <w:multiLevelType w:val="singleLevel"/>
    <w:tmpl w:val="4EF8D1A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B89C796"/>
    <w:multiLevelType w:val="singleLevel"/>
    <w:tmpl w:val="7B89C79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8">
    <w:nsid w:val="7FE837D4"/>
    <w:multiLevelType w:val="singleLevel"/>
    <w:tmpl w:val="7FE837D4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DE3CB4"/>
    <w:rsid w:val="4BCD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953</Words>
  <Characters>1131</Characters>
  <Lines>0</Lines>
  <Paragraphs>0</Paragraphs>
  <TotalTime>31</TotalTime>
  <ScaleCrop>false</ScaleCrop>
  <LinksUpToDate>false</LinksUpToDate>
  <CharactersWithSpaces>1146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2026-03-13T02:54:23Z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8A578200DB4A406F8AFAB8C03B6B2E4E_12</vt:lpwstr>
  </property>
</Properties>
</file>