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D82DE">
      <w:pPr>
        <w:pStyle w:val="31"/>
        <w:widowControl/>
        <w:ind w:firstLine="964" w:firstLineChars="300"/>
      </w:pPr>
      <w:bookmarkStart w:id="0" w:name="_GoBack"/>
      <w:bookmarkEnd w:id="0"/>
      <w:r>
        <w:t>降糖用药算法与调药规则（TDSC务实版）</w:t>
      </w:r>
    </w:p>
    <w:p w14:paraId="4FDDF008"/>
    <w:p w14:paraId="3A409A02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4225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9DB5C09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5CD8A2B5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4229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54F7EF2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615FA51B">
            <w:pPr>
              <w:spacing w:after="0" w:line="240" w:lineRule="auto"/>
            </w:pPr>
            <w:r>
              <w:rPr>
                <w:sz w:val="21"/>
              </w:rPr>
              <w:t>TDSC-TB-DM-SOP05</w:t>
            </w:r>
          </w:p>
        </w:tc>
      </w:tr>
      <w:tr w14:paraId="5B30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32AA56C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302D0D24">
            <w:pPr>
              <w:spacing w:after="0" w:line="240" w:lineRule="auto"/>
            </w:pPr>
            <w:r>
              <w:rPr>
                <w:sz w:val="21"/>
              </w:rPr>
              <w:t>降糖用药算法与调药规则（TDSC务实版）</w:t>
            </w:r>
          </w:p>
        </w:tc>
      </w:tr>
      <w:tr w14:paraId="54C7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98E723D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2A2C76CF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1F0B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1E13F07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5D1A41B9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2C29A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32E2951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723F6617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7D71A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D0BF76E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544BC89E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1F73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B6DAFE5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1228243E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606EC372"/>
    <w:p w14:paraId="54152A6E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7D0C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A7F31F5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6A6E7906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2A4DD5C2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2B0CB0CE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5836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03F2BB5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5C28EE83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1EADAB92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16F11626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21B59FF1"/>
    <w:p w14:paraId="713D292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7CECEB81">
      <w:pPr>
        <w:pStyle w:val="19"/>
        <w:widowControl/>
      </w:pPr>
      <w:r>
        <w:t>目的：提供可直接落地执行的降糖用药算法与调药规则，与TDSC分层控糖路径及含利福喷丁DDI管理相一致。</w:t>
      </w:r>
    </w:p>
    <w:p w14:paraId="16E593F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22F2D7F8">
      <w:pPr>
        <w:pStyle w:val="19"/>
        <w:widowControl/>
      </w:pPr>
      <w:r>
        <w:t>适用范围：适用于所有TB-DM受试者，从基线至治疗结束及随访期。</w:t>
      </w:r>
    </w:p>
    <w:p w14:paraId="308533A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基本原则</w:t>
      </w:r>
    </w:p>
    <w:p w14:paraId="1947677E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安全优先：避免严重低血糖；对危急高血糖快速纠正。</w:t>
      </w:r>
    </w:p>
    <w:p w14:paraId="6EA885FB">
      <w:pPr>
        <w:pStyle w:val="16"/>
        <w:bidi w:val="0"/>
        <w:ind w:left="360" w:leftChars="0" w:hanging="360" w:firstLineChars="0"/>
      </w:pPr>
      <w:r>
        <w:rPr>
          <w:rFonts w:ascii="Times New Roman" w:hAnsi="Calibri" w:eastAsia="宋体" w:cs="Times New Roman"/>
          <w:sz w:val="24"/>
        </w:rPr>
        <w:t>DDI优先：利福喷丁暴露期优选二甲双胍与胰岛素；避免高风险口服药（见SOP06）</w:t>
      </w:r>
      <w:r>
        <w:t>。</w:t>
      </w:r>
    </w:p>
    <w:p w14:paraId="56DF326A">
      <w:pPr>
        <w:pStyle w:val="16"/>
        <w:bidi w:val="0"/>
        <w:ind w:left="360" w:leftChars="0" w:hanging="360" w:firstLineChars="0"/>
      </w:pPr>
      <w:r>
        <w:rPr>
          <w:rFonts w:ascii="Times New Roman" w:hAnsi="Calibri" w:eastAsia="宋体" w:cs="Times New Roman"/>
          <w:sz w:val="24"/>
        </w:rPr>
        <w:t>留痕必需：每次调药须在24小时内录入EDC（见SOP10）</w:t>
      </w:r>
      <w:r>
        <w:t>。</w:t>
      </w:r>
    </w:p>
    <w:p w14:paraId="3CFAB92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用药算法与调药规则</w:t>
      </w:r>
    </w:p>
    <w:p w14:paraId="2701E009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启动胰岛素强化治疗的指征（最低要求）</w:t>
      </w:r>
    </w:p>
    <w:p w14:paraId="17C42E82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基线 HbA1c&gt;9.0% 或空腹血糖&gt;11.1 mmol/L。</w:t>
      </w:r>
    </w:p>
    <w:p w14:paraId="31B3A90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HbA1c&gt;10.0% 或空腹&gt;15 mmol/L，或有明显高血糖症状。</w:t>
      </w:r>
    </w:p>
    <w:p w14:paraId="66A7F45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利福喷丁起始后2–4周内口服方案仍无法达标。</w:t>
      </w:r>
    </w:p>
    <w:p w14:paraId="70AF1F8F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队列B/强化路径默认以胰岛素为骨架（CGM/TIR驱动）。</w:t>
      </w:r>
    </w:p>
    <w:p w14:paraId="09B55F0C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务实用药方案（示例）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9"/>
        <w:gridCol w:w="3319"/>
        <w:gridCol w:w="3320"/>
      </w:tblGrid>
      <w:tr w14:paraId="23B9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pct"/>
          </w:tcPr>
          <w:p w14:paraId="097EF872">
            <w:pPr>
              <w:spacing w:after="0" w:line="240" w:lineRule="auto"/>
            </w:pPr>
            <w:r>
              <w:rPr>
                <w:b/>
                <w:sz w:val="21"/>
              </w:rPr>
              <w:t>情景</w:t>
            </w:r>
          </w:p>
        </w:tc>
        <w:tc>
          <w:tcPr>
            <w:tcW w:w="1666" w:type="pct"/>
          </w:tcPr>
          <w:p w14:paraId="0128CB93">
            <w:pPr>
              <w:spacing w:after="0" w:line="240" w:lineRule="auto"/>
            </w:pPr>
            <w:r>
              <w:rPr>
                <w:b/>
                <w:sz w:val="21"/>
              </w:rPr>
              <w:t>优选方案（示例）</w:t>
            </w:r>
          </w:p>
        </w:tc>
        <w:tc>
          <w:tcPr>
            <w:tcW w:w="1666" w:type="pct"/>
          </w:tcPr>
          <w:p w14:paraId="371587AF">
            <w:pPr>
              <w:spacing w:after="0" w:line="240" w:lineRule="auto"/>
            </w:pPr>
            <w:r>
              <w:rPr>
                <w:b/>
                <w:sz w:val="21"/>
              </w:rPr>
              <w:t>监测</w:t>
            </w:r>
          </w:p>
        </w:tc>
      </w:tr>
      <w:tr w14:paraId="690F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A6CE4DC">
            <w:pPr>
              <w:spacing w:after="0" w:line="240" w:lineRule="auto"/>
            </w:pPr>
            <w:r>
              <w:rPr>
                <w:sz w:val="21"/>
              </w:rPr>
              <w:t>队列A 轻-中度高血糖</w:t>
            </w:r>
          </w:p>
        </w:tc>
        <w:tc>
          <w:tcPr>
            <w:tcW w:w="1666" w:type="pct"/>
          </w:tcPr>
          <w:p w14:paraId="6010746B">
            <w:pPr>
              <w:spacing w:after="0" w:line="240" w:lineRule="auto"/>
            </w:pPr>
            <w:r>
              <w:rPr>
                <w:sz w:val="21"/>
              </w:rPr>
              <w:t>二甲双胍 ± 基础胰岛素（必要时）</w:t>
            </w:r>
          </w:p>
        </w:tc>
        <w:tc>
          <w:tcPr>
            <w:tcW w:w="1666" w:type="pct"/>
          </w:tcPr>
          <w:p w14:paraId="4532CA68">
            <w:pPr>
              <w:spacing w:after="0" w:line="240" w:lineRule="auto"/>
            </w:pPr>
            <w:r>
              <w:rPr>
                <w:sz w:val="21"/>
              </w:rPr>
              <w:t>按SOP03监测；每周复核</w:t>
            </w:r>
          </w:p>
        </w:tc>
      </w:tr>
      <w:tr w14:paraId="48D7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5C3D26E">
            <w:pPr>
              <w:spacing w:after="0" w:line="240" w:lineRule="auto"/>
            </w:pPr>
            <w:r>
              <w:rPr>
                <w:sz w:val="21"/>
              </w:rPr>
              <w:t>队列B/血糖不稳</w:t>
            </w:r>
          </w:p>
        </w:tc>
        <w:tc>
          <w:tcPr>
            <w:tcW w:w="1666" w:type="pct"/>
          </w:tcPr>
          <w:p w14:paraId="321F8E3E">
            <w:pPr>
              <w:spacing w:after="0" w:line="240" w:lineRule="auto"/>
            </w:pPr>
            <w:r>
              <w:rPr>
                <w:sz w:val="21"/>
              </w:rPr>
              <w:t>基础-餐时或基础加餐时胰岛素 ± 二甲双胍</w:t>
            </w:r>
          </w:p>
        </w:tc>
        <w:tc>
          <w:tcPr>
            <w:tcW w:w="1666" w:type="pct"/>
          </w:tcPr>
          <w:p w14:paraId="5B103E23">
            <w:pPr>
              <w:spacing w:after="0" w:line="240" w:lineRule="auto"/>
            </w:pPr>
            <w:r>
              <w:rPr>
                <w:sz w:val="21"/>
              </w:rPr>
              <w:t>CGM 14天；W2读取AGP；后续按计划</w:t>
            </w:r>
          </w:p>
        </w:tc>
      </w:tr>
      <w:tr w14:paraId="170F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1E65E89">
            <w:pPr>
              <w:spacing w:after="0" w:line="240" w:lineRule="auto"/>
            </w:pPr>
            <w:r>
              <w:rPr>
                <w:sz w:val="21"/>
              </w:rPr>
              <w:t>使用SGLT2抑制剂者</w:t>
            </w:r>
          </w:p>
        </w:tc>
        <w:tc>
          <w:tcPr>
            <w:tcW w:w="1666" w:type="pct"/>
          </w:tcPr>
          <w:p w14:paraId="5C57DF86">
            <w:pPr>
              <w:spacing w:after="0" w:line="240" w:lineRule="auto"/>
            </w:pPr>
            <w:r>
              <w:rPr>
                <w:sz w:val="21"/>
              </w:rPr>
              <w:t>谨慎使用；疑似酮症即刻停用</w:t>
            </w:r>
          </w:p>
        </w:tc>
        <w:tc>
          <w:tcPr>
            <w:tcW w:w="1666" w:type="pct"/>
          </w:tcPr>
          <w:p w14:paraId="3549AECE">
            <w:pPr>
              <w:spacing w:after="0" w:line="240" w:lineRule="auto"/>
            </w:pPr>
            <w:r>
              <w:rPr>
                <w:sz w:val="21"/>
              </w:rPr>
              <w:t>强化酮症教育；警惕DKA</w:t>
            </w:r>
          </w:p>
        </w:tc>
      </w:tr>
    </w:tbl>
    <w:p w14:paraId="70EE6539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调药规则（最低可执行口径）</w:t>
      </w:r>
    </w:p>
    <w:p w14:paraId="01E93D17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基础胰岛素：每3天根据空腹SMBG调整一次（目标随队列设定；避免&lt;4.4 mmol/L）。</w:t>
      </w:r>
    </w:p>
    <w:p w14:paraId="10091491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餐时胰岛素（如使用）：依据餐后2小时血糖与CGM趋势调整；起始1个月至少每周复核一次。</w:t>
      </w:r>
    </w:p>
    <w:p w14:paraId="0FB225F2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一旦出现红灯预警，立即按SOP04/08处置，并在临床需要时当天复评并调整方案。</w:t>
      </w:r>
    </w:p>
    <w:p w14:paraId="6812D08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工作流程</w:t>
      </w:r>
    </w:p>
    <w:p w14:paraId="563F4A4B">
      <w:pPr>
        <w:pStyle w:val="19"/>
        <w:widowControl/>
        <w:numPr>
          <w:ilvl w:val="0"/>
          <w:numId w:val="10"/>
        </w:numPr>
        <w:ind w:left="360" w:leftChars="0" w:hanging="360" w:firstLineChars="0"/>
        <w:rPr>
          <w:b w:val="0"/>
          <w:bdr w:val="none" w:sz="0" w:space="0"/>
        </w:rPr>
      </w:pPr>
      <w:r>
        <w:t>基线：完成用药核对与DDI计划（SOP06）；确定分层路径（SOP02）与监测方式（SOP03）。</w:t>
      </w:r>
    </w:p>
    <w:p w14:paraId="495DFA0F">
      <w:pPr>
        <w:pStyle w:val="19"/>
        <w:widowControl/>
        <w:numPr>
          <w:ilvl w:val="0"/>
          <w:numId w:val="10"/>
        </w:numPr>
        <w:ind w:left="360" w:leftChars="0" w:hanging="360" w:firstLineChars="0"/>
        <w:rPr>
          <w:b w:val="0"/>
          <w:bdr w:val="none" w:sz="0" w:space="0"/>
        </w:rPr>
      </w:pPr>
      <w:r>
        <w:t>启动：开立方案；完成教育（低血糖、酮症、病日规则）。</w:t>
      </w:r>
    </w:p>
    <w:p w14:paraId="0A153365">
      <w:pPr>
        <w:pStyle w:val="19"/>
        <w:widowControl/>
        <w:numPr>
          <w:ilvl w:val="0"/>
          <w:numId w:val="10"/>
        </w:numPr>
        <w:ind w:left="360" w:leftChars="0" w:hanging="360" w:firstLineChars="0"/>
        <w:rPr>
          <w:b w:val="0"/>
          <w:bdr w:val="none" w:sz="0" w:space="0"/>
        </w:rPr>
      </w:pPr>
      <w:r>
        <w:t>随访：复核SMBG/CGM；按规则调药；24小时内录入EDC。</w:t>
      </w:r>
    </w:p>
    <w:p w14:paraId="1A764EF5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升级：黄/红灯按SOP04；急危按SOP08；符合标准时启动MDT。</w:t>
      </w:r>
    </w:p>
    <w:p w14:paraId="6E7F2E8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记录与质控</w:t>
      </w:r>
    </w:p>
    <w:p w14:paraId="239255C4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EDC《用药调整记录》（原因代码：疗效/安全/DDI/依从性等）。</w:t>
      </w:r>
    </w:p>
    <w:p w14:paraId="20A310DF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低血糖与酮症教育清单（受试者签字确认）。</w:t>
      </w:r>
    </w:p>
    <w:p w14:paraId="356E506C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每月复盘严重低血糖、DKA与失控高血糖事件。</w:t>
      </w:r>
    </w:p>
    <w:p w14:paraId="4A0A7356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B5386"/>
    <w:multiLevelType w:val="singleLevel"/>
    <w:tmpl w:val="822B538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8C30431B"/>
    <w:multiLevelType w:val="singleLevel"/>
    <w:tmpl w:val="8C30431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AEE45E8F"/>
    <w:multiLevelType w:val="singleLevel"/>
    <w:tmpl w:val="AEE45E8F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CFEE0BBA"/>
    <w:multiLevelType w:val="singleLevel"/>
    <w:tmpl w:val="CFEE0BB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4D62CA35"/>
    <w:multiLevelType w:val="singleLevel"/>
    <w:tmpl w:val="4D62CA35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0">
    <w:nsid w:val="7AB08B58"/>
    <w:multiLevelType w:val="singleLevel"/>
    <w:tmpl w:val="7AB08B5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10"/>
  </w:num>
  <w:num w:numId="8">
    <w:abstractNumId w:val="9"/>
  </w:num>
  <w:num w:numId="9">
    <w:abstractNumId w:val="0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076292"/>
    <w:rsid w:val="4C4F6AC2"/>
    <w:rsid w:val="68C25ABF"/>
    <w:rsid w:val="6D7D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823</Words>
  <Characters>1033</Characters>
  <Lines>0</Lines>
  <Paragraphs>0</Paragraphs>
  <TotalTime>0</TotalTime>
  <ScaleCrop>false</ScaleCrop>
  <LinksUpToDate>false</LinksUpToDate>
  <CharactersWithSpaces>1059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2026-03-13T02:38:02Z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7916C8ACF8EC4E778CB58603E42CCCA0_12</vt:lpwstr>
  </property>
</Properties>
</file>