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10E65">
      <w:pPr>
        <w:pStyle w:val="31"/>
        <w:widowControl/>
        <w:ind w:firstLine="321" w:firstLineChars="100"/>
      </w:pPr>
      <w:r>
        <w:t>含利福喷丁方案的药物相互作用（DDI）管理（控糖相关）</w:t>
      </w:r>
    </w:p>
    <w:p w14:paraId="2007F658"/>
    <w:p w14:paraId="006FAA20">
      <w:pPr>
        <w:pStyle w:val="3"/>
        <w:widowControl/>
      </w:pPr>
      <w:r>
        <w:t>文件控制信息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3147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69144549">
            <w:pPr>
              <w:spacing w:after="0" w:line="240" w:lineRule="auto"/>
            </w:pPr>
            <w:r>
              <w:rPr>
                <w:sz w:val="21"/>
              </w:rPr>
              <w:t>研究</w:t>
            </w:r>
          </w:p>
        </w:tc>
        <w:tc>
          <w:tcPr>
            <w:tcW w:w="2500" w:type="pct"/>
            <w:vAlign w:val="center"/>
          </w:tcPr>
          <w:p w14:paraId="62212666">
            <w:pPr>
              <w:spacing w:after="0" w:line="240" w:lineRule="auto"/>
            </w:pPr>
            <w:r>
              <w:rPr>
                <w:sz w:val="21"/>
              </w:rPr>
              <w:t>TDSC</w:t>
            </w:r>
          </w:p>
        </w:tc>
      </w:tr>
      <w:tr w14:paraId="07577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3E142CAC">
            <w:pPr>
              <w:spacing w:after="0" w:line="240" w:lineRule="auto"/>
            </w:pPr>
            <w:r>
              <w:rPr>
                <w:sz w:val="21"/>
              </w:rPr>
              <w:t>SOP编号</w:t>
            </w:r>
          </w:p>
        </w:tc>
        <w:tc>
          <w:tcPr>
            <w:tcW w:w="2500" w:type="pct"/>
            <w:vAlign w:val="center"/>
          </w:tcPr>
          <w:p w14:paraId="698D68EA">
            <w:pPr>
              <w:spacing w:after="0" w:line="240" w:lineRule="auto"/>
            </w:pPr>
            <w:r>
              <w:rPr>
                <w:sz w:val="21"/>
              </w:rPr>
              <w:t>TDSC-TB-DM-SOP06</w:t>
            </w:r>
          </w:p>
        </w:tc>
      </w:tr>
      <w:tr w14:paraId="47DF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2B0707C">
            <w:pPr>
              <w:spacing w:after="0" w:line="240" w:lineRule="auto"/>
            </w:pPr>
            <w:r>
              <w:rPr>
                <w:sz w:val="21"/>
              </w:rPr>
              <w:t>标题</w:t>
            </w:r>
          </w:p>
        </w:tc>
        <w:tc>
          <w:tcPr>
            <w:tcW w:w="2500" w:type="pct"/>
            <w:vAlign w:val="center"/>
          </w:tcPr>
          <w:p w14:paraId="2D5C46B0">
            <w:pPr>
              <w:spacing w:after="0" w:line="240" w:lineRule="auto"/>
            </w:pPr>
            <w:r>
              <w:rPr>
                <w:sz w:val="21"/>
              </w:rPr>
              <w:t>含利福喷丁方案的药物相互作用（DDI）管理（控糖相关）</w:t>
            </w:r>
          </w:p>
        </w:tc>
      </w:tr>
      <w:tr w14:paraId="37CF5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29A2768">
            <w:pPr>
              <w:spacing w:after="0" w:line="240" w:lineRule="auto"/>
            </w:pPr>
            <w:r>
              <w:rPr>
                <w:sz w:val="21"/>
              </w:rPr>
              <w:t>版本</w:t>
            </w:r>
          </w:p>
        </w:tc>
        <w:tc>
          <w:tcPr>
            <w:tcW w:w="2500" w:type="pct"/>
            <w:vAlign w:val="center"/>
          </w:tcPr>
          <w:p w14:paraId="3732D1C5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</w:tr>
      <w:tr w14:paraId="05C97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1612330A">
            <w:pPr>
              <w:spacing w:after="0" w:line="240" w:lineRule="auto"/>
            </w:pPr>
            <w:r>
              <w:rPr>
                <w:sz w:val="21"/>
              </w:rPr>
              <w:t>生效日期</w:t>
            </w:r>
          </w:p>
        </w:tc>
        <w:tc>
          <w:tcPr>
            <w:tcW w:w="2500" w:type="pct"/>
            <w:vAlign w:val="center"/>
          </w:tcPr>
          <w:p w14:paraId="2F6E672A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</w:tr>
      <w:tr w14:paraId="4977C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0D8B1912">
            <w:pPr>
              <w:spacing w:after="0" w:line="240" w:lineRule="auto"/>
            </w:pPr>
            <w:r>
              <w:rPr>
                <w:sz w:val="21"/>
              </w:rPr>
              <w:t>牵头部门</w:t>
            </w:r>
          </w:p>
        </w:tc>
        <w:tc>
          <w:tcPr>
            <w:tcW w:w="2500" w:type="pct"/>
            <w:vAlign w:val="center"/>
          </w:tcPr>
          <w:p w14:paraId="3E7AB889">
            <w:pPr>
              <w:spacing w:after="0" w:line="240" w:lineRule="auto"/>
            </w:pPr>
            <w:r>
              <w:rPr>
                <w:sz w:val="21"/>
              </w:rPr>
              <w:t>TB-DM MDT工作组</w:t>
            </w:r>
          </w:p>
        </w:tc>
      </w:tr>
      <w:tr w14:paraId="1AE7A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63CDDCCF">
            <w:pPr>
              <w:spacing w:after="0" w:line="240" w:lineRule="auto"/>
            </w:pPr>
            <w:r>
              <w:rPr>
                <w:sz w:val="21"/>
              </w:rPr>
              <w:t>起草</w:t>
            </w:r>
          </w:p>
        </w:tc>
        <w:tc>
          <w:tcPr>
            <w:tcW w:w="2500" w:type="pct"/>
            <w:vAlign w:val="center"/>
          </w:tcPr>
          <w:p w14:paraId="140E6180">
            <w:pPr>
              <w:spacing w:after="0" w:line="240" w:lineRule="auto"/>
            </w:pPr>
            <w:r>
              <w:rPr>
                <w:sz w:val="21"/>
              </w:rPr>
              <w:t>TDSC 方法学与数据团队</w:t>
            </w:r>
          </w:p>
        </w:tc>
      </w:tr>
      <w:tr w14:paraId="29A2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2B088415">
            <w:pPr>
              <w:spacing w:after="0" w:line="240" w:lineRule="auto"/>
            </w:pPr>
            <w:r>
              <w:rPr>
                <w:sz w:val="21"/>
              </w:rPr>
              <w:t>批准</w:t>
            </w:r>
          </w:p>
        </w:tc>
        <w:tc>
          <w:tcPr>
            <w:tcW w:w="2500" w:type="pct"/>
            <w:vAlign w:val="center"/>
          </w:tcPr>
          <w:p w14:paraId="3E6CE102">
            <w:pPr>
              <w:spacing w:after="0" w:line="240" w:lineRule="auto"/>
            </w:pPr>
            <w:r>
              <w:rPr>
                <w:sz w:val="21"/>
              </w:rPr>
              <w:t>PI / 指导委员会</w:t>
            </w:r>
          </w:p>
        </w:tc>
      </w:tr>
    </w:tbl>
    <w:p w14:paraId="3A7CB104"/>
    <w:p w14:paraId="43B46228">
      <w:pPr>
        <w:pStyle w:val="3"/>
        <w:widowControl/>
      </w:pPr>
      <w:r>
        <w:t>修订记录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3188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E7E134A">
            <w:pPr>
              <w:spacing w:after="0" w:line="240" w:lineRule="auto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1250" w:type="pct"/>
          </w:tcPr>
          <w:p w14:paraId="0B1534F0">
            <w:pPr>
              <w:spacing w:after="0" w:line="240" w:lineRule="auto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1250" w:type="pct"/>
          </w:tcPr>
          <w:p w14:paraId="31795D39">
            <w:pPr>
              <w:spacing w:after="0" w:line="240" w:lineRule="auto"/>
            </w:pPr>
            <w:r>
              <w:rPr>
                <w:b/>
                <w:sz w:val="21"/>
              </w:rPr>
              <w:t>修订内容</w:t>
            </w:r>
          </w:p>
        </w:tc>
        <w:tc>
          <w:tcPr>
            <w:tcW w:w="1250" w:type="pct"/>
          </w:tcPr>
          <w:p w14:paraId="74560B81">
            <w:pPr>
              <w:spacing w:after="0" w:line="240" w:lineRule="auto"/>
            </w:pPr>
            <w:r>
              <w:rPr>
                <w:b/>
                <w:sz w:val="21"/>
              </w:rPr>
              <w:t>作者</w:t>
            </w:r>
          </w:p>
        </w:tc>
      </w:tr>
      <w:tr w14:paraId="6413F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4936EFE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  <w:tc>
          <w:tcPr>
            <w:tcW w:w="1250" w:type="pct"/>
          </w:tcPr>
          <w:p w14:paraId="364C9B7F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  <w:tc>
          <w:tcPr>
            <w:tcW w:w="1250" w:type="pct"/>
          </w:tcPr>
          <w:p w14:paraId="66EB96A5">
            <w:pPr>
              <w:spacing w:after="0" w:line="240" w:lineRule="auto"/>
            </w:pPr>
            <w:r>
              <w:rPr>
                <w:sz w:val="21"/>
              </w:rPr>
              <w:t>首次发布。</w:t>
            </w:r>
          </w:p>
        </w:tc>
        <w:tc>
          <w:tcPr>
            <w:tcW w:w="1250" w:type="pct"/>
          </w:tcPr>
          <w:p w14:paraId="428BDC10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</w:tr>
    </w:tbl>
    <w:p w14:paraId="783DE4C3"/>
    <w:p w14:paraId="26303A4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67B36EA7">
      <w:pPr>
        <w:pStyle w:val="19"/>
        <w:widowControl/>
      </w:pPr>
      <w:r>
        <w:t>目的：针对含利福喷丁抗结核方案的强酶诱导效应，规范降糖药物选择与监测加密，降低血糖失控与相关不良事件风险。</w:t>
      </w:r>
    </w:p>
    <w:p w14:paraId="0E4344D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70C35AB8">
      <w:pPr>
        <w:pStyle w:val="19"/>
        <w:widowControl/>
      </w:pPr>
      <w:r>
        <w:t>适用范围：适用于TDSC研究中接受含利福喷丁方案（如每日高剂量利福喷丁）的所有受试者。与SOP02/04/08及TDSC AE/SAE体系衔接。</w:t>
      </w:r>
    </w:p>
    <w:p w14:paraId="1F717F0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背景与原则</w:t>
      </w:r>
    </w:p>
    <w:p w14:paraId="7E363944">
      <w:pPr>
        <w:pStyle w:val="19"/>
        <w:widowControl/>
      </w:pPr>
      <w:r>
        <w:t>利福喷丁为强效酶诱导剂（CYP450等），可加速部分口服降糖药代谢并降低疗效。本SOP采用“黑名单/推荐清单 + 监测加密 + 升级策略”的务实方案。</w:t>
      </w:r>
    </w:p>
    <w:p w14:paraId="30907A5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黑名单/推荐清单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22504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4E3C4DD3">
            <w:pPr>
              <w:spacing w:after="0" w:line="240" w:lineRule="auto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1250" w:type="pct"/>
          </w:tcPr>
          <w:p w14:paraId="0ED2A83F">
            <w:pPr>
              <w:spacing w:after="0" w:line="240" w:lineRule="auto"/>
            </w:pPr>
            <w:r>
              <w:rPr>
                <w:b/>
                <w:sz w:val="21"/>
              </w:rPr>
              <w:t>例子</w:t>
            </w:r>
          </w:p>
        </w:tc>
        <w:tc>
          <w:tcPr>
            <w:tcW w:w="1250" w:type="pct"/>
          </w:tcPr>
          <w:p w14:paraId="66C5C134">
            <w:pPr>
              <w:spacing w:after="0" w:line="240" w:lineRule="auto"/>
            </w:pPr>
            <w:r>
              <w:rPr>
                <w:b/>
                <w:sz w:val="21"/>
              </w:rPr>
              <w:t>利福喷丁治疗期建议</w:t>
            </w:r>
          </w:p>
        </w:tc>
        <w:tc>
          <w:tcPr>
            <w:tcW w:w="1250" w:type="pct"/>
          </w:tcPr>
          <w:p w14:paraId="467D1F6E">
            <w:pPr>
              <w:spacing w:after="0" w:line="240" w:lineRule="auto"/>
            </w:pPr>
            <w:r>
              <w:rPr>
                <w:b/>
                <w:sz w:val="21"/>
              </w:rPr>
              <w:t>备注</w:t>
            </w:r>
          </w:p>
        </w:tc>
      </w:tr>
      <w:tr w14:paraId="1287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35B29B13">
            <w:pPr>
              <w:spacing w:after="0" w:line="240" w:lineRule="auto"/>
            </w:pPr>
            <w:r>
              <w:rPr>
                <w:sz w:val="21"/>
              </w:rPr>
              <w:t>推荐（白名单）</w:t>
            </w:r>
          </w:p>
        </w:tc>
        <w:tc>
          <w:tcPr>
            <w:tcW w:w="1250" w:type="pct"/>
          </w:tcPr>
          <w:p w14:paraId="247186EF">
            <w:pPr>
              <w:spacing w:after="0" w:line="240" w:lineRule="auto"/>
            </w:pPr>
            <w:r>
              <w:rPr>
                <w:sz w:val="21"/>
              </w:rPr>
              <w:t>二甲双胍；胰岛素</w:t>
            </w:r>
          </w:p>
        </w:tc>
        <w:tc>
          <w:tcPr>
            <w:tcW w:w="1250" w:type="pct"/>
          </w:tcPr>
          <w:p w14:paraId="315E7FF7">
            <w:pPr>
              <w:spacing w:after="0" w:line="240" w:lineRule="auto"/>
            </w:pPr>
            <w:r>
              <w:rPr>
                <w:sz w:val="21"/>
              </w:rPr>
              <w:t>优先作为一线</w:t>
            </w:r>
          </w:p>
        </w:tc>
        <w:tc>
          <w:tcPr>
            <w:tcW w:w="1250" w:type="pct"/>
          </w:tcPr>
          <w:p w14:paraId="0AFF477C">
            <w:pPr>
              <w:spacing w:after="0" w:line="240" w:lineRule="auto"/>
            </w:pPr>
            <w:r>
              <w:rPr>
                <w:sz w:val="21"/>
              </w:rPr>
              <w:t>需评估肝肾功能禁忌；胰岛素按SMBG/CGM调节剂量。</w:t>
            </w:r>
          </w:p>
        </w:tc>
      </w:tr>
      <w:tr w14:paraId="29E5E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6194391">
            <w:pPr>
              <w:spacing w:after="0" w:line="240" w:lineRule="auto"/>
            </w:pPr>
            <w:r>
              <w:rPr>
                <w:sz w:val="21"/>
              </w:rPr>
              <w:t>不推荐/避免（黑名单）</w:t>
            </w:r>
          </w:p>
        </w:tc>
        <w:tc>
          <w:tcPr>
            <w:tcW w:w="1250" w:type="pct"/>
          </w:tcPr>
          <w:p w14:paraId="3E0ED2D2">
            <w:pPr>
              <w:spacing w:after="0" w:line="240" w:lineRule="auto"/>
            </w:pPr>
            <w:r>
              <w:rPr>
                <w:sz w:val="21"/>
              </w:rPr>
              <w:t>磺脲类（如格列本脲等）；格列奈类</w:t>
            </w:r>
          </w:p>
        </w:tc>
        <w:tc>
          <w:tcPr>
            <w:tcW w:w="1250" w:type="pct"/>
          </w:tcPr>
          <w:p w14:paraId="401BA580">
            <w:pPr>
              <w:spacing w:after="0" w:line="240" w:lineRule="auto"/>
            </w:pPr>
            <w:r>
              <w:rPr>
                <w:sz w:val="21"/>
              </w:rPr>
              <w:t>避免或仅在专科充分论证后使用</w:t>
            </w:r>
          </w:p>
        </w:tc>
        <w:tc>
          <w:tcPr>
            <w:tcW w:w="1250" w:type="pct"/>
          </w:tcPr>
          <w:p w14:paraId="29CA9DE5">
            <w:pPr>
              <w:spacing w:after="0" w:line="240" w:lineRule="auto"/>
            </w:pPr>
            <w:r>
              <w:rPr>
                <w:sz w:val="21"/>
              </w:rPr>
              <w:t>酶诱导导致疗效下降风险高，血糖波动大。</w:t>
            </w:r>
          </w:p>
        </w:tc>
      </w:tr>
      <w:tr w14:paraId="4AD87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55281FE1">
            <w:pPr>
              <w:spacing w:after="0" w:line="240" w:lineRule="auto"/>
            </w:pPr>
            <w:r>
              <w:rPr>
                <w:sz w:val="21"/>
              </w:rPr>
              <w:t>谨慎使用</w:t>
            </w:r>
          </w:p>
        </w:tc>
        <w:tc>
          <w:tcPr>
            <w:tcW w:w="1250" w:type="pct"/>
          </w:tcPr>
          <w:p w14:paraId="05A0EF5D">
            <w:pPr>
              <w:spacing w:after="0" w:line="240" w:lineRule="auto"/>
            </w:pPr>
            <w:r>
              <w:rPr>
                <w:sz w:val="21"/>
              </w:rPr>
              <w:t>SGLT2抑制剂；DPP-4抑制剂；GLP-1RA；噻唑烷二酮类</w:t>
            </w:r>
          </w:p>
        </w:tc>
        <w:tc>
          <w:tcPr>
            <w:tcW w:w="1250" w:type="pct"/>
          </w:tcPr>
          <w:p w14:paraId="35522B5C">
            <w:pPr>
              <w:spacing w:after="0" w:line="240" w:lineRule="auto"/>
            </w:pPr>
            <w:r>
              <w:rPr>
                <w:sz w:val="21"/>
              </w:rPr>
              <w:t>可个体化使用并加强监测</w:t>
            </w:r>
          </w:p>
        </w:tc>
        <w:tc>
          <w:tcPr>
            <w:tcW w:w="1250" w:type="pct"/>
          </w:tcPr>
          <w:p w14:paraId="7E1A4467">
            <w:pPr>
              <w:spacing w:after="0" w:line="240" w:lineRule="auto"/>
            </w:pPr>
            <w:r>
              <w:rPr>
                <w:sz w:val="21"/>
              </w:rPr>
              <w:t>SGLT2需监测酮症/DKA；其余关注疗效与不良反应。</w:t>
            </w:r>
          </w:p>
        </w:tc>
      </w:tr>
    </w:tbl>
    <w:p w14:paraId="53F5455A"/>
    <w:p w14:paraId="1248A5D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操作流程</w:t>
      </w:r>
    </w:p>
    <w:p w14:paraId="7E3A80DE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bdr w:val="none" w:sz="0" w:space="0"/>
        </w:rPr>
      </w:pPr>
      <w:r>
        <w:t>治疗前用药核对与风险评估</w:t>
      </w:r>
    </w:p>
    <w:p w14:paraId="69A9935C">
      <w:pPr>
        <w:pStyle w:val="16"/>
        <w:bidi w:val="0"/>
        <w:ind w:left="360" w:leftChars="0" w:hanging="360" w:firstLineChars="0"/>
        <w:rPr>
          <w:b w:val="0"/>
          <w:bdr w:val="none" w:sz="0" w:space="0"/>
        </w:rPr>
      </w:pPr>
      <w:r>
        <w:t>筛选/基线期由临床药师+内分泌医生核对全部降糖药物并评估相互作用风险。</w:t>
      </w:r>
    </w:p>
    <w:p w14:paraId="055987B5">
      <w:pPr>
        <w:pStyle w:val="16"/>
        <w:bidi w:val="0"/>
        <w:ind w:left="360" w:leftChars="0" w:hanging="360" w:firstLineChars="0"/>
        <w:rPr>
          <w:b w:val="0"/>
          <w:bdr w:val="none" w:sz="0" w:space="0"/>
        </w:rPr>
      </w:pPr>
      <w:r>
        <w:t>在EDC中填写《DDI风险评估表》，明确利福喷丁暴露期的推荐降糖方案。</w:t>
      </w:r>
    </w:p>
    <w:p w14:paraId="460C9F08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bdr w:val="none" w:sz="0" w:space="0"/>
        </w:rPr>
      </w:pPr>
      <w:r>
        <w:t>启用利福喷丁后的监测加密</w:t>
      </w:r>
    </w:p>
    <w:p w14:paraId="786B2706">
      <w:pPr>
        <w:pStyle w:val="16"/>
        <w:bidi w:val="0"/>
        <w:ind w:left="360" w:leftChars="0" w:hanging="360" w:firstLineChars="0"/>
      </w:pPr>
      <w:r>
        <w:t>起始后前2周：如仍使用可能受诱导影响的口服药，需提高SMBG频率；血糖不稳者可考虑CGM。</w:t>
      </w:r>
    </w:p>
    <w:p w14:paraId="50F0B004">
      <w:pPr>
        <w:pStyle w:val="16"/>
        <w:bidi w:val="0"/>
        <w:ind w:left="360" w:leftChars="0" w:hanging="360" w:firstLineChars="0"/>
      </w:pPr>
      <w:r>
        <w:t>出现任何黄灯/红灯预警，按SOP04与SOP08执行。</w:t>
      </w:r>
      <w:bookmarkStart w:id="0" w:name="_GoBack"/>
      <w:bookmarkEnd w:id="0"/>
    </w:p>
    <w:p w14:paraId="2C6BE350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bdr w:val="none" w:sz="0" w:space="0"/>
        </w:rPr>
      </w:pPr>
      <w:r>
        <w:t>处置规则（务实最低标准）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2E02F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00" w:type="pct"/>
          </w:tcPr>
          <w:p w14:paraId="45359BC4">
            <w:pPr>
              <w:spacing w:after="0" w:line="240" w:lineRule="auto"/>
            </w:pPr>
            <w:r>
              <w:rPr>
                <w:b/>
                <w:sz w:val="21"/>
              </w:rPr>
              <w:t>情景</w:t>
            </w:r>
          </w:p>
        </w:tc>
        <w:tc>
          <w:tcPr>
            <w:tcW w:w="2500" w:type="pct"/>
          </w:tcPr>
          <w:p w14:paraId="0EFDABBF">
            <w:pPr>
              <w:spacing w:after="0" w:line="240" w:lineRule="auto"/>
            </w:pPr>
            <w:r>
              <w:rPr>
                <w:b/>
                <w:sz w:val="21"/>
              </w:rPr>
              <w:t>最低处置要求</w:t>
            </w:r>
          </w:p>
        </w:tc>
      </w:tr>
      <w:tr w14:paraId="3AC2B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F637FD7">
            <w:pPr>
              <w:spacing w:after="0" w:line="240" w:lineRule="auto"/>
            </w:pPr>
            <w:r>
              <w:rPr>
                <w:sz w:val="21"/>
              </w:rPr>
              <w:t>连续3天空腹&gt;8.0 mmol/L（黄灯）</w:t>
            </w:r>
          </w:p>
        </w:tc>
        <w:tc>
          <w:tcPr>
            <w:tcW w:w="2500" w:type="pct"/>
          </w:tcPr>
          <w:p w14:paraId="7B0DBF88">
            <w:pPr>
              <w:spacing w:after="0" w:line="240" w:lineRule="auto"/>
            </w:pPr>
            <w:r>
              <w:rPr>
                <w:sz w:val="21"/>
              </w:rPr>
              <w:t>推送生活方式建议 + 24小时内内分泌评估；考虑加用基础胰岛素或强化治疗。</w:t>
            </w:r>
          </w:p>
        </w:tc>
      </w:tr>
      <w:tr w14:paraId="12126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2B4349D">
            <w:pPr>
              <w:spacing w:after="0" w:line="240" w:lineRule="auto"/>
            </w:pPr>
            <w:r>
              <w:rPr>
                <w:sz w:val="21"/>
              </w:rPr>
              <w:t>任一血糖&gt;16.7 mmol/L（红灯）</w:t>
            </w:r>
          </w:p>
        </w:tc>
        <w:tc>
          <w:tcPr>
            <w:tcW w:w="2500" w:type="pct"/>
          </w:tcPr>
          <w:p w14:paraId="7F252FC4">
            <w:pPr>
              <w:spacing w:after="0" w:line="240" w:lineRule="auto"/>
            </w:pPr>
            <w:r>
              <w:rPr>
                <w:sz w:val="21"/>
              </w:rPr>
              <w:t>按时限联系；评估症状/酮体；必要时急诊；按内分泌建议启动胰岛素强化。</w:t>
            </w:r>
          </w:p>
        </w:tc>
      </w:tr>
      <w:tr w14:paraId="2044E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5A4EEFAA">
            <w:pPr>
              <w:spacing w:after="0" w:line="240" w:lineRule="auto"/>
            </w:pPr>
            <w:r>
              <w:rPr>
                <w:sz w:val="21"/>
              </w:rPr>
              <w:t>疑似酮症/酮症酸中毒（尤其SGLT2用药者）</w:t>
            </w:r>
          </w:p>
        </w:tc>
        <w:tc>
          <w:tcPr>
            <w:tcW w:w="2500" w:type="pct"/>
          </w:tcPr>
          <w:p w14:paraId="03A341BE">
            <w:pPr>
              <w:spacing w:after="0" w:line="240" w:lineRule="auto"/>
            </w:pPr>
            <w:r>
              <w:rPr>
                <w:sz w:val="21"/>
              </w:rPr>
              <w:t>立即停用SGLT2；紧急转诊；符合标准者按SAE处理。</w:t>
            </w:r>
          </w:p>
        </w:tc>
      </w:tr>
    </w:tbl>
    <w:p w14:paraId="21E224E6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b/>
          <w:bdr w:val="none" w:sz="0" w:space="0"/>
        </w:rPr>
      </w:pPr>
      <w:r>
        <w:t>记录与沟通</w:t>
      </w:r>
    </w:p>
    <w:p w14:paraId="4038D5CA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所有降糖方案调整需在24小时内录入EDC。</w:t>
      </w:r>
    </w:p>
    <w:p w14:paraId="03BB8B6D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利福喷丁暴露期DDI管理计划在每次访视及方案变更时复核，并由内分泌医生确认。</w:t>
      </w:r>
    </w:p>
    <w:p w14:paraId="4690A19C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记录与质控</w:t>
      </w:r>
    </w:p>
    <w:p w14:paraId="32C05663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《DDI风险评估表》、用药调整记录、预警记录。</w:t>
      </w:r>
    </w:p>
    <w:p w14:paraId="7F55465E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每月复盘DDI相关高血糖事件及纠正措施。</w:t>
      </w:r>
    </w:p>
    <w:p w14:paraId="3A8339C6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6777FB"/>
    <w:multiLevelType w:val="singleLevel"/>
    <w:tmpl w:val="B86777FB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E04D6A0C"/>
    <w:multiLevelType w:val="singleLevel"/>
    <w:tmpl w:val="E04D6A0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E7152484"/>
    <w:multiLevelType w:val="singleLevel"/>
    <w:tmpl w:val="E7152484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2A916DF5"/>
    <w:multiLevelType w:val="singleLevel"/>
    <w:tmpl w:val="2A916DF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35D136D8"/>
    <w:multiLevelType w:val="singleLevel"/>
    <w:tmpl w:val="35D136D8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9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BD316F"/>
    <w:rsid w:val="58AE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904</Words>
  <Characters>1078</Characters>
  <Lines>0</Lines>
  <Paragraphs>0</Paragraphs>
  <TotalTime>6</TotalTime>
  <ScaleCrop>false</ScaleCrop>
  <LinksUpToDate>false</LinksUpToDate>
  <CharactersWithSpaces>1101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2026-03-13T03:04:08Z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0D8B135AF6CA4A11B1932A99B3D764C1_12</vt:lpwstr>
  </property>
</Properties>
</file>