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7AACB">
      <w:pPr>
        <w:pStyle w:val="31"/>
        <w:widowControl/>
        <w:ind w:firstLine="1606" w:firstLineChars="500"/>
      </w:pPr>
      <w:r>
        <w:t>TB-DM MDT协作流程与EDC留痕规范</w:t>
      </w:r>
    </w:p>
    <w:p w14:paraId="7DE01F25"/>
    <w:p w14:paraId="654F49FF">
      <w:pPr>
        <w:pStyle w:val="3"/>
        <w:widowControl/>
      </w:pPr>
      <w:r>
        <w:t>文件控制信息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0E70B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D3BA434">
            <w:pPr>
              <w:spacing w:after="0" w:line="240" w:lineRule="auto"/>
            </w:pPr>
            <w:r>
              <w:rPr>
                <w:sz w:val="21"/>
              </w:rPr>
              <w:t>研究</w:t>
            </w:r>
          </w:p>
        </w:tc>
        <w:tc>
          <w:tcPr>
            <w:tcW w:w="2500" w:type="pct"/>
            <w:vAlign w:val="center"/>
          </w:tcPr>
          <w:p w14:paraId="6DD7E71A">
            <w:pPr>
              <w:spacing w:after="0" w:line="240" w:lineRule="auto"/>
            </w:pPr>
            <w:r>
              <w:rPr>
                <w:sz w:val="21"/>
              </w:rPr>
              <w:t>TDSC</w:t>
            </w:r>
          </w:p>
        </w:tc>
      </w:tr>
      <w:tr w14:paraId="6F03B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CC40FB3">
            <w:pPr>
              <w:spacing w:after="0" w:line="240" w:lineRule="auto"/>
            </w:pPr>
            <w:r>
              <w:rPr>
                <w:sz w:val="21"/>
              </w:rPr>
              <w:t>SOP编号</w:t>
            </w:r>
          </w:p>
        </w:tc>
        <w:tc>
          <w:tcPr>
            <w:tcW w:w="2500" w:type="pct"/>
            <w:vAlign w:val="center"/>
          </w:tcPr>
          <w:p w14:paraId="74882AB9">
            <w:pPr>
              <w:spacing w:after="0" w:line="240" w:lineRule="auto"/>
            </w:pPr>
            <w:r>
              <w:rPr>
                <w:sz w:val="21"/>
              </w:rPr>
              <w:t>TDSC-TB-DM-SOP07</w:t>
            </w:r>
          </w:p>
        </w:tc>
      </w:tr>
      <w:tr w14:paraId="12BF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63CCB8AF">
            <w:pPr>
              <w:spacing w:after="0" w:line="240" w:lineRule="auto"/>
            </w:pPr>
            <w:r>
              <w:rPr>
                <w:sz w:val="21"/>
              </w:rPr>
              <w:t>标题</w:t>
            </w:r>
          </w:p>
        </w:tc>
        <w:tc>
          <w:tcPr>
            <w:tcW w:w="2500" w:type="pct"/>
            <w:vAlign w:val="center"/>
          </w:tcPr>
          <w:p w14:paraId="78DFBFF3">
            <w:pPr>
              <w:spacing w:after="0" w:line="240" w:lineRule="auto"/>
            </w:pPr>
            <w:r>
              <w:rPr>
                <w:sz w:val="21"/>
              </w:rPr>
              <w:t>TB-DM MDT协作流程与EDC留痕规范</w:t>
            </w:r>
          </w:p>
        </w:tc>
      </w:tr>
      <w:tr w14:paraId="1E421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3FBC7FF6">
            <w:pPr>
              <w:spacing w:after="0" w:line="240" w:lineRule="auto"/>
            </w:pPr>
            <w:r>
              <w:rPr>
                <w:sz w:val="21"/>
              </w:rPr>
              <w:t>版本</w:t>
            </w:r>
          </w:p>
        </w:tc>
        <w:tc>
          <w:tcPr>
            <w:tcW w:w="2500" w:type="pct"/>
            <w:vAlign w:val="center"/>
          </w:tcPr>
          <w:p w14:paraId="074473CE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</w:tr>
      <w:tr w14:paraId="1CA0F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522C2A29">
            <w:pPr>
              <w:spacing w:after="0" w:line="240" w:lineRule="auto"/>
            </w:pPr>
            <w:r>
              <w:rPr>
                <w:sz w:val="21"/>
              </w:rPr>
              <w:t>生效日期</w:t>
            </w:r>
          </w:p>
        </w:tc>
        <w:tc>
          <w:tcPr>
            <w:tcW w:w="2500" w:type="pct"/>
            <w:vAlign w:val="center"/>
          </w:tcPr>
          <w:p w14:paraId="66C3D597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</w:tr>
      <w:tr w14:paraId="461D0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21BF2F50">
            <w:pPr>
              <w:spacing w:after="0" w:line="240" w:lineRule="auto"/>
            </w:pPr>
            <w:r>
              <w:rPr>
                <w:sz w:val="21"/>
              </w:rPr>
              <w:t>牵头部门</w:t>
            </w:r>
          </w:p>
        </w:tc>
        <w:tc>
          <w:tcPr>
            <w:tcW w:w="2500" w:type="pct"/>
            <w:vAlign w:val="center"/>
          </w:tcPr>
          <w:p w14:paraId="7A4D4F45">
            <w:pPr>
              <w:spacing w:after="0" w:line="240" w:lineRule="auto"/>
            </w:pPr>
            <w:r>
              <w:rPr>
                <w:sz w:val="21"/>
              </w:rPr>
              <w:t>TB-DM MDT工作组</w:t>
            </w:r>
          </w:p>
        </w:tc>
      </w:tr>
      <w:tr w14:paraId="7931A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A3BFBE7">
            <w:pPr>
              <w:spacing w:after="0" w:line="240" w:lineRule="auto"/>
            </w:pPr>
            <w:r>
              <w:rPr>
                <w:sz w:val="21"/>
              </w:rPr>
              <w:t>起草</w:t>
            </w:r>
          </w:p>
        </w:tc>
        <w:tc>
          <w:tcPr>
            <w:tcW w:w="2500" w:type="pct"/>
            <w:vAlign w:val="center"/>
          </w:tcPr>
          <w:p w14:paraId="3F6BC491">
            <w:pPr>
              <w:spacing w:after="0" w:line="240" w:lineRule="auto"/>
            </w:pPr>
            <w:r>
              <w:rPr>
                <w:sz w:val="21"/>
              </w:rPr>
              <w:t>TDSC 方法学与数据团队</w:t>
            </w:r>
          </w:p>
        </w:tc>
      </w:tr>
      <w:tr w14:paraId="3CACB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  <w:vAlign w:val="center"/>
          </w:tcPr>
          <w:p w14:paraId="428DF758">
            <w:pPr>
              <w:spacing w:after="0" w:line="240" w:lineRule="auto"/>
            </w:pPr>
            <w:r>
              <w:rPr>
                <w:sz w:val="21"/>
              </w:rPr>
              <w:t>批准</w:t>
            </w:r>
          </w:p>
        </w:tc>
        <w:tc>
          <w:tcPr>
            <w:tcW w:w="2500" w:type="pct"/>
            <w:vAlign w:val="center"/>
          </w:tcPr>
          <w:p w14:paraId="4619C64E">
            <w:pPr>
              <w:spacing w:after="0" w:line="240" w:lineRule="auto"/>
            </w:pPr>
            <w:r>
              <w:rPr>
                <w:sz w:val="21"/>
              </w:rPr>
              <w:t>PI / 指导委员会</w:t>
            </w:r>
          </w:p>
        </w:tc>
      </w:tr>
    </w:tbl>
    <w:p w14:paraId="44CBBF17"/>
    <w:p w14:paraId="128AA643">
      <w:pPr>
        <w:pStyle w:val="3"/>
        <w:widowControl/>
      </w:pPr>
      <w:r>
        <w:t>修订记录</w:t>
      </w:r>
    </w:p>
    <w:tbl>
      <w:tblPr>
        <w:tblStyle w:val="33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9"/>
        <w:gridCol w:w="2489"/>
        <w:gridCol w:w="2490"/>
        <w:gridCol w:w="2490"/>
      </w:tblGrid>
      <w:tr w14:paraId="2615E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075B216">
            <w:pPr>
              <w:spacing w:after="0" w:line="240" w:lineRule="auto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1250" w:type="pct"/>
          </w:tcPr>
          <w:p w14:paraId="259C32A9">
            <w:pPr>
              <w:spacing w:after="0" w:line="240" w:lineRule="auto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1250" w:type="pct"/>
          </w:tcPr>
          <w:p w14:paraId="01F4D1A2">
            <w:pPr>
              <w:spacing w:after="0" w:line="240" w:lineRule="auto"/>
            </w:pPr>
            <w:r>
              <w:rPr>
                <w:b/>
                <w:sz w:val="21"/>
              </w:rPr>
              <w:t>修订内容</w:t>
            </w:r>
          </w:p>
        </w:tc>
        <w:tc>
          <w:tcPr>
            <w:tcW w:w="1250" w:type="pct"/>
          </w:tcPr>
          <w:p w14:paraId="70EE15D4">
            <w:pPr>
              <w:spacing w:after="0" w:line="240" w:lineRule="auto"/>
            </w:pPr>
            <w:r>
              <w:rPr>
                <w:b/>
                <w:sz w:val="21"/>
              </w:rPr>
              <w:t>作者</w:t>
            </w:r>
          </w:p>
        </w:tc>
      </w:tr>
      <w:tr w14:paraId="063A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0B67A3A9">
            <w:pPr>
              <w:spacing w:after="0" w:line="240" w:lineRule="auto"/>
            </w:pPr>
            <w:r>
              <w:rPr>
                <w:sz w:val="21"/>
              </w:rPr>
              <w:t>V1.0</w:t>
            </w:r>
          </w:p>
        </w:tc>
        <w:tc>
          <w:tcPr>
            <w:tcW w:w="1250" w:type="pct"/>
          </w:tcPr>
          <w:p w14:paraId="07D86913">
            <w:pPr>
              <w:spacing w:after="0" w:line="240" w:lineRule="auto"/>
            </w:pPr>
            <w:r>
              <w:rPr>
                <w:sz w:val="21"/>
              </w:rPr>
              <w:t>2026年02月07日</w:t>
            </w:r>
          </w:p>
        </w:tc>
        <w:tc>
          <w:tcPr>
            <w:tcW w:w="1250" w:type="pct"/>
          </w:tcPr>
          <w:p w14:paraId="4ECC5EB9">
            <w:pPr>
              <w:spacing w:after="0" w:line="240" w:lineRule="auto"/>
            </w:pPr>
            <w:r>
              <w:rPr>
                <w:sz w:val="21"/>
              </w:rPr>
              <w:t>首次发布。</w:t>
            </w:r>
          </w:p>
        </w:tc>
        <w:tc>
          <w:tcPr>
            <w:tcW w:w="1250" w:type="pct"/>
          </w:tcPr>
          <w:p w14:paraId="51E72BE5">
            <w:pPr>
              <w:spacing w:after="0" w:line="240" w:lineRule="auto"/>
            </w:pPr>
            <w:r>
              <w:rPr>
                <w:sz w:val="21"/>
              </w:rPr>
              <w:t>—</w:t>
            </w:r>
          </w:p>
        </w:tc>
      </w:tr>
    </w:tbl>
    <w:p w14:paraId="04D5DAE0"/>
    <w:p w14:paraId="5A03BDB2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2F05B1A7">
      <w:pPr>
        <w:pStyle w:val="19"/>
        <w:widowControl/>
      </w:pPr>
      <w:r>
        <w:t>目的：规范TB-DM管理的MDT（结核科、内分泌、药师、护士、数据）协作流程，确保决策可追溯、可审计、多中心一致。</w:t>
      </w:r>
    </w:p>
    <w:p w14:paraId="6A43962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6E4344BE">
      <w:pPr>
        <w:pStyle w:val="19"/>
        <w:widowControl/>
      </w:pPr>
      <w:r>
        <w:t>适用范围：覆盖常规协作、计划性复核（如W2 CGM/AGP复核）以及红灯/停止规则触发的紧急MDT。</w:t>
      </w:r>
    </w:p>
    <w:p w14:paraId="157F8F9D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MDT组织结构</w:t>
      </w:r>
    </w:p>
    <w:tbl>
      <w:tblPr>
        <w:tblStyle w:val="33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9"/>
        <w:gridCol w:w="3319"/>
        <w:gridCol w:w="3320"/>
      </w:tblGrid>
      <w:tr w14:paraId="7CC4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6948B618">
            <w:pPr>
              <w:spacing w:after="0" w:line="240" w:lineRule="auto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w="1666" w:type="pct"/>
          </w:tcPr>
          <w:p w14:paraId="0DD30899">
            <w:pPr>
              <w:spacing w:after="0" w:line="240" w:lineRule="auto"/>
            </w:pPr>
            <w:r>
              <w:rPr>
                <w:b/>
                <w:sz w:val="21"/>
              </w:rPr>
              <w:t>最低参会人员</w:t>
            </w:r>
          </w:p>
        </w:tc>
        <w:tc>
          <w:tcPr>
            <w:tcW w:w="1666" w:type="pct"/>
          </w:tcPr>
          <w:p w14:paraId="7A63D773">
            <w:pPr>
              <w:spacing w:after="0" w:line="240" w:lineRule="auto"/>
            </w:pPr>
            <w:r>
              <w:rPr>
                <w:b/>
                <w:sz w:val="21"/>
              </w:rPr>
              <w:t>频率/时点</w:t>
            </w:r>
          </w:p>
        </w:tc>
      </w:tr>
      <w:tr w14:paraId="357E6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2258F1F">
            <w:pPr>
              <w:spacing w:after="0" w:line="240" w:lineRule="auto"/>
            </w:pPr>
            <w:r>
              <w:rPr>
                <w:sz w:val="21"/>
              </w:rPr>
              <w:t>常规MDT</w:t>
            </w:r>
          </w:p>
        </w:tc>
        <w:tc>
          <w:tcPr>
            <w:tcW w:w="1666" w:type="pct"/>
          </w:tcPr>
          <w:p w14:paraId="4D539C15">
            <w:pPr>
              <w:spacing w:after="0" w:line="240" w:lineRule="auto"/>
            </w:pPr>
            <w:r>
              <w:rPr>
                <w:sz w:val="21"/>
              </w:rPr>
              <w:t>结核科+内分泌+护士+（可选）药师</w:t>
            </w:r>
          </w:p>
        </w:tc>
        <w:tc>
          <w:tcPr>
            <w:tcW w:w="1666" w:type="pct"/>
          </w:tcPr>
          <w:p w14:paraId="41A41930">
            <w:pPr>
              <w:spacing w:after="0" w:line="240" w:lineRule="auto"/>
            </w:pPr>
            <w:r>
              <w:rPr>
                <w:sz w:val="21"/>
              </w:rPr>
              <w:t>分中心每周线上复盘</w:t>
            </w:r>
          </w:p>
        </w:tc>
      </w:tr>
      <w:tr w14:paraId="6D921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7C158037">
            <w:pPr>
              <w:spacing w:after="0" w:line="240" w:lineRule="auto"/>
            </w:pPr>
            <w:r>
              <w:rPr>
                <w:sz w:val="21"/>
              </w:rPr>
              <w:t>里程碑复核</w:t>
            </w:r>
          </w:p>
        </w:tc>
        <w:tc>
          <w:tcPr>
            <w:tcW w:w="1666" w:type="pct"/>
          </w:tcPr>
          <w:p w14:paraId="1EC6266E">
            <w:pPr>
              <w:spacing w:after="0" w:line="240" w:lineRule="auto"/>
            </w:pPr>
            <w:r>
              <w:rPr>
                <w:sz w:val="21"/>
              </w:rPr>
              <w:t>内分泌+结核科+护士+数据管理员</w:t>
            </w:r>
          </w:p>
        </w:tc>
        <w:tc>
          <w:tcPr>
            <w:tcW w:w="1666" w:type="pct"/>
          </w:tcPr>
          <w:p w14:paraId="1E19D111">
            <w:pPr>
              <w:spacing w:after="0" w:line="240" w:lineRule="auto"/>
            </w:pPr>
            <w:r>
              <w:rPr>
                <w:sz w:val="21"/>
              </w:rPr>
              <w:t>队列B W2；方案变更时</w:t>
            </w:r>
          </w:p>
        </w:tc>
      </w:tr>
      <w:tr w14:paraId="5C93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6" w:type="pct"/>
          </w:tcPr>
          <w:p w14:paraId="44BD28F5">
            <w:pPr>
              <w:spacing w:after="0" w:line="240" w:lineRule="auto"/>
            </w:pPr>
            <w:r>
              <w:rPr>
                <w:sz w:val="21"/>
              </w:rPr>
              <w:t>紧急MDT</w:t>
            </w:r>
          </w:p>
        </w:tc>
        <w:tc>
          <w:tcPr>
            <w:tcW w:w="1666" w:type="pct"/>
          </w:tcPr>
          <w:p w14:paraId="16966E41">
            <w:pPr>
              <w:spacing w:after="0" w:line="240" w:lineRule="auto"/>
            </w:pPr>
            <w:r>
              <w:rPr>
                <w:sz w:val="21"/>
              </w:rPr>
              <w:t>结核科+内分泌+护士+药师+PI/MDT组长</w:t>
            </w:r>
          </w:p>
        </w:tc>
        <w:tc>
          <w:tcPr>
            <w:tcW w:w="1666" w:type="pct"/>
          </w:tcPr>
          <w:p w14:paraId="43D5321F">
            <w:pPr>
              <w:spacing w:after="0" w:line="240" w:lineRule="auto"/>
            </w:pPr>
            <w:r>
              <w:rPr>
                <w:sz w:val="21"/>
              </w:rPr>
              <w:t>触发后24小时内</w:t>
            </w:r>
          </w:p>
        </w:tc>
      </w:tr>
    </w:tbl>
    <w:p w14:paraId="4A6F59B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MDT触发条件</w:t>
      </w:r>
    </w:p>
    <w:p w14:paraId="2A0DE0F5">
      <w:pPr>
        <w:pStyle w:val="16"/>
        <w:bidi w:val="0"/>
        <w:ind w:left="360" w:leftChars="0" w:hanging="360" w:firstLineChars="0"/>
      </w:pPr>
      <w:r>
        <w:t>任何红灯预警（&lt;3.9或&gt;16.7）经首轮处置仍未稳定，或怀疑严重情况。</w:t>
      </w:r>
    </w:p>
    <w:p w14:paraId="1A6BA3D5">
      <w:pPr>
        <w:pStyle w:val="16"/>
        <w:bidi w:val="0"/>
        <w:ind w:left="360" w:leftChars="0" w:hanging="360" w:firstLineChars="0"/>
      </w:pPr>
      <w:r>
        <w:t>疑似DKA/酮症；需他人协助的严重低血糖。</w:t>
      </w:r>
    </w:p>
    <w:p w14:paraId="7279FA82">
      <w:pPr>
        <w:pStyle w:val="16"/>
        <w:bidi w:val="0"/>
        <w:ind w:left="360" w:leftChars="0" w:hanging="360" w:firstLineChars="0"/>
      </w:pPr>
      <w:r>
        <w:t>涉及胰岛素启动/强化，或利福喷丁暴露期DDI导致的用药切换。</w:t>
      </w:r>
    </w:p>
    <w:p w14:paraId="33BB057F">
      <w:pPr>
        <w:pStyle w:val="16"/>
        <w:bidi w:val="0"/>
        <w:ind w:left="360" w:leftChars="0" w:hanging="360" w:firstLineChars="0"/>
      </w:pPr>
      <w:r>
        <w:t>方案停止规则事件（如ALT升高、QTcF&gt;500ms等）与控糖决策存在交叉时。</w:t>
      </w:r>
    </w:p>
    <w:p w14:paraId="062AE41A"/>
    <w:p w14:paraId="4A591544">
      <w:pPr>
        <w:pStyle w:val="3"/>
        <w:widowControl/>
        <w:numPr>
          <w:ilvl w:val="0"/>
          <w:numId w:val="7"/>
        </w:numPr>
        <w:ind w:left="0" w:leftChars="0" w:firstLine="0" w:firstLineChars="0"/>
      </w:pPr>
      <w:r>
        <w:t>流程与EDC留痕</w:t>
      </w:r>
    </w:p>
    <w:p w14:paraId="0C4A5FDD">
      <w:pPr>
        <w:pStyle w:val="3"/>
        <w:widowControl/>
        <w:numPr>
          <w:numId w:val="0"/>
        </w:numPr>
        <w:ind w:leftChars="0"/>
        <w:rPr>
          <w:b/>
          <w:bdr w:val="none" w:sz="0" w:space="0"/>
        </w:rPr>
      </w:pPr>
      <w:r>
        <w:rPr>
          <w:rFonts w:hint="eastAsia"/>
          <w:lang w:val="en-US" w:eastAsia="zh-CN"/>
        </w:rPr>
        <w:t>5.1</w:t>
      </w:r>
      <w:r>
        <w:t>工作流程（闭环）</w:t>
      </w:r>
    </w:p>
    <w:p w14:paraId="30853576">
      <w:pPr>
        <w:pStyle w:val="16"/>
        <w:bidi w:val="0"/>
        <w:ind w:left="360" w:leftChars="0" w:hanging="360" w:firstLineChars="0"/>
        <w:rPr>
          <w:b w:val="0"/>
          <w:bdr w:val="none" w:sz="0" w:space="0"/>
        </w:rPr>
      </w:pPr>
      <w:r>
        <w:t>启动：护士在DPM/EDC标记并安排MDT（常规或紧急）。</w:t>
      </w:r>
    </w:p>
    <w:p w14:paraId="73D3F4D2">
      <w:pPr>
        <w:pStyle w:val="16"/>
        <w:bidi w:val="0"/>
        <w:ind w:left="360" w:leftChars="0" w:hanging="360" w:firstLineChars="0"/>
        <w:rPr>
          <w:b w:val="0"/>
          <w:bdr w:val="none" w:sz="0" w:space="0"/>
        </w:rPr>
      </w:pPr>
      <w:r>
        <w:t>会前材料包：最新SMBG/CGM汇总、AGP（如有）、用药清单、预警时间线、关键化验（eGFR、ALT/AST等）。</w:t>
      </w:r>
    </w:p>
    <w:p w14:paraId="37B9B4F4">
      <w:pPr>
        <w:pStyle w:val="16"/>
        <w:bidi w:val="0"/>
        <w:ind w:left="360" w:leftChars="0" w:hanging="360" w:firstLineChars="0"/>
        <w:rPr>
          <w:b w:val="0"/>
          <w:bdr w:val="none" w:sz="0" w:space="0"/>
        </w:rPr>
      </w:pPr>
      <w:r>
        <w:t>讨论：明确问题清单、目标（HbA1c或TIR）、调药方案、监测计划与复评时间。</w:t>
      </w:r>
    </w:p>
    <w:p w14:paraId="3A0DC061">
      <w:pPr>
        <w:pStyle w:val="16"/>
        <w:bidi w:val="0"/>
        <w:ind w:left="360" w:leftChars="0" w:hanging="360" w:firstLineChars="0"/>
        <w:rPr>
          <w:b w:val="0"/>
          <w:bdr w:val="none" w:sz="0" w:space="0"/>
        </w:rPr>
      </w:pPr>
      <w:r>
        <w:t>记录：24小时内在EDC完成《MDT会诊记录单》，必要时附AGP/PDF。</w:t>
      </w:r>
    </w:p>
    <w:p w14:paraId="2478881A">
      <w:pPr>
        <w:pStyle w:val="16"/>
        <w:bidi w:val="0"/>
        <w:ind w:left="360" w:leftChars="0" w:hanging="360" w:firstLineChars="0"/>
        <w:rPr>
          <w:b w:val="0"/>
          <w:bdr w:val="none" w:sz="0" w:space="0"/>
        </w:rPr>
      </w:pPr>
      <w:r>
        <w:t>核查：数据管理员核对完整性；如应填未填，逻辑锁阻止相关访视表单最终提交。</w:t>
      </w:r>
    </w:p>
    <w:p w14:paraId="7E76B240">
      <w:pPr>
        <w:pStyle w:val="3"/>
        <w:widowControl/>
        <w:numPr>
          <w:ilvl w:val="0"/>
          <w:numId w:val="0"/>
        </w:numPr>
        <w:ind w:leftChars="0"/>
      </w:pPr>
      <w:r>
        <w:t>5.2 EDC最低字段要求</w:t>
      </w:r>
    </w:p>
    <w:tbl>
      <w:tblPr>
        <w:tblStyle w:val="33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1"/>
        <w:gridCol w:w="4981"/>
      </w:tblGrid>
      <w:tr w14:paraId="435CC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7E3C1E6F">
            <w:pPr>
              <w:spacing w:after="0" w:line="240" w:lineRule="auto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w="2500" w:type="pct"/>
          </w:tcPr>
          <w:p w14:paraId="61794000">
            <w:pPr>
              <w:spacing w:after="0" w:line="240" w:lineRule="auto"/>
            </w:pPr>
            <w:r>
              <w:rPr>
                <w:b/>
                <w:sz w:val="21"/>
              </w:rPr>
              <w:t>要求</w:t>
            </w:r>
          </w:p>
        </w:tc>
      </w:tr>
      <w:tr w14:paraId="682E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660DCE2D">
            <w:pPr>
              <w:spacing w:after="0" w:line="240" w:lineRule="auto"/>
            </w:pPr>
            <w:r>
              <w:rPr>
                <w:sz w:val="21"/>
              </w:rPr>
              <w:t>触发类型</w:t>
            </w:r>
          </w:p>
        </w:tc>
        <w:tc>
          <w:tcPr>
            <w:tcW w:w="2500" w:type="pct"/>
          </w:tcPr>
          <w:p w14:paraId="59D1BC3D">
            <w:pPr>
              <w:spacing w:after="0" w:line="240" w:lineRule="auto"/>
            </w:pPr>
            <w:r>
              <w:rPr>
                <w:sz w:val="21"/>
              </w:rPr>
              <w:t>红灯/里程碑复核/DDI切换/紧急事件</w:t>
            </w:r>
          </w:p>
        </w:tc>
      </w:tr>
      <w:tr w14:paraId="167EE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30EB8C2">
            <w:pPr>
              <w:spacing w:after="0" w:line="240" w:lineRule="auto"/>
            </w:pPr>
            <w:r>
              <w:rPr>
                <w:sz w:val="21"/>
              </w:rPr>
              <w:t>参会人员</w:t>
            </w:r>
          </w:p>
        </w:tc>
        <w:tc>
          <w:tcPr>
            <w:tcW w:w="2500" w:type="pct"/>
          </w:tcPr>
          <w:p w14:paraId="26718983">
            <w:pPr>
              <w:spacing w:after="0" w:line="240" w:lineRule="auto"/>
            </w:pPr>
            <w:r>
              <w:rPr>
                <w:sz w:val="21"/>
              </w:rPr>
              <w:t>姓名/角色；会议时间</w:t>
            </w:r>
          </w:p>
        </w:tc>
      </w:tr>
      <w:tr w14:paraId="20BDF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4151A065">
            <w:pPr>
              <w:spacing w:after="0" w:line="240" w:lineRule="auto"/>
            </w:pPr>
            <w:r>
              <w:rPr>
                <w:sz w:val="21"/>
              </w:rPr>
              <w:t>决策摘要</w:t>
            </w:r>
          </w:p>
        </w:tc>
        <w:tc>
          <w:tcPr>
            <w:tcW w:w="2500" w:type="pct"/>
          </w:tcPr>
          <w:p w14:paraId="6C581E26">
            <w:pPr>
              <w:spacing w:after="0" w:line="240" w:lineRule="auto"/>
            </w:pPr>
            <w:r>
              <w:rPr>
                <w:sz w:val="21"/>
              </w:rPr>
              <w:t>用药方案+监测计划+升级策略</w:t>
            </w:r>
          </w:p>
        </w:tc>
      </w:tr>
      <w:tr w14:paraId="5F0BA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F1AF6D2">
            <w:pPr>
              <w:spacing w:after="0" w:line="240" w:lineRule="auto"/>
            </w:pPr>
            <w:r>
              <w:rPr>
                <w:sz w:val="21"/>
              </w:rPr>
              <w:t>结局</w:t>
            </w:r>
          </w:p>
        </w:tc>
        <w:tc>
          <w:tcPr>
            <w:tcW w:w="2500" w:type="pct"/>
          </w:tcPr>
          <w:p w14:paraId="66A0CDBE">
            <w:pPr>
              <w:spacing w:after="0" w:line="240" w:lineRule="auto"/>
            </w:pPr>
            <w:r>
              <w:rPr>
                <w:sz w:val="21"/>
              </w:rPr>
              <w:t>已解决/持续观察/转诊/住院</w:t>
            </w:r>
          </w:p>
        </w:tc>
      </w:tr>
      <w:tr w14:paraId="6EEA8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00" w:type="pct"/>
          </w:tcPr>
          <w:p w14:paraId="136C5565">
            <w:pPr>
              <w:spacing w:after="0" w:line="240" w:lineRule="auto"/>
            </w:pPr>
            <w:r>
              <w:rPr>
                <w:sz w:val="21"/>
              </w:rPr>
              <w:t>签署</w:t>
            </w:r>
          </w:p>
        </w:tc>
        <w:tc>
          <w:tcPr>
            <w:tcW w:w="2500" w:type="pct"/>
          </w:tcPr>
          <w:p w14:paraId="724ADFE2">
            <w:pPr>
              <w:spacing w:after="0" w:line="240" w:lineRule="auto"/>
            </w:pPr>
            <w:r>
              <w:rPr>
                <w:sz w:val="21"/>
              </w:rPr>
              <w:t>MDT组长（或PI）+内分泌医生</w:t>
            </w:r>
          </w:p>
        </w:tc>
      </w:tr>
    </w:tbl>
    <w:p w14:paraId="32037883">
      <w:pPr>
        <w:pStyle w:val="3"/>
        <w:widowControl/>
        <w:numPr>
          <w:numId w:val="0"/>
        </w:numPr>
        <w:ind w:leftChars="0"/>
        <w:rPr>
          <w:b/>
          <w:bdr w:val="none" w:sz="0" w:space="0"/>
        </w:rPr>
      </w:pPr>
      <w:bookmarkStart w:id="0" w:name="_GoBack"/>
      <w:bookmarkEnd w:id="0"/>
      <w:r>
        <w:rPr>
          <w:rFonts w:hint="eastAsia"/>
          <w:lang w:val="en-US" w:eastAsia="zh-CN"/>
        </w:rPr>
        <w:t>6.</w:t>
      </w:r>
      <w:r>
        <w:t>质控与审计</w:t>
      </w:r>
    </w:p>
    <w:p w14:paraId="5B3D0F79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每月审计：需MDT者24小时内完成EDC记录比例（目标≥95%）。</w:t>
      </w:r>
    </w:p>
    <w:p w14:paraId="7E27B3E1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每季度中心间复盘：重复问题、响应延迟、记录缺口；制定CAPA纠正预防措施。</w:t>
      </w:r>
    </w:p>
    <w:p w14:paraId="35186E6B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5C69AC"/>
    <w:multiLevelType w:val="singleLevel"/>
    <w:tmpl w:val="E05C69AC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02508AA1"/>
    <w:multiLevelType w:val="singleLevel"/>
    <w:tmpl w:val="02508AA1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36FF7D97"/>
    <w:multiLevelType w:val="singleLevel"/>
    <w:tmpl w:val="36FF7D97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2887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764</Words>
  <Characters>957</Characters>
  <Lines>0</Lines>
  <Paragraphs>0</Paragraphs>
  <TotalTime>1</TotalTime>
  <ScaleCrop>false</ScaleCrop>
  <LinksUpToDate>false</LinksUpToDate>
  <CharactersWithSpaces>975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2026-03-13T03:11:41Z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EC41716D224844908C060533717F9CE9_12</vt:lpwstr>
  </property>
</Properties>
</file>