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45243">
      <w:pPr>
        <w:pStyle w:val="31"/>
        <w:widowControl/>
        <w:ind w:firstLine="1285" w:firstLineChars="400"/>
      </w:pPr>
      <w:bookmarkStart w:id="0" w:name="_GoBack"/>
      <w:bookmarkEnd w:id="0"/>
      <w:r>
        <w:t>TB-DM路径执行的质控指标与监测计划</w:t>
      </w:r>
    </w:p>
    <w:p w14:paraId="1E7C0F75"/>
    <w:p w14:paraId="67BCA1AC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39B4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29F8218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4CCB791E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1FB98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7197A44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52B7FD11">
            <w:pPr>
              <w:spacing w:after="0" w:line="240" w:lineRule="auto"/>
            </w:pPr>
            <w:r>
              <w:rPr>
                <w:sz w:val="21"/>
              </w:rPr>
              <w:t>TDSC-TB-DM-SOP09</w:t>
            </w:r>
          </w:p>
        </w:tc>
      </w:tr>
      <w:tr w14:paraId="054B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294660A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4917ED11">
            <w:pPr>
              <w:spacing w:after="0" w:line="240" w:lineRule="auto"/>
            </w:pPr>
            <w:r>
              <w:rPr>
                <w:sz w:val="21"/>
              </w:rPr>
              <w:t>TB-DM路径执行的质控指标与监测计划</w:t>
            </w:r>
          </w:p>
        </w:tc>
      </w:tr>
      <w:tr w14:paraId="0BC8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BE505CB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2EAEF3A7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3ED9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15CB931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5572BC90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6BDA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DB2C697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6D0097C6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3072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834CAB6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636B536E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1CEB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2EFB396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57137193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28278E20"/>
    <w:p w14:paraId="7E0A441D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51D8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F813DE4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2A2BC021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10D7CA40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70580337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2779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2CED3AA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394DF4EB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5B5964C3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5A0E8479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1C98909D"/>
    <w:p w14:paraId="3EA9035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7C7C464A">
      <w:pPr>
        <w:pStyle w:val="19"/>
        <w:widowControl/>
      </w:pPr>
      <w:r>
        <w:t>目的：建立TB-DM路径执行的关键质控指标（KPI）、监测频率与报告模板，用于多中心一致性管理与持续改进。</w:t>
      </w:r>
    </w:p>
    <w:p w14:paraId="4DE4BE6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09F284F8">
      <w:pPr>
        <w:pStyle w:val="19"/>
        <w:widowControl/>
      </w:pPr>
      <w:r>
        <w:t>适用范围：覆盖首例入组至锁库全过程。与SOP03/04/07/10衔接。</w:t>
      </w:r>
    </w:p>
    <w:p w14:paraId="4AE58A5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质控指标KPI（最低配置）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7157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7EB1582">
            <w:pPr>
              <w:spacing w:after="0" w:line="240" w:lineRule="auto"/>
            </w:pPr>
            <w:r>
              <w:rPr>
                <w:b/>
                <w:sz w:val="21"/>
              </w:rPr>
              <w:t>领域</w:t>
            </w:r>
          </w:p>
        </w:tc>
        <w:tc>
          <w:tcPr>
            <w:tcW w:w="1250" w:type="pct"/>
          </w:tcPr>
          <w:p w14:paraId="39C58674">
            <w:pPr>
              <w:spacing w:after="0" w:line="240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1250" w:type="pct"/>
          </w:tcPr>
          <w:p w14:paraId="35B6CC3F">
            <w:pPr>
              <w:spacing w:after="0" w:line="240" w:lineRule="auto"/>
            </w:pPr>
            <w:r>
              <w:rPr>
                <w:b/>
                <w:sz w:val="21"/>
              </w:rPr>
              <w:t>目标值</w:t>
            </w:r>
          </w:p>
        </w:tc>
        <w:tc>
          <w:tcPr>
            <w:tcW w:w="1250" w:type="pct"/>
          </w:tcPr>
          <w:p w14:paraId="03C61060">
            <w:pPr>
              <w:spacing w:after="0" w:line="240" w:lineRule="auto"/>
            </w:pPr>
            <w:r>
              <w:rPr>
                <w:b/>
                <w:sz w:val="21"/>
              </w:rPr>
              <w:t>频率</w:t>
            </w:r>
          </w:p>
        </w:tc>
      </w:tr>
      <w:tr w14:paraId="3D52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E05836D">
            <w:pPr>
              <w:spacing w:after="0" w:line="240" w:lineRule="auto"/>
            </w:pPr>
            <w:r>
              <w:rPr>
                <w:sz w:val="21"/>
              </w:rPr>
              <w:t>流程</w:t>
            </w:r>
          </w:p>
        </w:tc>
        <w:tc>
          <w:tcPr>
            <w:tcW w:w="1250" w:type="pct"/>
          </w:tcPr>
          <w:p w14:paraId="5D68E7B0">
            <w:pPr>
              <w:spacing w:after="0" w:line="240" w:lineRule="auto"/>
            </w:pPr>
            <w:r>
              <w:rPr>
                <w:sz w:val="21"/>
              </w:rPr>
              <w:t>随机/入组前糖尿病基线评估完整率</w:t>
            </w:r>
          </w:p>
        </w:tc>
        <w:tc>
          <w:tcPr>
            <w:tcW w:w="1250" w:type="pct"/>
          </w:tcPr>
          <w:p w14:paraId="5B121D6E">
            <w:pPr>
              <w:spacing w:after="0" w:line="240" w:lineRule="auto"/>
            </w:pPr>
            <w:r>
              <w:rPr>
                <w:sz w:val="21"/>
              </w:rPr>
              <w:t>100%</w:t>
            </w:r>
          </w:p>
        </w:tc>
        <w:tc>
          <w:tcPr>
            <w:tcW w:w="1250" w:type="pct"/>
          </w:tcPr>
          <w:p w14:paraId="2F1F6DC0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097E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790112B">
            <w:pPr>
              <w:spacing w:after="0" w:line="240" w:lineRule="auto"/>
            </w:pPr>
            <w:r>
              <w:rPr>
                <w:sz w:val="21"/>
              </w:rPr>
              <w:t>监测</w:t>
            </w:r>
          </w:p>
        </w:tc>
        <w:tc>
          <w:tcPr>
            <w:tcW w:w="1250" w:type="pct"/>
          </w:tcPr>
          <w:p w14:paraId="1FD1A7F7">
            <w:pPr>
              <w:spacing w:after="0" w:line="240" w:lineRule="auto"/>
            </w:pPr>
            <w:r>
              <w:rPr>
                <w:sz w:val="21"/>
              </w:rPr>
              <w:t>SMBG上传/录入完整率（按计划监测日）</w:t>
            </w:r>
          </w:p>
        </w:tc>
        <w:tc>
          <w:tcPr>
            <w:tcW w:w="1250" w:type="pct"/>
          </w:tcPr>
          <w:p w14:paraId="34886C0A">
            <w:pPr>
              <w:spacing w:after="0" w:line="240" w:lineRule="auto"/>
            </w:pPr>
            <w:r>
              <w:rPr>
                <w:sz w:val="21"/>
              </w:rPr>
              <w:t>≥90%</w:t>
            </w:r>
          </w:p>
        </w:tc>
        <w:tc>
          <w:tcPr>
            <w:tcW w:w="1250" w:type="pct"/>
          </w:tcPr>
          <w:p w14:paraId="63DB0FE4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5AA6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478BFAB">
            <w:pPr>
              <w:spacing w:after="0" w:line="240" w:lineRule="auto"/>
            </w:pPr>
            <w:r>
              <w:rPr>
                <w:sz w:val="21"/>
              </w:rPr>
              <w:t>监测</w:t>
            </w:r>
          </w:p>
        </w:tc>
        <w:tc>
          <w:tcPr>
            <w:tcW w:w="1250" w:type="pct"/>
          </w:tcPr>
          <w:p w14:paraId="2FCBCF1C">
            <w:pPr>
              <w:spacing w:after="0" w:line="240" w:lineRule="auto"/>
            </w:pPr>
            <w:r>
              <w:rPr>
                <w:sz w:val="21"/>
              </w:rPr>
              <w:t>队列B：CGM获得可分析14天窗口比例</w:t>
            </w:r>
          </w:p>
        </w:tc>
        <w:tc>
          <w:tcPr>
            <w:tcW w:w="1250" w:type="pct"/>
          </w:tcPr>
          <w:p w14:paraId="24F1B8B0">
            <w:pPr>
              <w:spacing w:after="0" w:line="240" w:lineRule="auto"/>
            </w:pPr>
            <w:r>
              <w:rPr>
                <w:sz w:val="21"/>
              </w:rPr>
              <w:t>≥85%</w:t>
            </w:r>
          </w:p>
        </w:tc>
        <w:tc>
          <w:tcPr>
            <w:tcW w:w="1250" w:type="pct"/>
          </w:tcPr>
          <w:p w14:paraId="6A4728E2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54B6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D495312">
            <w:pPr>
              <w:spacing w:after="0" w:line="240" w:lineRule="auto"/>
            </w:pPr>
            <w:r>
              <w:rPr>
                <w:sz w:val="21"/>
              </w:rPr>
              <w:t>里程碑</w:t>
            </w:r>
          </w:p>
        </w:tc>
        <w:tc>
          <w:tcPr>
            <w:tcW w:w="1250" w:type="pct"/>
          </w:tcPr>
          <w:p w14:paraId="3C669A16">
            <w:pPr>
              <w:spacing w:after="0" w:line="240" w:lineRule="auto"/>
            </w:pPr>
            <w:r>
              <w:rPr>
                <w:sz w:val="21"/>
              </w:rPr>
              <w:t>队列B：W2 AGP可获得并完成解读比例</w:t>
            </w:r>
          </w:p>
        </w:tc>
        <w:tc>
          <w:tcPr>
            <w:tcW w:w="1250" w:type="pct"/>
          </w:tcPr>
          <w:p w14:paraId="6C499C9F">
            <w:pPr>
              <w:spacing w:after="0" w:line="240" w:lineRule="auto"/>
            </w:pPr>
            <w:r>
              <w:rPr>
                <w:sz w:val="21"/>
              </w:rPr>
              <w:t>≥95%</w:t>
            </w:r>
          </w:p>
        </w:tc>
        <w:tc>
          <w:tcPr>
            <w:tcW w:w="1250" w:type="pct"/>
          </w:tcPr>
          <w:p w14:paraId="44D5C633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50AF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2C846FE">
            <w:pPr>
              <w:spacing w:after="0" w:line="240" w:lineRule="auto"/>
            </w:pPr>
            <w:r>
              <w:rPr>
                <w:sz w:val="21"/>
              </w:rPr>
              <w:t>预警</w:t>
            </w:r>
          </w:p>
        </w:tc>
        <w:tc>
          <w:tcPr>
            <w:tcW w:w="1250" w:type="pct"/>
          </w:tcPr>
          <w:p w14:paraId="3138590F">
            <w:pPr>
              <w:spacing w:after="0" w:line="240" w:lineRule="auto"/>
            </w:pPr>
            <w:r>
              <w:rPr>
                <w:sz w:val="21"/>
              </w:rPr>
              <w:t>红灯首次触达时限达标率</w:t>
            </w:r>
          </w:p>
        </w:tc>
        <w:tc>
          <w:tcPr>
            <w:tcW w:w="1250" w:type="pct"/>
          </w:tcPr>
          <w:p w14:paraId="28A53B35">
            <w:pPr>
              <w:spacing w:after="0" w:line="240" w:lineRule="auto"/>
            </w:pPr>
            <w:r>
              <w:rPr>
                <w:sz w:val="21"/>
              </w:rPr>
              <w:t>≥95%</w:t>
            </w:r>
          </w:p>
        </w:tc>
        <w:tc>
          <w:tcPr>
            <w:tcW w:w="1250" w:type="pct"/>
          </w:tcPr>
          <w:p w14:paraId="79C6176B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41A1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A7DDCCC">
            <w:pPr>
              <w:spacing w:after="0" w:line="240" w:lineRule="auto"/>
            </w:pPr>
            <w:r>
              <w:rPr>
                <w:sz w:val="21"/>
              </w:rPr>
              <w:t>预警</w:t>
            </w:r>
          </w:p>
        </w:tc>
        <w:tc>
          <w:tcPr>
            <w:tcW w:w="1250" w:type="pct"/>
          </w:tcPr>
          <w:p w14:paraId="03F9DF25">
            <w:pPr>
              <w:spacing w:after="0" w:line="240" w:lineRule="auto"/>
            </w:pPr>
            <w:r>
              <w:rPr>
                <w:sz w:val="21"/>
              </w:rPr>
              <w:t>黄灯24小时内处置达标率</w:t>
            </w:r>
          </w:p>
        </w:tc>
        <w:tc>
          <w:tcPr>
            <w:tcW w:w="1250" w:type="pct"/>
          </w:tcPr>
          <w:p w14:paraId="2886D239">
            <w:pPr>
              <w:spacing w:after="0" w:line="240" w:lineRule="auto"/>
            </w:pPr>
            <w:r>
              <w:rPr>
                <w:sz w:val="21"/>
              </w:rPr>
              <w:t>≥90%</w:t>
            </w:r>
          </w:p>
        </w:tc>
        <w:tc>
          <w:tcPr>
            <w:tcW w:w="1250" w:type="pct"/>
          </w:tcPr>
          <w:p w14:paraId="602C7B65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6027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7C5FFC2">
            <w:pPr>
              <w:spacing w:after="0" w:line="240" w:lineRule="auto"/>
            </w:pPr>
            <w:r>
              <w:rPr>
                <w:sz w:val="21"/>
              </w:rPr>
              <w:t>留痕</w:t>
            </w:r>
          </w:p>
        </w:tc>
        <w:tc>
          <w:tcPr>
            <w:tcW w:w="1250" w:type="pct"/>
          </w:tcPr>
          <w:p w14:paraId="5CE2F339">
            <w:pPr>
              <w:spacing w:after="0" w:line="240" w:lineRule="auto"/>
            </w:pPr>
            <w:r>
              <w:rPr>
                <w:sz w:val="21"/>
              </w:rPr>
              <w:t>需MDT者24小时内完成EDC会诊记录比例</w:t>
            </w:r>
          </w:p>
        </w:tc>
        <w:tc>
          <w:tcPr>
            <w:tcW w:w="1250" w:type="pct"/>
          </w:tcPr>
          <w:p w14:paraId="7ED1F5A0">
            <w:pPr>
              <w:spacing w:after="0" w:line="240" w:lineRule="auto"/>
            </w:pPr>
            <w:r>
              <w:rPr>
                <w:sz w:val="21"/>
              </w:rPr>
              <w:t>≥95%</w:t>
            </w:r>
          </w:p>
        </w:tc>
        <w:tc>
          <w:tcPr>
            <w:tcW w:w="1250" w:type="pct"/>
          </w:tcPr>
          <w:p w14:paraId="5CDBF628">
            <w:pPr>
              <w:spacing w:after="0" w:line="240" w:lineRule="auto"/>
            </w:pPr>
            <w:r>
              <w:rPr>
                <w:sz w:val="21"/>
              </w:rPr>
              <w:t>每月</w:t>
            </w:r>
          </w:p>
        </w:tc>
      </w:tr>
      <w:tr w14:paraId="287B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3B73E25">
            <w:pPr>
              <w:spacing w:after="0" w:line="240" w:lineRule="auto"/>
            </w:pPr>
            <w:r>
              <w:rPr>
                <w:sz w:val="21"/>
              </w:rPr>
              <w:t>中间结局</w:t>
            </w:r>
          </w:p>
        </w:tc>
        <w:tc>
          <w:tcPr>
            <w:tcW w:w="1250" w:type="pct"/>
          </w:tcPr>
          <w:p w14:paraId="496BE8F0">
            <w:pPr>
              <w:spacing w:after="0" w:line="240" w:lineRule="auto"/>
            </w:pPr>
            <w:r>
              <w:rPr>
                <w:sz w:val="21"/>
              </w:rPr>
              <w:t>队列A：HbA1c目标达标率（按中心校正）</w:t>
            </w:r>
          </w:p>
        </w:tc>
        <w:tc>
          <w:tcPr>
            <w:tcW w:w="1250" w:type="pct"/>
          </w:tcPr>
          <w:p w14:paraId="5E94F14C">
            <w:pPr>
              <w:spacing w:after="0" w:line="240" w:lineRule="auto"/>
            </w:pPr>
            <w:r>
              <w:rPr>
                <w:sz w:val="21"/>
              </w:rPr>
              <w:t>追踪；PI设定目标</w:t>
            </w:r>
          </w:p>
        </w:tc>
        <w:tc>
          <w:tcPr>
            <w:tcW w:w="1250" w:type="pct"/>
          </w:tcPr>
          <w:p w14:paraId="0DBE8E11">
            <w:pPr>
              <w:spacing w:after="0" w:line="240" w:lineRule="auto"/>
            </w:pPr>
            <w:r>
              <w:rPr>
                <w:sz w:val="21"/>
              </w:rPr>
              <w:t>每季度</w:t>
            </w:r>
          </w:p>
        </w:tc>
      </w:tr>
      <w:tr w14:paraId="1390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C2E1243">
            <w:pPr>
              <w:spacing w:after="0" w:line="240" w:lineRule="auto"/>
            </w:pPr>
            <w:r>
              <w:rPr>
                <w:sz w:val="21"/>
              </w:rPr>
              <w:t>中间结局</w:t>
            </w:r>
          </w:p>
        </w:tc>
        <w:tc>
          <w:tcPr>
            <w:tcW w:w="1250" w:type="pct"/>
          </w:tcPr>
          <w:p w14:paraId="6FE347CA">
            <w:pPr>
              <w:spacing w:after="0" w:line="240" w:lineRule="auto"/>
            </w:pPr>
            <w:r>
              <w:rPr>
                <w:sz w:val="21"/>
              </w:rPr>
              <w:t>队列B：W2 TIR&gt;70%比例</w:t>
            </w:r>
          </w:p>
        </w:tc>
        <w:tc>
          <w:tcPr>
            <w:tcW w:w="1250" w:type="pct"/>
          </w:tcPr>
          <w:p w14:paraId="16C1C937">
            <w:pPr>
              <w:spacing w:after="0" w:line="240" w:lineRule="auto"/>
            </w:pPr>
            <w:r>
              <w:rPr>
                <w:sz w:val="21"/>
              </w:rPr>
              <w:t>追踪；PI设定目标</w:t>
            </w:r>
          </w:p>
        </w:tc>
        <w:tc>
          <w:tcPr>
            <w:tcW w:w="1250" w:type="pct"/>
          </w:tcPr>
          <w:p w14:paraId="2CAFD624">
            <w:pPr>
              <w:spacing w:after="0" w:line="240" w:lineRule="auto"/>
            </w:pPr>
            <w:r>
              <w:rPr>
                <w:sz w:val="21"/>
              </w:rPr>
              <w:t>每季度</w:t>
            </w:r>
          </w:p>
        </w:tc>
      </w:tr>
      <w:tr w14:paraId="062E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E39402E">
            <w:pPr>
              <w:spacing w:after="0" w:line="240" w:lineRule="auto"/>
            </w:pPr>
            <w:r>
              <w:rPr>
                <w:sz w:val="21"/>
              </w:rPr>
              <w:t>安全</w:t>
            </w:r>
          </w:p>
        </w:tc>
        <w:tc>
          <w:tcPr>
            <w:tcW w:w="1250" w:type="pct"/>
          </w:tcPr>
          <w:p w14:paraId="28989118">
            <w:pPr>
              <w:spacing w:after="0" w:line="240" w:lineRule="auto"/>
            </w:pPr>
            <w:r>
              <w:rPr>
                <w:sz w:val="21"/>
              </w:rPr>
              <w:t>严重低血糖/DKA发生率</w:t>
            </w:r>
          </w:p>
        </w:tc>
        <w:tc>
          <w:tcPr>
            <w:tcW w:w="1250" w:type="pct"/>
          </w:tcPr>
          <w:p w14:paraId="1D794070">
            <w:pPr>
              <w:spacing w:after="0" w:line="240" w:lineRule="auto"/>
            </w:pPr>
            <w:r>
              <w:rPr>
                <w:sz w:val="21"/>
              </w:rPr>
              <w:t>追踪；阈值触发复盘</w:t>
            </w:r>
          </w:p>
        </w:tc>
        <w:tc>
          <w:tcPr>
            <w:tcW w:w="1250" w:type="pct"/>
          </w:tcPr>
          <w:p w14:paraId="162146C6">
            <w:pPr>
              <w:spacing w:after="0" w:line="240" w:lineRule="auto"/>
            </w:pPr>
            <w:r>
              <w:rPr>
                <w:sz w:val="21"/>
              </w:rPr>
              <w:t>每季度</w:t>
            </w:r>
          </w:p>
        </w:tc>
      </w:tr>
    </w:tbl>
    <w:p w14:paraId="0FA66650"/>
    <w:p w14:paraId="3191F21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rPr>
          <w:b/>
        </w:rPr>
        <w:t>监测与CAPA</w:t>
      </w:r>
    </w:p>
    <w:p w14:paraId="2258425D">
      <w:pPr>
        <w:pStyle w:val="3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4.1</w:t>
      </w:r>
      <w:r>
        <w:t>监测与报告</w:t>
      </w:r>
    </w:p>
    <w:p w14:paraId="42D01605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每月由数据团队生成《分中心KPI报表》：仪表盘+异常清单（到受试者/到中心）。</w:t>
      </w:r>
    </w:p>
    <w:p w14:paraId="1F455A94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每季度由MDT组长主持中心间复盘：趋势、离群点与改进措施。</w:t>
      </w:r>
    </w:p>
    <w:p w14:paraId="3823C122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升级机制：任一KPI连续2个月低于目标，必须启动CAPA（根因+纠正预防）。</w:t>
      </w:r>
    </w:p>
    <w:p w14:paraId="40FD0D6E">
      <w:pPr>
        <w:pStyle w:val="3"/>
        <w:widowControl/>
        <w:numPr>
          <w:ilvl w:val="0"/>
          <w:numId w:val="0"/>
        </w:numPr>
        <w:ind w:leftChars="0"/>
      </w:pPr>
      <w:r>
        <w:t>4.2 CAPA模板（最低要求）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6812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58382CC">
            <w:pPr>
              <w:spacing w:after="0" w:line="240" w:lineRule="auto"/>
            </w:pPr>
            <w:r>
              <w:rPr>
                <w:b/>
                <w:sz w:val="21"/>
              </w:rPr>
              <w:t>CAPA要素</w:t>
            </w:r>
          </w:p>
        </w:tc>
        <w:tc>
          <w:tcPr>
            <w:tcW w:w="2500" w:type="pct"/>
          </w:tcPr>
          <w:p w14:paraId="6FC0CAF6">
            <w:pPr>
              <w:spacing w:after="0" w:line="240" w:lineRule="auto"/>
            </w:pPr>
            <w:r>
              <w:rPr>
                <w:b/>
                <w:sz w:val="21"/>
              </w:rPr>
              <w:t>要求</w:t>
            </w:r>
          </w:p>
        </w:tc>
      </w:tr>
      <w:tr w14:paraId="6383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10052C1">
            <w:pPr>
              <w:spacing w:after="0" w:line="240" w:lineRule="auto"/>
            </w:pPr>
            <w:r>
              <w:rPr>
                <w:sz w:val="21"/>
              </w:rPr>
              <w:t>问题定义</w:t>
            </w:r>
          </w:p>
        </w:tc>
        <w:tc>
          <w:tcPr>
            <w:tcW w:w="2500" w:type="pct"/>
          </w:tcPr>
          <w:p w14:paraId="33286923">
            <w:pPr>
              <w:spacing w:after="0" w:line="240" w:lineRule="auto"/>
            </w:pPr>
            <w:r>
              <w:rPr>
                <w:sz w:val="21"/>
              </w:rPr>
              <w:t>哪个KPI不达标、幅度、时间窗、涉及中心/受试者</w:t>
            </w:r>
          </w:p>
        </w:tc>
      </w:tr>
      <w:tr w14:paraId="0DDF8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B3D768E">
            <w:pPr>
              <w:spacing w:after="0" w:line="240" w:lineRule="auto"/>
            </w:pPr>
            <w:r>
              <w:rPr>
                <w:sz w:val="21"/>
              </w:rPr>
              <w:t>根因分析</w:t>
            </w:r>
          </w:p>
        </w:tc>
        <w:tc>
          <w:tcPr>
            <w:tcW w:w="2500" w:type="pct"/>
          </w:tcPr>
          <w:p w14:paraId="6EF8CD69">
            <w:pPr>
              <w:spacing w:after="0" w:line="240" w:lineRule="auto"/>
            </w:pPr>
            <w:r>
              <w:rPr>
                <w:sz w:val="21"/>
              </w:rPr>
              <w:t>流程/培训/设备/系统/患者因素</w:t>
            </w:r>
          </w:p>
        </w:tc>
      </w:tr>
      <w:tr w14:paraId="598F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1FFF9CF">
            <w:pPr>
              <w:spacing w:after="0" w:line="240" w:lineRule="auto"/>
            </w:pPr>
            <w:r>
              <w:rPr>
                <w:sz w:val="21"/>
              </w:rPr>
              <w:t>纠正措施</w:t>
            </w:r>
          </w:p>
        </w:tc>
        <w:tc>
          <w:tcPr>
            <w:tcW w:w="2500" w:type="pct"/>
          </w:tcPr>
          <w:p w14:paraId="6A46FBF3">
            <w:pPr>
              <w:spacing w:after="0" w:line="240" w:lineRule="auto"/>
            </w:pPr>
            <w:r>
              <w:rPr>
                <w:sz w:val="21"/>
              </w:rPr>
              <w:t>即时改进动作、责任人、完成日期</w:t>
            </w:r>
          </w:p>
        </w:tc>
      </w:tr>
      <w:tr w14:paraId="2359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5E3A017">
            <w:pPr>
              <w:spacing w:after="0" w:line="240" w:lineRule="auto"/>
            </w:pPr>
            <w:r>
              <w:rPr>
                <w:sz w:val="21"/>
              </w:rPr>
              <w:t>预防措施</w:t>
            </w:r>
          </w:p>
        </w:tc>
        <w:tc>
          <w:tcPr>
            <w:tcW w:w="2500" w:type="pct"/>
          </w:tcPr>
          <w:p w14:paraId="5F7C1B0A">
            <w:pPr>
              <w:spacing w:after="0" w:line="240" w:lineRule="auto"/>
            </w:pPr>
            <w:r>
              <w:rPr>
                <w:sz w:val="21"/>
              </w:rPr>
              <w:t>防止复发的系统性改动</w:t>
            </w:r>
          </w:p>
        </w:tc>
      </w:tr>
      <w:tr w14:paraId="00B6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D25CD07">
            <w:pPr>
              <w:spacing w:after="0" w:line="240" w:lineRule="auto"/>
            </w:pPr>
            <w:r>
              <w:rPr>
                <w:sz w:val="21"/>
              </w:rPr>
              <w:t>验证</w:t>
            </w:r>
          </w:p>
        </w:tc>
        <w:tc>
          <w:tcPr>
            <w:tcW w:w="2500" w:type="pct"/>
          </w:tcPr>
          <w:p w14:paraId="0692F227">
            <w:pPr>
              <w:spacing w:after="0" w:line="240" w:lineRule="auto"/>
            </w:pPr>
            <w:r>
              <w:rPr>
                <w:sz w:val="21"/>
              </w:rPr>
              <w:t>后续2个周期复核KPI改善情况</w:t>
            </w:r>
          </w:p>
        </w:tc>
      </w:tr>
    </w:tbl>
    <w:p w14:paraId="4E0D179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记录与存档</w:t>
      </w:r>
    </w:p>
    <w:p w14:paraId="118C3B69">
      <w:pPr>
        <w:pStyle w:val="19"/>
        <w:widowControl/>
        <w:numPr>
          <w:ilvl w:val="0"/>
          <w:numId w:val="9"/>
        </w:numPr>
        <w:ind w:left="425" w:leftChars="0" w:hanging="425" w:firstLineChars="0"/>
      </w:pPr>
      <w:r>
        <w:t>每月KPI仪表盘存入TMF（研究主文件）。</w:t>
      </w:r>
    </w:p>
    <w:p w14:paraId="2EA1BFFA">
      <w:pPr>
        <w:pStyle w:val="19"/>
        <w:widowControl/>
        <w:numPr>
          <w:ilvl w:val="0"/>
          <w:numId w:val="9"/>
        </w:numPr>
        <w:ind w:left="425" w:leftChars="0" w:hanging="425" w:firstLineChars="0"/>
      </w:pPr>
      <w:r>
        <w:t>季度复盘会议纪要与行动清单。</w:t>
      </w:r>
    </w:p>
    <w:p w14:paraId="2867DFAF">
      <w:pPr>
        <w:pStyle w:val="19"/>
        <w:widowControl/>
        <w:numPr>
          <w:ilvl w:val="0"/>
          <w:numId w:val="9"/>
        </w:numPr>
        <w:ind w:left="425" w:leftChars="0" w:hanging="425" w:firstLineChars="0"/>
      </w:pPr>
      <w:r>
        <w:t>CAPA记录与异常清单关联归档。</w:t>
      </w:r>
    </w:p>
    <w:p w14:paraId="36C1E351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E855B"/>
    <w:multiLevelType w:val="singleLevel"/>
    <w:tmpl w:val="8D4E855B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C49CBD0F"/>
    <w:multiLevelType w:val="singleLevel"/>
    <w:tmpl w:val="C49CBD0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D28433A6"/>
    <w:multiLevelType w:val="singleLevel"/>
    <w:tmpl w:val="D28433A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DA6B8EC0"/>
    <w:multiLevelType w:val="singleLevel"/>
    <w:tmpl w:val="DA6B8EC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A32A5F"/>
    <w:rsid w:val="1404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160" w:after="40" w:line="240" w:lineRule="auto"/>
      <w:jc w:val="left"/>
      <w:outlineLvl w:val="1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200" w:after="80" w:line="240" w:lineRule="auto"/>
      <w:jc w:val="left"/>
      <w:outlineLvl w:val="2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spacing w:before="160" w:after="40" w:line="240" w:lineRule="auto"/>
      <w:jc w:val="left"/>
      <w:outlineLvl w:val="3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868</Characters>
  <Lines>0</Lines>
  <Paragraphs>0</Paragraphs>
  <TotalTime>2</TotalTime>
  <ScaleCrop>false</ScaleCrop>
  <LinksUpToDate>false</LinksUpToDate>
  <CharactersWithSpaces>882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2026-03-13T03:07:33Z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009F7759F8F7476990A930D0FB068A0E_12</vt:lpwstr>
  </property>
</Properties>
</file>