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TB-DM管理的数据标准、EDC集成与逻辑锁</w:t>
      </w:r>
    </w:p>
    <w:p/>
    <w:p>
      <w:r>
        <w:rPr>
          <w:b/>
          <w:sz w:val="24"/>
        </w:rPr>
        <w:t>文件控制信息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sz w:val="21"/>
              </w:rPr>
              <w:t>研究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1"/>
              </w:rPr>
              <w:t>TDSC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1"/>
              </w:rPr>
              <w:t>SOP编号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1"/>
              </w:rPr>
              <w:t>TDSC-TB-DM-SOP10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1"/>
              </w:rPr>
              <w:t>标题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1"/>
              </w:rPr>
              <w:t>TB-DM管理的数据标准、EDC集成与逻辑锁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1"/>
              </w:rPr>
              <w:t>版本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1"/>
              </w:rPr>
              <w:t>V1.0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1"/>
              </w:rPr>
              <w:t>生效日期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1"/>
              </w:rPr>
              <w:t>2026年02月07日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1"/>
              </w:rPr>
              <w:t>牵头部门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1"/>
              </w:rPr>
              <w:t>TB-DM MDT工作组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1"/>
              </w:rPr>
              <w:t>起草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1"/>
              </w:rPr>
              <w:t>TDSC 方法学与数据团队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1"/>
              </w:rPr>
              <w:t>批准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1"/>
              </w:rPr>
              <w:t>PI / 指导委员会</w:t>
            </w:r>
          </w:p>
        </w:tc>
      </w:tr>
    </w:tbl>
    <w:p/>
    <w:p>
      <w:r>
        <w:rPr>
          <w:b/>
          <w:sz w:val="24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21"/>
              </w:rPr>
              <w:t>版本</w:t>
            </w:r>
          </w:p>
        </w:tc>
        <w:tc>
          <w:tcPr>
            <w:tcW w:type="dxa" w:w="2436"/>
          </w:tcPr>
          <w:p>
            <w:r>
              <w:rPr>
                <w:b/>
                <w:sz w:val="21"/>
              </w:rPr>
              <w:t>日期</w:t>
            </w:r>
          </w:p>
        </w:tc>
        <w:tc>
          <w:tcPr>
            <w:tcW w:type="dxa" w:w="2436"/>
          </w:tcPr>
          <w:p>
            <w:r>
              <w:rPr>
                <w:b/>
                <w:sz w:val="21"/>
              </w:rPr>
              <w:t>修订内容</w:t>
            </w:r>
          </w:p>
        </w:tc>
        <w:tc>
          <w:tcPr>
            <w:tcW w:type="dxa" w:w="2436"/>
          </w:tcPr>
          <w:p>
            <w:r>
              <w:rPr>
                <w:b/>
                <w:sz w:val="21"/>
              </w:rPr>
              <w:t>作者</w:t>
            </w:r>
          </w:p>
        </w:tc>
      </w:tr>
      <w:tr>
        <w:tc>
          <w:tcPr>
            <w:tcW w:type="dxa" w:w="2436"/>
          </w:tcPr>
          <w:p>
            <w:r>
              <w:rPr>
                <w:sz w:val="21"/>
              </w:rPr>
              <w:t>V1.0</w:t>
            </w:r>
          </w:p>
        </w:tc>
        <w:tc>
          <w:tcPr>
            <w:tcW w:type="dxa" w:w="2436"/>
          </w:tcPr>
          <w:p>
            <w:r>
              <w:rPr>
                <w:sz w:val="21"/>
              </w:rPr>
              <w:t>2026年02月07日</w:t>
            </w:r>
          </w:p>
        </w:tc>
        <w:tc>
          <w:tcPr>
            <w:tcW w:type="dxa" w:w="2436"/>
          </w:tcPr>
          <w:p>
            <w:r>
              <w:rPr>
                <w:sz w:val="21"/>
              </w:rPr>
              <w:t>首次发布。</w:t>
            </w:r>
          </w:p>
        </w:tc>
        <w:tc>
          <w:tcPr>
            <w:tcW w:type="dxa" w:w="2436"/>
          </w:tcPr>
          <w:p>
            <w:r>
              <w:rPr>
                <w:sz w:val="21"/>
              </w:rPr>
              <w:t>—</w:t>
            </w:r>
          </w:p>
        </w:tc>
      </w:tr>
    </w:tbl>
    <w:p/>
    <w:p>
      <w:r>
        <w:rPr>
          <w:b/>
          <w:sz w:val="24"/>
        </w:rPr>
        <w:t>1. 目的</w:t>
      </w:r>
    </w:p>
    <w:p>
      <w:r>
        <w:t>目的：统一TB-DM管理数据要素、单位与来源，规范APP/DPM与EDC的数据同步和对账，并设置逻辑锁以保证关键节点数据完整与可审计。</w:t>
      </w:r>
    </w:p>
    <w:p/>
    <w:p>
      <w:r>
        <w:rPr>
          <w:b/>
          <w:sz w:val="24"/>
        </w:rPr>
        <w:t>2. 适用范围</w:t>
      </w:r>
    </w:p>
    <w:p>
      <w:r>
        <w:t>适用范围：适用于TDSC研究中采集的全部TB-DM管理数据（SMBG、CGM、AGP、用药、预警、处置等）。</w:t>
      </w:r>
    </w:p>
    <w:p/>
    <w:p>
      <w:r>
        <w:rPr>
          <w:b/>
          <w:sz w:val="24"/>
        </w:rPr>
        <w:t>3. 数据要素与单位</w:t>
      </w:r>
    </w:p>
    <w:p>
      <w:r>
        <w:rPr>
          <w:b/>
          <w:sz w:val="23"/>
        </w:rPr>
        <w:t>3.1 核心数据要素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21"/>
              </w:rPr>
              <w:t>领域</w:t>
            </w:r>
          </w:p>
        </w:tc>
        <w:tc>
          <w:tcPr>
            <w:tcW w:type="dxa" w:w="2436"/>
          </w:tcPr>
          <w:p>
            <w:r>
              <w:rPr>
                <w:b/>
                <w:sz w:val="21"/>
              </w:rPr>
              <w:t>变量（最低要求）</w:t>
            </w:r>
          </w:p>
        </w:tc>
        <w:tc>
          <w:tcPr>
            <w:tcW w:type="dxa" w:w="2436"/>
          </w:tcPr>
          <w:p>
            <w:r>
              <w:rPr>
                <w:b/>
                <w:sz w:val="21"/>
              </w:rPr>
              <w:t>来源</w:t>
            </w:r>
          </w:p>
        </w:tc>
        <w:tc>
          <w:tcPr>
            <w:tcW w:type="dxa" w:w="2436"/>
          </w:tcPr>
          <w:p>
            <w:r>
              <w:rPr>
                <w:b/>
                <w:sz w:val="21"/>
              </w:rPr>
              <w:t>单位/格式</w:t>
            </w:r>
          </w:p>
        </w:tc>
      </w:tr>
      <w:tr>
        <w:tc>
          <w:tcPr>
            <w:tcW w:type="dxa" w:w="2436"/>
          </w:tcPr>
          <w:p>
            <w:r>
              <w:rPr>
                <w:sz w:val="21"/>
              </w:rPr>
              <w:t>SMBG</w:t>
            </w:r>
          </w:p>
        </w:tc>
        <w:tc>
          <w:tcPr>
            <w:tcW w:type="dxa" w:w="2436"/>
          </w:tcPr>
          <w:p>
            <w:r>
              <w:rPr>
                <w:sz w:val="21"/>
              </w:rPr>
              <w:t>数值、日期/时间、场景（空腹/餐后2h/症状）、备注</w:t>
            </w:r>
          </w:p>
        </w:tc>
        <w:tc>
          <w:tcPr>
            <w:tcW w:type="dxa" w:w="2436"/>
          </w:tcPr>
          <w:p>
            <w:r>
              <w:rPr>
                <w:sz w:val="21"/>
              </w:rPr>
              <w:t>APP自动上传或手工录入</w:t>
            </w:r>
          </w:p>
        </w:tc>
        <w:tc>
          <w:tcPr>
            <w:tcW w:type="dxa" w:w="2436"/>
          </w:tcPr>
          <w:p>
            <w:r>
              <w:rPr>
                <w:sz w:val="21"/>
              </w:rPr>
              <w:t>mmol/L；ISO时间戳</w:t>
            </w:r>
          </w:p>
        </w:tc>
      </w:tr>
      <w:tr>
        <w:tc>
          <w:tcPr>
            <w:tcW w:type="dxa" w:w="2436"/>
          </w:tcPr>
          <w:p>
            <w:r>
              <w:rPr>
                <w:sz w:val="21"/>
              </w:rPr>
              <w:t>CGM汇总</w:t>
            </w:r>
          </w:p>
        </w:tc>
        <w:tc>
          <w:tcPr>
            <w:tcW w:type="dxa" w:w="2436"/>
          </w:tcPr>
          <w:p>
            <w:r>
              <w:rPr>
                <w:sz w:val="21"/>
              </w:rPr>
              <w:t>TIR/TBR/TAR、平均血糖、变异系数CV、佩戴时长</w:t>
            </w:r>
          </w:p>
        </w:tc>
        <w:tc>
          <w:tcPr>
            <w:tcW w:type="dxa" w:w="2436"/>
          </w:tcPr>
          <w:p>
            <w:r>
              <w:rPr>
                <w:sz w:val="21"/>
              </w:rPr>
              <w:t>DPM</w:t>
            </w:r>
          </w:p>
        </w:tc>
        <w:tc>
          <w:tcPr>
            <w:tcW w:type="dxa" w:w="2436"/>
          </w:tcPr>
          <w:p>
            <w:r>
              <w:rPr>
                <w:sz w:val="21"/>
              </w:rPr>
              <w:t>%及mg/dL或mmol/L（按配置）</w:t>
            </w:r>
          </w:p>
        </w:tc>
      </w:tr>
      <w:tr>
        <w:tc>
          <w:tcPr>
            <w:tcW w:type="dxa" w:w="2436"/>
          </w:tcPr>
          <w:p>
            <w:r>
              <w:rPr>
                <w:sz w:val="21"/>
              </w:rPr>
              <w:t>AGP报告</w:t>
            </w:r>
          </w:p>
        </w:tc>
        <w:tc>
          <w:tcPr>
            <w:tcW w:type="dxa" w:w="2436"/>
          </w:tcPr>
          <w:p>
            <w:r>
              <w:rPr>
                <w:sz w:val="21"/>
              </w:rPr>
              <w:t>PDF/图片+解读记录</w:t>
            </w:r>
          </w:p>
        </w:tc>
        <w:tc>
          <w:tcPr>
            <w:tcW w:type="dxa" w:w="2436"/>
          </w:tcPr>
          <w:p>
            <w:r>
              <w:rPr>
                <w:sz w:val="21"/>
              </w:rPr>
              <w:t>上传EDC</w:t>
            </w:r>
          </w:p>
        </w:tc>
        <w:tc>
          <w:tcPr>
            <w:tcW w:type="dxa" w:w="2436"/>
          </w:tcPr>
          <w:p>
            <w:r>
              <w:rPr>
                <w:sz w:val="21"/>
              </w:rPr>
              <w:t>文件+结构化字段</w:t>
            </w:r>
          </w:p>
        </w:tc>
      </w:tr>
      <w:tr>
        <w:tc>
          <w:tcPr>
            <w:tcW w:type="dxa" w:w="2436"/>
          </w:tcPr>
          <w:p>
            <w:r>
              <w:rPr>
                <w:sz w:val="21"/>
              </w:rPr>
              <w:t>用药</w:t>
            </w:r>
          </w:p>
        </w:tc>
        <w:tc>
          <w:tcPr>
            <w:tcW w:type="dxa" w:w="2436"/>
          </w:tcPr>
          <w:p>
            <w:r>
              <w:rPr>
                <w:sz w:val="21"/>
              </w:rPr>
              <w:t>药物、剂量、启停、调整原因、开立者</w:t>
            </w:r>
          </w:p>
        </w:tc>
        <w:tc>
          <w:tcPr>
            <w:tcW w:type="dxa" w:w="2436"/>
          </w:tcPr>
          <w:p>
            <w:r>
              <w:rPr>
                <w:sz w:val="21"/>
              </w:rPr>
              <w:t>EDC</w:t>
            </w:r>
          </w:p>
        </w:tc>
        <w:tc>
          <w:tcPr>
            <w:tcW w:type="dxa" w:w="2436"/>
          </w:tcPr>
          <w:p>
            <w:r>
              <w:rPr>
                <w:sz w:val="21"/>
              </w:rPr>
              <w:t>标准药物字典</w:t>
            </w:r>
          </w:p>
        </w:tc>
      </w:tr>
      <w:tr>
        <w:tc>
          <w:tcPr>
            <w:tcW w:type="dxa" w:w="2436"/>
          </w:tcPr>
          <w:p>
            <w:r>
              <w:rPr>
                <w:sz w:val="21"/>
              </w:rPr>
              <w:t>预警</w:t>
            </w:r>
          </w:p>
        </w:tc>
        <w:tc>
          <w:tcPr>
            <w:tcW w:type="dxa" w:w="2436"/>
          </w:tcPr>
          <w:p>
            <w:r>
              <w:rPr>
                <w:sz w:val="21"/>
              </w:rPr>
              <w:t>等级、触发条件、时间戳、处置、闭环</w:t>
            </w:r>
          </w:p>
        </w:tc>
        <w:tc>
          <w:tcPr>
            <w:tcW w:type="dxa" w:w="2436"/>
          </w:tcPr>
          <w:p>
            <w:r>
              <w:rPr>
                <w:sz w:val="21"/>
              </w:rPr>
              <w:t>DPM→EDC</w:t>
            </w:r>
          </w:p>
        </w:tc>
        <w:tc>
          <w:tcPr>
            <w:tcW w:type="dxa" w:w="2436"/>
          </w:tcPr>
          <w:p>
            <w:r>
              <w:rPr>
                <w:sz w:val="21"/>
              </w:rPr>
              <w:t>自动时间戳+审计追踪</w:t>
            </w:r>
          </w:p>
        </w:tc>
      </w:tr>
      <w:tr>
        <w:tc>
          <w:tcPr>
            <w:tcW w:type="dxa" w:w="2436"/>
          </w:tcPr>
          <w:p>
            <w:r>
              <w:rPr>
                <w:sz w:val="21"/>
              </w:rPr>
              <w:t>急危事件</w:t>
            </w:r>
          </w:p>
        </w:tc>
        <w:tc>
          <w:tcPr>
            <w:tcW w:type="dxa" w:w="2436"/>
          </w:tcPr>
          <w:p>
            <w:r>
              <w:rPr>
                <w:sz w:val="21"/>
              </w:rPr>
              <w:t>低/高血糖事件、酮体、转诊与结局</w:t>
            </w:r>
          </w:p>
        </w:tc>
        <w:tc>
          <w:tcPr>
            <w:tcW w:type="dxa" w:w="2436"/>
          </w:tcPr>
          <w:p>
            <w:r>
              <w:rPr>
                <w:sz w:val="21"/>
              </w:rPr>
              <w:t>EDC</w:t>
            </w:r>
          </w:p>
        </w:tc>
        <w:tc>
          <w:tcPr>
            <w:tcW w:type="dxa" w:w="2436"/>
          </w:tcPr>
          <w:p>
            <w:r>
              <w:rPr>
                <w:sz w:val="21"/>
              </w:rPr>
              <w:t>MedDRA术语+叙述</w:t>
            </w:r>
          </w:p>
        </w:tc>
      </w:tr>
    </w:tbl>
    <w:p>
      <w:r>
        <w:rPr>
          <w:b/>
          <w:sz w:val="23"/>
        </w:rPr>
        <w:t>3.2 单位与换算</w:t>
      </w:r>
    </w:p>
    <w:p>
      <w:pPr>
        <w:pStyle w:val="ListBullet"/>
      </w:pPr>
      <w:r>
        <w:t>EDC主单位：mmol/L。若设备输出mg/dL，按 mg/dL = mmol/L × 18 换算（必要时可双单位保存）。</w:t>
      </w:r>
    </w:p>
    <w:p>
      <w:pPr>
        <w:pStyle w:val="ListBullet"/>
      </w:pPr>
      <w:r>
        <w:t>TIR目标范围：70–180 mg/dL（3.9–10.0 mmol/L）。</w:t>
      </w:r>
    </w:p>
    <w:p/>
    <w:p>
      <w:r>
        <w:rPr>
          <w:b/>
          <w:sz w:val="24"/>
        </w:rPr>
        <w:t>4. 集成、逻辑锁与审计</w:t>
      </w:r>
    </w:p>
    <w:p>
      <w:r>
        <w:rPr>
          <w:b/>
          <w:sz w:val="23"/>
        </w:rPr>
        <w:t>4.1 数据同步规则（DPM ↔ EDC）</w:t>
      </w:r>
    </w:p>
    <w:p>
      <w:pPr>
        <w:pStyle w:val="ListNumber"/>
      </w:pPr>
      <w:r>
        <w:t>每日同步：DPM至少每日向EDC推送一次预警事件与汇总指标（具备条件时可近实时）。</w:t>
      </w:r>
    </w:p>
    <w:p>
      <w:pPr>
        <w:pStyle w:val="ListNumber"/>
      </w:pPr>
      <w:r>
        <w:t>来源标识：自动上传 vs 手工录入必须记录；手工录入需填写原因代码。</w:t>
      </w:r>
    </w:p>
    <w:p>
      <w:pPr>
        <w:pStyle w:val="ListNumber"/>
      </w:pPr>
      <w:r>
        <w:t>差异处理：数据管理员在5个工作日内发起查询（Query），并在EDC记录解决过程。</w:t>
      </w:r>
    </w:p>
    <w:p>
      <w:r>
        <w:rPr>
          <w:b/>
          <w:sz w:val="23"/>
        </w:rPr>
        <w:t>4.2 逻辑锁（最低配置）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21"/>
              </w:rPr>
              <w:t>里程碑</w:t>
            </w:r>
          </w:p>
        </w:tc>
        <w:tc>
          <w:tcPr>
            <w:tcW w:type="dxa" w:w="3249"/>
          </w:tcPr>
          <w:p>
            <w:r>
              <w:rPr>
                <w:b/>
                <w:sz w:val="21"/>
              </w:rPr>
              <w:t>逻辑锁条件（最低要求）</w:t>
            </w:r>
          </w:p>
        </w:tc>
        <w:tc>
          <w:tcPr>
            <w:tcW w:type="dxa" w:w="3249"/>
          </w:tcPr>
          <w:p>
            <w:r>
              <w:rPr>
                <w:b/>
                <w:sz w:val="21"/>
              </w:rPr>
              <w:t>未满足的后果</w:t>
            </w:r>
          </w:p>
        </w:tc>
      </w:tr>
      <w:tr>
        <w:tc>
          <w:tcPr>
            <w:tcW w:type="dxa" w:w="3249"/>
          </w:tcPr>
          <w:p>
            <w:r>
              <w:rPr>
                <w:sz w:val="21"/>
              </w:rPr>
              <w:t>随机/入组确认前</w:t>
            </w:r>
          </w:p>
        </w:tc>
        <w:tc>
          <w:tcPr>
            <w:tcW w:type="dxa" w:w="3249"/>
          </w:tcPr>
          <w:p>
            <w:r>
              <w:rPr>
                <w:sz w:val="21"/>
              </w:rPr>
              <w:t>完成糖尿病基线评估（HbA1c+用药+并发症清单）</w:t>
            </w:r>
          </w:p>
        </w:tc>
        <w:tc>
          <w:tcPr>
            <w:tcW w:type="dxa" w:w="3249"/>
          </w:tcPr>
          <w:p>
            <w:r>
              <w:rPr>
                <w:sz w:val="21"/>
              </w:rPr>
              <w:t>EDC阻止随机或下一步确认</w:t>
            </w:r>
          </w:p>
        </w:tc>
      </w:tr>
      <w:tr>
        <w:tc>
          <w:tcPr>
            <w:tcW w:type="dxa" w:w="3249"/>
          </w:tcPr>
          <w:p>
            <w:r>
              <w:rPr>
                <w:sz w:val="21"/>
              </w:rPr>
              <w:t>队列B W2复核</w:t>
            </w:r>
          </w:p>
        </w:tc>
        <w:tc>
          <w:tcPr>
            <w:tcW w:type="dxa" w:w="3249"/>
          </w:tcPr>
          <w:p>
            <w:r>
              <w:rPr>
                <w:sz w:val="21"/>
              </w:rPr>
              <w:t>上传AGP报告并完成内分泌解读记录</w:t>
            </w:r>
          </w:p>
        </w:tc>
        <w:tc>
          <w:tcPr>
            <w:tcW w:type="dxa" w:w="3249"/>
          </w:tcPr>
          <w:p>
            <w:r>
              <w:rPr>
                <w:sz w:val="21"/>
              </w:rPr>
              <w:t>EDC阻止W2表单完成与调药签署</w:t>
            </w:r>
          </w:p>
        </w:tc>
      </w:tr>
      <w:tr>
        <w:tc>
          <w:tcPr>
            <w:tcW w:type="dxa" w:w="3249"/>
          </w:tcPr>
          <w:p>
            <w:r>
              <w:rPr>
                <w:sz w:val="21"/>
              </w:rPr>
              <w:t>任何红灯闭环</w:t>
            </w:r>
          </w:p>
        </w:tc>
        <w:tc>
          <w:tcPr>
            <w:tcW w:type="dxa" w:w="3249"/>
          </w:tcPr>
          <w:p>
            <w:r>
              <w:rPr>
                <w:sz w:val="21"/>
              </w:rPr>
              <w:t>预警处置记录完整（措施/结局/时间戳）</w:t>
            </w:r>
          </w:p>
        </w:tc>
        <w:tc>
          <w:tcPr>
            <w:tcW w:type="dxa" w:w="3249"/>
          </w:tcPr>
          <w:p>
            <w:r>
              <w:rPr>
                <w:sz w:val="21"/>
              </w:rPr>
              <w:t>EDC阻止相关访视表单最终提交</w:t>
            </w:r>
          </w:p>
        </w:tc>
      </w:tr>
    </w:tbl>
    <w:p>
      <w:r>
        <w:rPr>
          <w:b/>
          <w:sz w:val="23"/>
        </w:rPr>
        <w:t>4.3 审计追踪与版本控制</w:t>
      </w:r>
    </w:p>
    <w:p>
      <w:pPr>
        <w:pStyle w:val="ListBullet"/>
      </w:pPr>
      <w:r>
        <w:t>预警时间戳与所有编辑必须保留审计追踪（谁/何时/改了什么）。</w:t>
      </w:r>
    </w:p>
    <w:p>
      <w:pPr>
        <w:pStyle w:val="ListBullet"/>
      </w:pPr>
      <w:r>
        <w:t>凡涉及算法阈值（如DM模块引用的TB22等）必须在EDC记录版本号与锁定日期。</w:t>
      </w:r>
    </w:p>
    <w:p/>
    <w:p>
      <w:r>
        <w:rPr>
          <w:b/>
          <w:sz w:val="24"/>
        </w:rPr>
        <w:t>5. 质量控制</w:t>
      </w:r>
    </w:p>
    <w:p>
      <w:pPr>
        <w:pStyle w:val="ListBullet"/>
      </w:pPr>
      <w:r>
        <w:t>每月数据质量报告：缺失率、重复率、来源标识分布、SLA达标情况。</w:t>
      </w:r>
    </w:p>
    <w:p>
      <w:pPr>
        <w:pStyle w:val="ListBullet"/>
      </w:pPr>
      <w:r>
        <w:t>每季度中心间复盘：逻辑锁绕过事件（应为0）及纠正措施。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