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80EF0">
      <w:pPr>
        <w:pStyle w:val="31"/>
        <w:widowControl/>
        <w:ind w:firstLine="2570" w:firstLineChars="800"/>
      </w:pPr>
      <w:r>
        <w:t>TDSC 研究标准操作规程（SOP）</w:t>
      </w:r>
    </w:p>
    <w:p w14:paraId="519F9B48">
      <w:pPr>
        <w:pStyle w:val="164"/>
        <w:widowControl/>
      </w:pPr>
      <w:r>
        <w:t>SOP07：研究药物：药物组合与药物剂量表</w:t>
      </w:r>
    </w:p>
    <w:p w14:paraId="094B15C0">
      <w:pPr>
        <w:pStyle w:val="164"/>
        <w:widowControl/>
      </w:pPr>
      <w:r>
        <w:t>Regimens &amp; Dosing Table</w:t>
      </w:r>
    </w:p>
    <w:p w14:paraId="5CF17511"/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7141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500" w:type="pct"/>
            <w:vAlign w:val="center"/>
          </w:tcPr>
          <w:p w14:paraId="137951E1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受控文件编号</w:t>
            </w:r>
          </w:p>
        </w:tc>
        <w:tc>
          <w:tcPr>
            <w:tcW w:w="2500" w:type="pct"/>
            <w:vAlign w:val="center"/>
          </w:tcPr>
          <w:p w14:paraId="11AB4B60">
            <w:pPr>
              <w:pStyle w:val="19"/>
              <w:widowControl/>
              <w:rPr>
                <w:rFonts w:hint="eastAsia" w:eastAsia="宋体"/>
                <w:lang w:eastAsia="zh-CN"/>
              </w:rPr>
            </w:pPr>
            <w:r>
              <w:t>TDSC-SOP-0</w:t>
            </w:r>
            <w:r>
              <w:rPr>
                <w:rFonts w:hint="eastAsia"/>
                <w:lang w:val="en-US" w:eastAsia="zh-CN"/>
              </w:rPr>
              <w:t>7</w:t>
            </w:r>
          </w:p>
        </w:tc>
      </w:tr>
      <w:tr w14:paraId="1A261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500" w:type="pct"/>
            <w:vAlign w:val="center"/>
          </w:tcPr>
          <w:p w14:paraId="33736EA6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版本</w:t>
            </w:r>
          </w:p>
        </w:tc>
        <w:tc>
          <w:tcPr>
            <w:tcW w:w="2500" w:type="pct"/>
            <w:vAlign w:val="center"/>
          </w:tcPr>
          <w:p w14:paraId="3127572F">
            <w:pPr>
              <w:pStyle w:val="19"/>
              <w:widowControl/>
            </w:pPr>
            <w:r>
              <w:t>V1.1</w:t>
            </w:r>
          </w:p>
        </w:tc>
      </w:tr>
      <w:tr w14:paraId="1E6CB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500" w:type="pct"/>
            <w:vAlign w:val="center"/>
          </w:tcPr>
          <w:p w14:paraId="3B3490AC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生效日期</w:t>
            </w:r>
          </w:p>
        </w:tc>
        <w:tc>
          <w:tcPr>
            <w:tcW w:w="2500" w:type="pct"/>
            <w:vAlign w:val="center"/>
          </w:tcPr>
          <w:p w14:paraId="728947D9">
            <w:pPr>
              <w:pStyle w:val="19"/>
              <w:widowControl/>
            </w:pPr>
            <w:r>
              <w:t>2026-03-04</w:t>
            </w:r>
          </w:p>
        </w:tc>
      </w:tr>
      <w:tr w14:paraId="6F12E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500" w:type="pct"/>
            <w:vAlign w:val="center"/>
          </w:tcPr>
          <w:p w14:paraId="0E1B7555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适用研究</w:t>
            </w:r>
          </w:p>
        </w:tc>
        <w:tc>
          <w:tcPr>
            <w:tcW w:w="2500" w:type="pct"/>
            <w:vAlign w:val="center"/>
          </w:tcPr>
          <w:p w14:paraId="24BC33D9">
            <w:pPr>
              <w:pStyle w:val="19"/>
              <w:widowControl/>
            </w:pPr>
            <w:r>
              <w:t>TDSC（TB-Diabetes Short Course）Study</w:t>
            </w:r>
          </w:p>
        </w:tc>
      </w:tr>
      <w:tr w14:paraId="53D2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500" w:type="pct"/>
            <w:vAlign w:val="center"/>
          </w:tcPr>
          <w:p w14:paraId="56B1A570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对应研究方案</w:t>
            </w:r>
          </w:p>
        </w:tc>
        <w:tc>
          <w:tcPr>
            <w:tcW w:w="2500" w:type="pct"/>
            <w:vAlign w:val="center"/>
          </w:tcPr>
          <w:p w14:paraId="513E3ED7">
            <w:pPr>
              <w:pStyle w:val="19"/>
              <w:widowControl/>
            </w:pPr>
            <w:r>
              <w:t>TDSC 研究方案 V2.0（2026-02-28）</w:t>
            </w:r>
          </w:p>
        </w:tc>
      </w:tr>
      <w:tr w14:paraId="255A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500" w:type="pct"/>
            <w:vAlign w:val="center"/>
          </w:tcPr>
          <w:p w14:paraId="1464BE21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起草</w:t>
            </w:r>
          </w:p>
        </w:tc>
        <w:tc>
          <w:tcPr>
            <w:tcW w:w="2500" w:type="pct"/>
            <w:vAlign w:val="center"/>
          </w:tcPr>
          <w:p w14:paraId="1268AC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________________</w:t>
            </w:r>
          </w:p>
        </w:tc>
      </w:tr>
      <w:tr w14:paraId="737AF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500" w:type="pct"/>
            <w:vAlign w:val="center"/>
          </w:tcPr>
          <w:p w14:paraId="15CA7C68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审核</w:t>
            </w:r>
          </w:p>
        </w:tc>
        <w:tc>
          <w:tcPr>
            <w:tcW w:w="2500" w:type="pct"/>
            <w:vAlign w:val="center"/>
          </w:tcPr>
          <w:p w14:paraId="7325A1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________________</w:t>
            </w:r>
          </w:p>
        </w:tc>
      </w:tr>
      <w:tr w14:paraId="337CC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500" w:type="pct"/>
            <w:vAlign w:val="center"/>
          </w:tcPr>
          <w:p w14:paraId="4F5D7C54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批准</w:t>
            </w:r>
          </w:p>
        </w:tc>
        <w:tc>
          <w:tcPr>
            <w:tcW w:w="2500" w:type="pct"/>
            <w:vAlign w:val="center"/>
          </w:tcPr>
          <w:p w14:paraId="24457F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________________</w:t>
            </w:r>
          </w:p>
        </w:tc>
      </w:tr>
    </w:tbl>
    <w:p w14:paraId="5595CF9E"/>
    <w:p w14:paraId="39651A6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目的</w:t>
      </w:r>
    </w:p>
    <w:p w14:paraId="31C6170A">
      <w:pPr>
        <w:pStyle w:val="19"/>
        <w:widowControl/>
      </w:pPr>
      <w:r>
        <w:t>建立并维护TDSC研究中各治疗臂（队列A/队列B）的研究药物组合与体重分层剂量表，作为发药、处方核对、EDC录入与质量控制的唯一依据，确保多中心用药一致性。</w:t>
      </w:r>
    </w:p>
    <w:p w14:paraId="3BB0D7E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适用范围</w:t>
      </w:r>
    </w:p>
    <w:p w14:paraId="011C86B1">
      <w:pPr>
        <w:pStyle w:val="16"/>
        <w:bidi w:val="0"/>
        <w:ind w:left="360" w:leftChars="0" w:hanging="360" w:firstLineChars="0"/>
      </w:pPr>
      <w:r>
        <w:rPr>
          <w:rFonts w:ascii="Times New Roman" w:hAnsi="Calibri" w:eastAsia="宋体" w:cs="Times New Roman"/>
          <w:sz w:val="24"/>
        </w:rPr>
        <w:t>适用于TDSC研究所有分中心、所有受试者（队列A与队列B）</w:t>
      </w:r>
      <w:r>
        <w:t>。</w:t>
      </w:r>
    </w:p>
    <w:p w14:paraId="1BBED3F4">
      <w:pPr>
        <w:pStyle w:val="16"/>
        <w:bidi w:val="0"/>
        <w:ind w:left="360" w:leftChars="0" w:hanging="360" w:firstLineChars="0"/>
      </w:pPr>
      <w:r>
        <w:rPr>
          <w:rFonts w:ascii="Times New Roman" w:hAnsi="Calibri" w:eastAsia="宋体" w:cs="Times New Roman"/>
          <w:sz w:val="24"/>
        </w:rPr>
        <w:t>覆盖研究药物方案代码、疗程结构（强化期/巩固期）以及按体重分层的每日剂量</w:t>
      </w:r>
      <w:r>
        <w:t>。</w:t>
      </w:r>
    </w:p>
    <w:p w14:paraId="6CB22115">
      <w:pPr>
        <w:pStyle w:val="16"/>
        <w:bidi w:val="0"/>
        <w:ind w:left="360" w:leftChars="0" w:hanging="360" w:firstLineChars="0"/>
      </w:pPr>
      <w:r>
        <w:rPr>
          <w:rFonts w:ascii="Times New Roman" w:hAnsi="Calibri" w:eastAsia="宋体" w:cs="Times New Roman"/>
          <w:sz w:val="24"/>
        </w:rPr>
        <w:t>本SOP不替代具体服药方法与依从性管理要求（详见SOP04）；不良反应处置与剂量调整遵循SOP10</w:t>
      </w:r>
      <w:r>
        <w:t>。</w:t>
      </w:r>
    </w:p>
    <w:p w14:paraId="0C61870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术语与缩略语</w:t>
      </w:r>
    </w:p>
    <w:tbl>
      <w:tblPr>
        <w:tblStyle w:val="33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8"/>
        <w:gridCol w:w="3318"/>
        <w:gridCol w:w="3320"/>
      </w:tblGrid>
      <w:tr w14:paraId="430B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center"/>
          </w:tcPr>
          <w:p w14:paraId="0C3D68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缩写</w:t>
            </w:r>
          </w:p>
        </w:tc>
        <w:tc>
          <w:tcPr>
            <w:tcW w:w="1666" w:type="pct"/>
            <w:vAlign w:val="center"/>
          </w:tcPr>
          <w:p w14:paraId="42AF1A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中文/英文</w:t>
            </w:r>
          </w:p>
        </w:tc>
        <w:tc>
          <w:tcPr>
            <w:tcW w:w="1667" w:type="pct"/>
            <w:vAlign w:val="center"/>
          </w:tcPr>
          <w:p w14:paraId="3EF727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F901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center"/>
          </w:tcPr>
          <w:p w14:paraId="2A984D44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H</w:t>
            </w:r>
          </w:p>
        </w:tc>
        <w:tc>
          <w:tcPr>
            <w:tcW w:w="1666" w:type="pct"/>
            <w:vAlign w:val="center"/>
          </w:tcPr>
          <w:p w14:paraId="612A52B9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异烟肼 / Isoniazid</w:t>
            </w:r>
          </w:p>
        </w:tc>
        <w:tc>
          <w:tcPr>
            <w:tcW w:w="1667" w:type="pct"/>
            <w:vAlign w:val="center"/>
          </w:tcPr>
          <w:p w14:paraId="23C22BE0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300 mg qd（见剂量表）</w:t>
            </w:r>
          </w:p>
        </w:tc>
      </w:tr>
      <w:tr w14:paraId="470E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center"/>
          </w:tcPr>
          <w:p w14:paraId="6A431819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RIF / R</w:t>
            </w:r>
          </w:p>
        </w:tc>
        <w:tc>
          <w:tcPr>
            <w:tcW w:w="1666" w:type="pct"/>
            <w:vAlign w:val="center"/>
          </w:tcPr>
          <w:p w14:paraId="545A5C53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利福平 / Rifampin</w:t>
            </w:r>
          </w:p>
        </w:tc>
        <w:tc>
          <w:tcPr>
            <w:tcW w:w="1667" w:type="pct"/>
            <w:vAlign w:val="center"/>
          </w:tcPr>
          <w:p w14:paraId="368ECB5B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用于HRZE/HR方案；按体重分层450或600 mg qd（见剂量表）。</w:t>
            </w:r>
          </w:p>
        </w:tc>
      </w:tr>
      <w:tr w14:paraId="46CAF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center"/>
          </w:tcPr>
          <w:p w14:paraId="7FA2CADB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RPT / P</w:t>
            </w:r>
          </w:p>
        </w:tc>
        <w:tc>
          <w:tcPr>
            <w:tcW w:w="1666" w:type="pct"/>
            <w:vAlign w:val="center"/>
          </w:tcPr>
          <w:p w14:paraId="2EC965D1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利福喷丁 / Rifapentine</w:t>
            </w:r>
          </w:p>
        </w:tc>
        <w:tc>
          <w:tcPr>
            <w:tcW w:w="1667" w:type="pct"/>
            <w:vAlign w:val="center"/>
          </w:tcPr>
          <w:p w14:paraId="40DAB8D7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用于HPMZ/HPM方案；按体重分层实现A1（目标20 mg/kg/日）或A2（目标15 mg/kg/日）剂量，qd（最高1200 mg/日，见剂量表）。</w:t>
            </w:r>
          </w:p>
        </w:tc>
      </w:tr>
      <w:tr w14:paraId="1057A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center"/>
          </w:tcPr>
          <w:p w14:paraId="6D647169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MFX / M</w:t>
            </w:r>
          </w:p>
        </w:tc>
        <w:tc>
          <w:tcPr>
            <w:tcW w:w="1666" w:type="pct"/>
            <w:vAlign w:val="center"/>
          </w:tcPr>
          <w:p w14:paraId="2AAF30B0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莫西沙星 / Moxifloxacin</w:t>
            </w:r>
          </w:p>
        </w:tc>
        <w:tc>
          <w:tcPr>
            <w:tcW w:w="1667" w:type="pct"/>
            <w:vAlign w:val="center"/>
          </w:tcPr>
          <w:p w14:paraId="51A984D0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400 mg qd</w:t>
            </w:r>
          </w:p>
        </w:tc>
      </w:tr>
      <w:tr w14:paraId="7A8D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center"/>
          </w:tcPr>
          <w:p w14:paraId="4028D168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EMB / E</w:t>
            </w:r>
          </w:p>
        </w:tc>
        <w:tc>
          <w:tcPr>
            <w:tcW w:w="1666" w:type="pct"/>
            <w:vAlign w:val="center"/>
          </w:tcPr>
          <w:p w14:paraId="070C063A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乙胺丁醇 / Ethambutol</w:t>
            </w:r>
          </w:p>
        </w:tc>
        <w:tc>
          <w:tcPr>
            <w:tcW w:w="1667" w:type="pct"/>
            <w:vAlign w:val="center"/>
          </w:tcPr>
          <w:p w14:paraId="32C2C866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用于HRZE强化期；按体重分层qd（见剂量表）；需至少每月视力监测，疑似视神经病变立即停E并按SOP10记录为AESI。</w:t>
            </w:r>
          </w:p>
        </w:tc>
      </w:tr>
      <w:tr w14:paraId="04E2C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center"/>
          </w:tcPr>
          <w:p w14:paraId="757BAFC2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B6</w:t>
            </w:r>
          </w:p>
        </w:tc>
        <w:tc>
          <w:tcPr>
            <w:tcW w:w="1666" w:type="pct"/>
            <w:vAlign w:val="center"/>
          </w:tcPr>
          <w:p w14:paraId="1EE8DA07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维生素B6 / Pyridoxine</w:t>
            </w:r>
          </w:p>
        </w:tc>
        <w:tc>
          <w:tcPr>
            <w:tcW w:w="1667" w:type="pct"/>
            <w:vAlign w:val="center"/>
          </w:tcPr>
          <w:p w14:paraId="1766FF9B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30 mg qd，全疗程常规补充（用于周围神经症状预防/支持，详见SOP10）。</w:t>
            </w:r>
          </w:p>
        </w:tc>
      </w:tr>
      <w:tr w14:paraId="37F5A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center"/>
          </w:tcPr>
          <w:p w14:paraId="0EC32E1D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HPMZ</w:t>
            </w:r>
          </w:p>
        </w:tc>
        <w:tc>
          <w:tcPr>
            <w:tcW w:w="1666" w:type="pct"/>
            <w:vAlign w:val="center"/>
          </w:tcPr>
          <w:p w14:paraId="7BBF9C91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利福喷丁+莫西沙星+异烟肼+吡嗪酰胺</w:t>
            </w:r>
          </w:p>
        </w:tc>
        <w:tc>
          <w:tcPr>
            <w:tcW w:w="1667" w:type="pct"/>
            <w:vAlign w:val="center"/>
          </w:tcPr>
          <w:p w14:paraId="2FC8249F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强化期组合（队列A试验组）</w:t>
            </w:r>
          </w:p>
        </w:tc>
      </w:tr>
      <w:tr w14:paraId="0FDAE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vAlign w:val="center"/>
          </w:tcPr>
          <w:p w14:paraId="670ED899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HRZE/HR</w:t>
            </w:r>
          </w:p>
        </w:tc>
        <w:tc>
          <w:tcPr>
            <w:tcW w:w="1666" w:type="pct"/>
            <w:vAlign w:val="center"/>
          </w:tcPr>
          <w:p w14:paraId="149397C1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异烟肼+利福平+吡嗪酰胺+乙胺丁醇 / 异烟肼+利福平</w:t>
            </w:r>
          </w:p>
        </w:tc>
        <w:tc>
          <w:tcPr>
            <w:tcW w:w="1667" w:type="pct"/>
            <w:vAlign w:val="center"/>
          </w:tcPr>
          <w:p w14:paraId="59DB7934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对照组与队列B方案（强化期含E；巩固期不含E）。</w:t>
            </w:r>
          </w:p>
        </w:tc>
      </w:tr>
    </w:tbl>
    <w:p w14:paraId="181C96C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职责分工</w:t>
      </w:r>
    </w:p>
    <w:p w14:paraId="560AB5A7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rPr>
          <w:rFonts w:ascii="Times New Roman" w:hAnsi="Calibri" w:eastAsia="宋体" w:cs="Times New Roman"/>
          <w:sz w:val="24"/>
          <w:szCs w:val="22"/>
          <w:lang w:val="en-US" w:eastAsia="en-US" w:bidi="ar-SA"/>
        </w:rPr>
        <w:t>研究者/研究医生：确认受试者治疗臂与疗程阶段；按本SOP开立处方并进行处方核对；必要时依据SOP10进行剂量调整/停药与记录</w:t>
      </w:r>
      <w:r>
        <w:t>。</w:t>
      </w:r>
    </w:p>
    <w:p w14:paraId="3E5EABC0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CRC：核对受试者体重与体重分层；核对处方与发药一致性；完成EDC/纸质记录。</w:t>
      </w:r>
    </w:p>
    <w:p w14:paraId="058EA3DA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药师/发药人员：按本SOP剂量表发放研究药物；核对方案代码、体重分层与剂量；完成药物台账与回收记录。</w:t>
      </w:r>
    </w:p>
    <w:p w14:paraId="474EDC0A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数据管理：维护EDC字段与逻辑核查（体重分层、剂量范围）；定期出具跨中心一致性核查报表。</w:t>
      </w:r>
    </w:p>
    <w:p w14:paraId="47C4523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药物方案概览</w:t>
      </w:r>
    </w:p>
    <w:p w14:paraId="078B0197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</w:rPr>
      </w:pPr>
      <w:r>
        <w:t>队列A（Cohort A）药物方案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3219"/>
        <w:gridCol w:w="1658"/>
        <w:gridCol w:w="1780"/>
        <w:gridCol w:w="1744"/>
      </w:tblGrid>
      <w:tr w14:paraId="66BD5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3" w:type="pct"/>
            <w:vAlign w:val="center"/>
          </w:tcPr>
          <w:p w14:paraId="1791D1A9">
            <w:pPr>
              <w:spacing w:after="0" w:line="240" w:lineRule="auto"/>
              <w:rPr>
                <w:rFonts w:ascii="Times New Roman" w:hAnsi="Calibri" w:eastAsia="宋体" w:cs="Times New Roman"/>
                <w:b/>
                <w:bCs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b/>
                <w:bCs/>
                <w:sz w:val="24"/>
                <w:szCs w:val="22"/>
                <w:lang w:val="en-US" w:eastAsia="en-US" w:bidi="ar-SA"/>
              </w:rPr>
              <w:t>组别</w:t>
            </w:r>
          </w:p>
        </w:tc>
        <w:tc>
          <w:tcPr>
            <w:tcW w:w="1615" w:type="pct"/>
            <w:vAlign w:val="center"/>
          </w:tcPr>
          <w:p w14:paraId="7F2AAB81">
            <w:pPr>
              <w:spacing w:after="0" w:line="240" w:lineRule="auto"/>
              <w:rPr>
                <w:rFonts w:ascii="Times New Roman" w:hAnsi="Calibri" w:eastAsia="宋体" w:cs="Times New Roman"/>
                <w:b/>
                <w:bCs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b/>
                <w:bCs/>
                <w:sz w:val="24"/>
                <w:szCs w:val="22"/>
                <w:lang w:val="en-US" w:eastAsia="en-US" w:bidi="ar-SA"/>
              </w:rPr>
              <w:t>组别/方案</w:t>
            </w:r>
          </w:p>
        </w:tc>
        <w:tc>
          <w:tcPr>
            <w:tcW w:w="832" w:type="pct"/>
            <w:vAlign w:val="center"/>
          </w:tcPr>
          <w:p w14:paraId="02E41CC7">
            <w:pPr>
              <w:spacing w:after="0" w:line="240" w:lineRule="auto"/>
              <w:rPr>
                <w:rFonts w:ascii="Times New Roman" w:hAnsi="Calibri" w:eastAsia="宋体" w:cs="Times New Roman"/>
                <w:b/>
                <w:bCs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b/>
                <w:bCs/>
                <w:sz w:val="24"/>
                <w:szCs w:val="22"/>
                <w:lang w:val="en-US" w:eastAsia="en-US" w:bidi="ar-SA"/>
              </w:rPr>
              <w:t>治疗时长（月）</w:t>
            </w:r>
          </w:p>
        </w:tc>
        <w:tc>
          <w:tcPr>
            <w:tcW w:w="893" w:type="pct"/>
            <w:vAlign w:val="center"/>
          </w:tcPr>
          <w:p w14:paraId="56894BC7">
            <w:pPr>
              <w:spacing w:after="0" w:line="240" w:lineRule="auto"/>
              <w:rPr>
                <w:rFonts w:ascii="Times New Roman" w:hAnsi="Calibri" w:eastAsia="宋体" w:cs="Times New Roman"/>
                <w:b/>
                <w:bCs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b/>
                <w:bCs/>
                <w:sz w:val="24"/>
                <w:szCs w:val="22"/>
                <w:lang w:val="en-US" w:eastAsia="en-US" w:bidi="ar-SA"/>
              </w:rPr>
              <w:t>强化期</w:t>
            </w:r>
          </w:p>
        </w:tc>
        <w:tc>
          <w:tcPr>
            <w:tcW w:w="875" w:type="pct"/>
            <w:vAlign w:val="center"/>
          </w:tcPr>
          <w:p w14:paraId="747C8A9F">
            <w:pPr>
              <w:spacing w:after="0" w:line="240" w:lineRule="auto"/>
              <w:rPr>
                <w:rFonts w:ascii="Times New Roman" w:hAnsi="Calibri" w:eastAsia="宋体" w:cs="Times New Roman"/>
                <w:b/>
                <w:bCs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b/>
                <w:bCs/>
                <w:sz w:val="24"/>
                <w:szCs w:val="22"/>
                <w:lang w:val="en-US" w:eastAsia="en-US" w:bidi="ar-SA"/>
              </w:rPr>
              <w:t>巩固期</w:t>
            </w:r>
          </w:p>
        </w:tc>
      </w:tr>
      <w:tr w14:paraId="76873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3" w:type="pct"/>
            <w:vAlign w:val="center"/>
          </w:tcPr>
          <w:p w14:paraId="772B9DAF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A1</w:t>
            </w:r>
          </w:p>
        </w:tc>
        <w:tc>
          <w:tcPr>
            <w:tcW w:w="1615" w:type="pct"/>
            <w:vAlign w:val="center"/>
          </w:tcPr>
          <w:p w14:paraId="4CDD09A9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试验组 1（2HP1200MZ/2HP1200M；方案标签为缩写）</w:t>
            </w:r>
          </w:p>
        </w:tc>
        <w:tc>
          <w:tcPr>
            <w:tcW w:w="832" w:type="pct"/>
            <w:vAlign w:val="center"/>
          </w:tcPr>
          <w:p w14:paraId="252C5AE7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4</w:t>
            </w:r>
          </w:p>
        </w:tc>
        <w:tc>
          <w:tcPr>
            <w:tcW w:w="893" w:type="pct"/>
            <w:vAlign w:val="center"/>
          </w:tcPr>
          <w:p w14:paraId="6ECD7E28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2 个月：H + 利福喷丁（目标20 mg/kg/日；体重分层；最高1200 mg/日）+ M + Z（HPMZ）</w:t>
            </w:r>
          </w:p>
        </w:tc>
        <w:tc>
          <w:tcPr>
            <w:tcW w:w="875" w:type="pct"/>
            <w:vAlign w:val="center"/>
          </w:tcPr>
          <w:p w14:paraId="182D2BBB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2 个月：H + 利福喷丁（同上）+ M（HPM）</w:t>
            </w:r>
          </w:p>
        </w:tc>
      </w:tr>
      <w:tr w14:paraId="42859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3" w:type="pct"/>
            <w:vAlign w:val="center"/>
          </w:tcPr>
          <w:p w14:paraId="48AE6CFD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A2</w:t>
            </w:r>
          </w:p>
        </w:tc>
        <w:tc>
          <w:tcPr>
            <w:tcW w:w="1615" w:type="pct"/>
            <w:vAlign w:val="center"/>
          </w:tcPr>
          <w:p w14:paraId="7B81E7DA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试验组 2（2HP900MZ/2HP900M；方案标签为缩写）</w:t>
            </w:r>
          </w:p>
        </w:tc>
        <w:tc>
          <w:tcPr>
            <w:tcW w:w="832" w:type="pct"/>
            <w:vAlign w:val="center"/>
          </w:tcPr>
          <w:p w14:paraId="767D4356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4</w:t>
            </w:r>
          </w:p>
        </w:tc>
        <w:tc>
          <w:tcPr>
            <w:tcW w:w="893" w:type="pct"/>
            <w:vAlign w:val="center"/>
          </w:tcPr>
          <w:p w14:paraId="6CC2D143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2 个月：H + 利福喷丁（目标15 mg/kg/日；体重分层；最高1200 mg/日）+ M + Z（HPMZ）</w:t>
            </w:r>
          </w:p>
        </w:tc>
        <w:tc>
          <w:tcPr>
            <w:tcW w:w="875" w:type="pct"/>
            <w:vAlign w:val="center"/>
          </w:tcPr>
          <w:p w14:paraId="737EDECC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2 个月：H + 利福喷丁（同上）+ M（HPM）</w:t>
            </w:r>
          </w:p>
        </w:tc>
      </w:tr>
      <w:tr w14:paraId="0F5C4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3" w:type="pct"/>
            <w:vAlign w:val="center"/>
          </w:tcPr>
          <w:p w14:paraId="1D5EB8E2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A3</w:t>
            </w:r>
          </w:p>
        </w:tc>
        <w:tc>
          <w:tcPr>
            <w:tcW w:w="1615" w:type="pct"/>
            <w:vAlign w:val="center"/>
          </w:tcPr>
          <w:p w14:paraId="41F8CE0F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对照组（2HRZE/4HR）</w:t>
            </w:r>
          </w:p>
        </w:tc>
        <w:tc>
          <w:tcPr>
            <w:tcW w:w="832" w:type="pct"/>
            <w:vAlign w:val="center"/>
          </w:tcPr>
          <w:p w14:paraId="488144CE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6</w:t>
            </w:r>
          </w:p>
        </w:tc>
        <w:tc>
          <w:tcPr>
            <w:tcW w:w="893" w:type="pct"/>
            <w:vAlign w:val="center"/>
          </w:tcPr>
          <w:p w14:paraId="454AB79A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2 个月：H + R + Z + E（HRZE）</w:t>
            </w:r>
          </w:p>
        </w:tc>
        <w:tc>
          <w:tcPr>
            <w:tcW w:w="875" w:type="pct"/>
            <w:vAlign w:val="center"/>
          </w:tcPr>
          <w:p w14:paraId="10E4192B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4 个月：H + R（HR）</w:t>
            </w:r>
          </w:p>
        </w:tc>
      </w:tr>
    </w:tbl>
    <w:p w14:paraId="758D4367"/>
    <w:p w14:paraId="7D0E5CF5">
      <w:pPr>
        <w:spacing w:after="0" w:line="240" w:lineRule="auto"/>
        <w:rPr>
          <w:rFonts w:ascii="Times New Roman" w:hAnsi="Calibri" w:eastAsia="宋体" w:cs="Times New Roman"/>
          <w:b/>
          <w:bCs/>
          <w:sz w:val="24"/>
          <w:szCs w:val="22"/>
          <w:lang w:val="en-US" w:eastAsia="en-US" w:bidi="ar-SA"/>
        </w:rPr>
      </w:pPr>
      <w:r>
        <w:rPr>
          <w:rFonts w:ascii="Times New Roman" w:hAnsi="Calibri" w:eastAsia="宋体" w:cs="Times New Roman"/>
          <w:b/>
          <w:bCs/>
          <w:sz w:val="24"/>
          <w:szCs w:val="22"/>
          <w:lang w:val="en-US" w:eastAsia="en-US" w:bidi="ar-SA"/>
        </w:rPr>
        <w:t>队列B（Cohort B）药物方案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991"/>
        <w:gridCol w:w="1992"/>
        <w:gridCol w:w="1992"/>
        <w:gridCol w:w="1992"/>
      </w:tblGrid>
      <w:tr w14:paraId="0E12E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vAlign w:val="center"/>
          </w:tcPr>
          <w:p w14:paraId="04DBC362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组别</w:t>
            </w:r>
          </w:p>
        </w:tc>
        <w:tc>
          <w:tcPr>
            <w:tcW w:w="1000" w:type="pct"/>
            <w:vAlign w:val="center"/>
          </w:tcPr>
          <w:p w14:paraId="3192880E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组别/方案</w:t>
            </w:r>
          </w:p>
        </w:tc>
        <w:tc>
          <w:tcPr>
            <w:tcW w:w="1000" w:type="pct"/>
            <w:vAlign w:val="center"/>
          </w:tcPr>
          <w:p w14:paraId="7C9CAA5D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治疗时长（月）</w:t>
            </w:r>
          </w:p>
        </w:tc>
        <w:tc>
          <w:tcPr>
            <w:tcW w:w="1000" w:type="pct"/>
            <w:vAlign w:val="center"/>
          </w:tcPr>
          <w:p w14:paraId="15DB2DAA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强化期</w:t>
            </w:r>
          </w:p>
        </w:tc>
        <w:tc>
          <w:tcPr>
            <w:tcW w:w="1000" w:type="pct"/>
            <w:vAlign w:val="center"/>
          </w:tcPr>
          <w:p w14:paraId="03CC8F8E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巩固期</w:t>
            </w:r>
          </w:p>
        </w:tc>
      </w:tr>
      <w:tr w14:paraId="42D9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vAlign w:val="center"/>
          </w:tcPr>
          <w:p w14:paraId="17F6E743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B1</w:t>
            </w:r>
          </w:p>
        </w:tc>
        <w:tc>
          <w:tcPr>
            <w:tcW w:w="1000" w:type="pct"/>
            <w:vAlign w:val="center"/>
          </w:tcPr>
          <w:p w14:paraId="6165C771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短程组（2HRZE/4HR；队列B M6随机前统一治疗）</w:t>
            </w:r>
          </w:p>
        </w:tc>
        <w:tc>
          <w:tcPr>
            <w:tcW w:w="1000" w:type="pct"/>
            <w:vAlign w:val="center"/>
          </w:tcPr>
          <w:p w14:paraId="16D57F58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6</w:t>
            </w:r>
          </w:p>
        </w:tc>
        <w:tc>
          <w:tcPr>
            <w:tcW w:w="1000" w:type="pct"/>
            <w:vAlign w:val="center"/>
          </w:tcPr>
          <w:p w14:paraId="11A6D4A7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2 个月：H + R + Z + E（HRZE）</w:t>
            </w:r>
          </w:p>
        </w:tc>
        <w:tc>
          <w:tcPr>
            <w:tcW w:w="1000" w:type="pct"/>
            <w:vAlign w:val="center"/>
          </w:tcPr>
          <w:p w14:paraId="74D208E9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4 个月：H + R（HR）</w:t>
            </w:r>
          </w:p>
        </w:tc>
      </w:tr>
      <w:tr w14:paraId="52F47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vAlign w:val="center"/>
          </w:tcPr>
          <w:p w14:paraId="74C65CEF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B2</w:t>
            </w:r>
          </w:p>
        </w:tc>
        <w:tc>
          <w:tcPr>
            <w:tcW w:w="1000" w:type="pct"/>
            <w:vAlign w:val="center"/>
          </w:tcPr>
          <w:p w14:paraId="3800F776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延长组（2HRZE/7HR；队列B M6随机后继续治疗策略）</w:t>
            </w:r>
          </w:p>
        </w:tc>
        <w:tc>
          <w:tcPr>
            <w:tcW w:w="1000" w:type="pct"/>
            <w:vAlign w:val="center"/>
          </w:tcPr>
          <w:p w14:paraId="19F82B0B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9</w:t>
            </w:r>
          </w:p>
        </w:tc>
        <w:tc>
          <w:tcPr>
            <w:tcW w:w="1000" w:type="pct"/>
            <w:vAlign w:val="center"/>
          </w:tcPr>
          <w:p w14:paraId="4A138347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2 个月：H + R + Z + E（HRZE）</w:t>
            </w:r>
          </w:p>
        </w:tc>
        <w:tc>
          <w:tcPr>
            <w:tcW w:w="1000" w:type="pct"/>
            <w:vAlign w:val="center"/>
          </w:tcPr>
          <w:p w14:paraId="2585828E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Calibri" w:eastAsia="宋体" w:cs="Times New Roman"/>
                <w:sz w:val="24"/>
                <w:szCs w:val="22"/>
                <w:lang w:val="en-US" w:eastAsia="en-US" w:bidi="ar-SA"/>
              </w:rPr>
              <w:t>7 个月：H + R（HR）</w:t>
            </w:r>
          </w:p>
        </w:tc>
      </w:tr>
    </w:tbl>
    <w:p w14:paraId="660A28F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剂量表与体重分层</w:t>
      </w:r>
    </w:p>
    <w:p w14:paraId="76A11E62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利福喷丁每日一次，建议在进食后1小时内服用；具体服药方法与记录要求见SOP04。</w:t>
      </w:r>
    </w:p>
    <w:p w14:paraId="1EC4AA54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维生素B6（30 mg）全疗程常规补充。</w:t>
      </w:r>
    </w:p>
    <w:p w14:paraId="1BBA59FB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发药时应记录当次体重及对应体重分层，并据此选取剂量；如发生跨分层变化，应在EDC中更新并注明原因。</w:t>
      </w:r>
    </w:p>
    <w:p w14:paraId="19E34CB9">
      <w:pPr>
        <w:pStyle w:val="164"/>
        <w:widowControl/>
      </w:pPr>
      <w:r>
        <w:t>剂量表（按体重分层）</w:t>
      </w:r>
    </w:p>
    <w:p w14:paraId="6EDA60E4">
      <w:pPr>
        <w:pStyle w:val="19"/>
        <w:widowControl/>
      </w:pPr>
      <w:r>
        <w:t>注：利福喷丁（Rifapentine, RPT）仅用于队列A试验组（A1/A2），并按体重分层实现臂特异目标剂量（A1=20 mg/kg/日；A2=15 mg/kg/日；最高1200 mg/日）。利福平（Rifampin, RIF）用于对照组（A3）及队列B。乙胺丁醇（Ethambutol, E）仅用于HRZE方案的强化期（前2个月），需至少每月视力监测，疑似视神经病变立即停E并按SOP10记录。利福喷丁每日一次，建议在进食后1小时内服用（详见SOP04）。维生素B6全疗程常规补充。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614"/>
        <w:gridCol w:w="741"/>
        <w:gridCol w:w="733"/>
        <w:gridCol w:w="741"/>
        <w:gridCol w:w="739"/>
        <w:gridCol w:w="741"/>
        <w:gridCol w:w="745"/>
        <w:gridCol w:w="745"/>
        <w:gridCol w:w="745"/>
        <w:gridCol w:w="745"/>
        <w:gridCol w:w="745"/>
        <w:gridCol w:w="778"/>
      </w:tblGrid>
      <w:tr w14:paraId="294BE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7" w:type="pct"/>
            <w:vAlign w:val="center"/>
          </w:tcPr>
          <w:p w14:paraId="2D109DA9">
            <w:pPr>
              <w:pStyle w:val="19"/>
              <w:widowControl/>
            </w:pPr>
            <w:r>
              <w:t>体重（kg）</w:t>
            </w:r>
          </w:p>
        </w:tc>
        <w:tc>
          <w:tcPr>
            <w:tcW w:w="308" w:type="pct"/>
            <w:vAlign w:val="center"/>
          </w:tcPr>
          <w:p w14:paraId="7E9DEB3E">
            <w:pPr>
              <w:pStyle w:val="19"/>
              <w:widowControl/>
            </w:pPr>
            <w:r>
              <w:t>≤41.2</w:t>
            </w:r>
          </w:p>
        </w:tc>
        <w:tc>
          <w:tcPr>
            <w:tcW w:w="371" w:type="pct"/>
            <w:vAlign w:val="center"/>
          </w:tcPr>
          <w:p w14:paraId="5BA07721">
            <w:pPr>
              <w:pStyle w:val="19"/>
              <w:widowControl/>
            </w:pPr>
            <w:r>
              <w:t>41.3-44.9</w:t>
            </w:r>
          </w:p>
        </w:tc>
        <w:tc>
          <w:tcPr>
            <w:tcW w:w="367" w:type="pct"/>
            <w:vAlign w:val="center"/>
          </w:tcPr>
          <w:p w14:paraId="27B7D180">
            <w:pPr>
              <w:pStyle w:val="19"/>
              <w:widowControl/>
            </w:pPr>
            <w:r>
              <w:t>45-48.7</w:t>
            </w:r>
          </w:p>
        </w:tc>
        <w:tc>
          <w:tcPr>
            <w:tcW w:w="371" w:type="pct"/>
            <w:vAlign w:val="center"/>
          </w:tcPr>
          <w:p w14:paraId="44F238ED">
            <w:pPr>
              <w:pStyle w:val="19"/>
              <w:widowControl/>
            </w:pPr>
            <w:r>
              <w:t>48.8-49.9</w:t>
            </w:r>
          </w:p>
        </w:tc>
        <w:tc>
          <w:tcPr>
            <w:tcW w:w="370" w:type="pct"/>
            <w:vAlign w:val="center"/>
          </w:tcPr>
          <w:p w14:paraId="72D477BF">
            <w:pPr>
              <w:pStyle w:val="19"/>
              <w:widowControl/>
            </w:pPr>
            <w:r>
              <w:t>50-52.5</w:t>
            </w:r>
          </w:p>
        </w:tc>
        <w:tc>
          <w:tcPr>
            <w:tcW w:w="371" w:type="pct"/>
            <w:vAlign w:val="center"/>
          </w:tcPr>
          <w:p w14:paraId="5EF7D4CA">
            <w:pPr>
              <w:pStyle w:val="19"/>
              <w:widowControl/>
            </w:pPr>
            <w:r>
              <w:t>52.6-54.9</w:t>
            </w:r>
          </w:p>
        </w:tc>
        <w:tc>
          <w:tcPr>
            <w:tcW w:w="373" w:type="pct"/>
            <w:vAlign w:val="center"/>
          </w:tcPr>
          <w:p w14:paraId="7B31C1C4">
            <w:pPr>
              <w:pStyle w:val="19"/>
              <w:widowControl/>
            </w:pPr>
            <w:r>
              <w:t>55-56.2</w:t>
            </w:r>
          </w:p>
        </w:tc>
        <w:tc>
          <w:tcPr>
            <w:tcW w:w="373" w:type="pct"/>
            <w:vAlign w:val="center"/>
          </w:tcPr>
          <w:p w14:paraId="014E77E7">
            <w:pPr>
              <w:pStyle w:val="19"/>
              <w:widowControl/>
            </w:pPr>
            <w:r>
              <w:t>56.3-64.9</w:t>
            </w:r>
          </w:p>
        </w:tc>
        <w:tc>
          <w:tcPr>
            <w:tcW w:w="373" w:type="pct"/>
            <w:vAlign w:val="center"/>
          </w:tcPr>
          <w:p w14:paraId="03076FAB">
            <w:pPr>
              <w:pStyle w:val="19"/>
              <w:widowControl/>
            </w:pPr>
            <w:r>
              <w:t>65-67.5</w:t>
            </w:r>
          </w:p>
        </w:tc>
        <w:tc>
          <w:tcPr>
            <w:tcW w:w="373" w:type="pct"/>
            <w:vAlign w:val="center"/>
          </w:tcPr>
          <w:p w14:paraId="40E9B340">
            <w:pPr>
              <w:pStyle w:val="19"/>
              <w:widowControl/>
            </w:pPr>
            <w:r>
              <w:t>67.6-70.9</w:t>
            </w:r>
          </w:p>
        </w:tc>
        <w:tc>
          <w:tcPr>
            <w:tcW w:w="373" w:type="pct"/>
            <w:vAlign w:val="center"/>
          </w:tcPr>
          <w:p w14:paraId="196F2D7F">
            <w:pPr>
              <w:pStyle w:val="19"/>
              <w:widowControl/>
            </w:pPr>
            <w:r>
              <w:t>71.0-74.9</w:t>
            </w:r>
          </w:p>
        </w:tc>
        <w:tc>
          <w:tcPr>
            <w:tcW w:w="390" w:type="pct"/>
            <w:vAlign w:val="center"/>
          </w:tcPr>
          <w:p w14:paraId="7EFC6202">
            <w:pPr>
              <w:pStyle w:val="19"/>
              <w:widowControl/>
            </w:pPr>
            <w:r>
              <w:t>≥75</w:t>
            </w:r>
          </w:p>
        </w:tc>
      </w:tr>
      <w:tr w14:paraId="225F1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7" w:type="pct"/>
            <w:vAlign w:val="center"/>
          </w:tcPr>
          <w:p w14:paraId="12EBAAA3">
            <w:pPr>
              <w:pStyle w:val="19"/>
              <w:widowControl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吡嗪酰胺</w:t>
            </w:r>
            <w:r>
              <w:t>（mg）</w:t>
            </w:r>
          </w:p>
        </w:tc>
        <w:tc>
          <w:tcPr>
            <w:tcW w:w="1419" w:type="pct"/>
            <w:gridSpan w:val="4"/>
            <w:vAlign w:val="center"/>
          </w:tcPr>
          <w:p w14:paraId="5E0625F5">
            <w:pPr>
              <w:pStyle w:val="19"/>
              <w:widowControl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2238" w:type="pct"/>
            <w:gridSpan w:val="6"/>
            <w:vAlign w:val="center"/>
          </w:tcPr>
          <w:p w14:paraId="1C47CA99">
            <w:pPr>
              <w:pStyle w:val="19"/>
              <w:widowControl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1500</w:t>
            </w:r>
          </w:p>
        </w:tc>
        <w:tc>
          <w:tcPr>
            <w:tcW w:w="764" w:type="pct"/>
            <w:gridSpan w:val="2"/>
            <w:vAlign w:val="center"/>
          </w:tcPr>
          <w:p w14:paraId="29D22030">
            <w:pPr>
              <w:pStyle w:val="19"/>
              <w:widowControl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</w:tr>
      <w:tr w14:paraId="32293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7" w:type="pct"/>
            <w:vAlign w:val="center"/>
          </w:tcPr>
          <w:p w14:paraId="173D6E42">
            <w:pPr>
              <w:pStyle w:val="19"/>
              <w:widowControl/>
            </w:pPr>
            <w:r>
              <w:t>异烟肼（mg）</w:t>
            </w:r>
          </w:p>
        </w:tc>
        <w:tc>
          <w:tcPr>
            <w:tcW w:w="4422" w:type="pct"/>
            <w:gridSpan w:val="12"/>
            <w:vAlign w:val="center"/>
          </w:tcPr>
          <w:p w14:paraId="17B9FB17">
            <w:pPr>
              <w:pStyle w:val="19"/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300</w:t>
            </w:r>
          </w:p>
        </w:tc>
      </w:tr>
      <w:tr w14:paraId="2D519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13"/>
            <w:vAlign w:val="center"/>
          </w:tcPr>
          <w:p w14:paraId="6F90C07D">
            <w:pPr>
              <w:pStyle w:val="19"/>
              <w:widowControl/>
            </w:pPr>
            <w:r>
              <w:t>队列A利福喷丁</w:t>
            </w:r>
            <w:r>
              <w:rPr>
                <w:rFonts w:hint="eastAsia"/>
                <w:lang w:val="en-US" w:eastAsia="zh-CN"/>
              </w:rPr>
              <w:t>剂量</w:t>
            </w:r>
            <w:r>
              <w:t>：A1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t>1200 mg/日；A2</w:t>
            </w:r>
            <w:r>
              <w:rPr>
                <w:rFonts w:hint="eastAsia"/>
                <w:lang w:val="en-US" w:eastAsia="zh-CN"/>
              </w:rPr>
              <w:t xml:space="preserve"> 9</w:t>
            </w:r>
            <w:r>
              <w:t>00 mg/日；建议餐后1小时内服用。</w:t>
            </w:r>
          </w:p>
        </w:tc>
      </w:tr>
      <w:tr w14:paraId="5425B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7" w:type="pct"/>
            <w:vAlign w:val="center"/>
          </w:tcPr>
          <w:p w14:paraId="3D719E28">
            <w:pPr>
              <w:pStyle w:val="19"/>
              <w:widowControl/>
            </w:pPr>
            <w:r>
              <w:t>利福喷丁（1200 mg/日</w:t>
            </w:r>
            <w:r>
              <w:rPr>
                <w:rFonts w:hint="eastAsia"/>
                <w:lang w:eastAsia="zh-CN"/>
              </w:rPr>
              <w:t>；</w:t>
            </w:r>
            <w:r>
              <w:t>Arm A2）</w:t>
            </w:r>
          </w:p>
        </w:tc>
        <w:tc>
          <w:tcPr>
            <w:tcW w:w="4422" w:type="pct"/>
            <w:gridSpan w:val="12"/>
            <w:vAlign w:val="center"/>
          </w:tcPr>
          <w:p w14:paraId="5C1A039B">
            <w:pPr>
              <w:pStyle w:val="19"/>
              <w:widowControl/>
              <w:jc w:val="center"/>
            </w:pPr>
            <w:r>
              <w:t>1200</w:t>
            </w:r>
          </w:p>
        </w:tc>
      </w:tr>
      <w:tr w14:paraId="5A637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7" w:type="pct"/>
            <w:vAlign w:val="center"/>
          </w:tcPr>
          <w:p w14:paraId="6B94E7B2">
            <w:pPr>
              <w:pStyle w:val="19"/>
              <w:widowControl/>
            </w:pPr>
            <w:r>
              <w:t>利福喷丁（</w:t>
            </w:r>
            <w:r>
              <w:rPr>
                <w:rFonts w:hint="eastAsia"/>
                <w:lang w:val="en-US" w:eastAsia="zh-CN"/>
              </w:rPr>
              <w:t>9</w:t>
            </w:r>
            <w:r>
              <w:t>00 mg/日</w:t>
            </w:r>
            <w:r>
              <w:rPr>
                <w:rFonts w:hint="eastAsia"/>
                <w:lang w:eastAsia="zh-CN"/>
              </w:rPr>
              <w:t>；</w:t>
            </w:r>
            <w:r>
              <w:t>Arm A1）</w:t>
            </w:r>
          </w:p>
        </w:tc>
        <w:tc>
          <w:tcPr>
            <w:tcW w:w="4422" w:type="pct"/>
            <w:gridSpan w:val="12"/>
            <w:vAlign w:val="center"/>
          </w:tcPr>
          <w:p w14:paraId="4C286431">
            <w:pPr>
              <w:pStyle w:val="19"/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900</w:t>
            </w:r>
          </w:p>
        </w:tc>
      </w:tr>
      <w:tr w14:paraId="12203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7" w:type="pct"/>
            <w:vAlign w:val="center"/>
          </w:tcPr>
          <w:p w14:paraId="7DA01BEC">
            <w:pPr>
              <w:pStyle w:val="19"/>
              <w:widowControl/>
            </w:pPr>
            <w:r>
              <w:t>利福平（mg）</w:t>
            </w:r>
          </w:p>
        </w:tc>
        <w:tc>
          <w:tcPr>
            <w:tcW w:w="1419" w:type="pct"/>
            <w:gridSpan w:val="4"/>
            <w:vAlign w:val="center"/>
          </w:tcPr>
          <w:p w14:paraId="2988FDA5">
            <w:pPr>
              <w:pStyle w:val="19"/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450</w:t>
            </w:r>
          </w:p>
        </w:tc>
        <w:tc>
          <w:tcPr>
            <w:tcW w:w="3002" w:type="pct"/>
            <w:gridSpan w:val="8"/>
            <w:vAlign w:val="center"/>
          </w:tcPr>
          <w:p w14:paraId="3CA3835C">
            <w:pPr>
              <w:pStyle w:val="19"/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600</w:t>
            </w:r>
          </w:p>
        </w:tc>
      </w:tr>
      <w:tr w14:paraId="16AD6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7" w:type="pct"/>
            <w:vAlign w:val="center"/>
          </w:tcPr>
          <w:p w14:paraId="11FE87AB">
            <w:pPr>
              <w:pStyle w:val="19"/>
              <w:widowControl/>
            </w:pPr>
            <w:r>
              <w:t>莫西沙星（mg）</w:t>
            </w:r>
          </w:p>
        </w:tc>
        <w:tc>
          <w:tcPr>
            <w:tcW w:w="4422" w:type="pct"/>
            <w:gridSpan w:val="12"/>
            <w:vAlign w:val="center"/>
          </w:tcPr>
          <w:p w14:paraId="1A6D4AB7">
            <w:pPr>
              <w:pStyle w:val="19"/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400</w:t>
            </w:r>
          </w:p>
        </w:tc>
      </w:tr>
      <w:tr w14:paraId="76BF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7" w:type="pct"/>
            <w:vAlign w:val="center"/>
          </w:tcPr>
          <w:p w14:paraId="1D8C1F01">
            <w:pPr>
              <w:pStyle w:val="19"/>
              <w:widowControl/>
            </w:pPr>
            <w:r>
              <w:t>乙胺丁醇（E，mg）</w:t>
            </w:r>
          </w:p>
        </w:tc>
        <w:tc>
          <w:tcPr>
            <w:tcW w:w="1419" w:type="pct"/>
            <w:gridSpan w:val="4"/>
            <w:vAlign w:val="center"/>
          </w:tcPr>
          <w:p w14:paraId="7D926474">
            <w:pPr>
              <w:pStyle w:val="19"/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750</w:t>
            </w:r>
          </w:p>
        </w:tc>
        <w:tc>
          <w:tcPr>
            <w:tcW w:w="3002" w:type="pct"/>
            <w:gridSpan w:val="8"/>
            <w:vAlign w:val="center"/>
          </w:tcPr>
          <w:p w14:paraId="1F984471">
            <w:pPr>
              <w:pStyle w:val="19"/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</w:tr>
      <w:tr w14:paraId="0B4CE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7" w:type="pct"/>
            <w:vAlign w:val="center"/>
          </w:tcPr>
          <w:p w14:paraId="3E59784B">
            <w:pPr>
              <w:pStyle w:val="19"/>
              <w:widowControl/>
            </w:pPr>
            <w:r>
              <w:t>维生素B6（mg）</w:t>
            </w:r>
          </w:p>
        </w:tc>
        <w:tc>
          <w:tcPr>
            <w:tcW w:w="4422" w:type="pct"/>
            <w:gridSpan w:val="12"/>
            <w:vAlign w:val="center"/>
          </w:tcPr>
          <w:p w14:paraId="5860ED63">
            <w:pPr>
              <w:pStyle w:val="19"/>
              <w:widowControl/>
              <w:ind w:firstLine="3840" w:firstLineChars="160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</w:tr>
    </w:tbl>
    <w:p w14:paraId="065EC10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bookmarkStart w:id="0" w:name="_GoBack"/>
      <w:bookmarkEnd w:id="0"/>
      <w:r>
        <w:t>关键记录与一致性核查</w:t>
      </w:r>
    </w:p>
    <w:p w14:paraId="7F6A26C1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治疗臂代码（A1/A2/A3/B1/B2）、疗程阶段（强化期/巩固期）与起止日期。</w:t>
      </w:r>
    </w:p>
    <w:p w14:paraId="7ED0AF1D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体重（kg）、体重分层、各药物每日剂量（mg）及给药频次（qd）。</w:t>
      </w:r>
    </w:p>
    <w:p w14:paraId="273A6432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发药数量、退药/回收数量、药片计数（如适用）及偏差记录。</w:t>
      </w:r>
    </w:p>
    <w:p w14:paraId="47EAAA20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如出现任何非方案性剂量调整/停药，须按SOP10记录并上报相应不良事件或偏差。</w:t>
      </w:r>
    </w:p>
    <w:p w14:paraId="031A803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版本管理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349B9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53A59989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版本</w:t>
            </w:r>
          </w:p>
        </w:tc>
        <w:tc>
          <w:tcPr>
            <w:tcW w:w="1250" w:type="pct"/>
          </w:tcPr>
          <w:p w14:paraId="355BB2F1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日期</w:t>
            </w:r>
          </w:p>
        </w:tc>
        <w:tc>
          <w:tcPr>
            <w:tcW w:w="1250" w:type="pct"/>
          </w:tcPr>
          <w:p w14:paraId="6501EFB7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变更说明</w:t>
            </w:r>
          </w:p>
        </w:tc>
        <w:tc>
          <w:tcPr>
            <w:tcW w:w="1250" w:type="pct"/>
          </w:tcPr>
          <w:p w14:paraId="2FC2D8E1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批准</w:t>
            </w:r>
          </w:p>
        </w:tc>
      </w:tr>
      <w:tr w14:paraId="4A9DB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252B7838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V1.0</w:t>
            </w:r>
          </w:p>
        </w:tc>
        <w:tc>
          <w:tcPr>
            <w:tcW w:w="1250" w:type="pct"/>
          </w:tcPr>
          <w:p w14:paraId="066DF657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2026-02-07</w:t>
            </w:r>
          </w:p>
        </w:tc>
        <w:tc>
          <w:tcPr>
            <w:tcW w:w="1250" w:type="pct"/>
          </w:tcPr>
          <w:p w14:paraId="021C3814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首次发布。</w:t>
            </w:r>
          </w:p>
        </w:tc>
        <w:tc>
          <w:tcPr>
            <w:tcW w:w="1250" w:type="pct"/>
          </w:tcPr>
          <w:p w14:paraId="1FD6DE21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__________</w:t>
            </w:r>
          </w:p>
        </w:tc>
      </w:tr>
      <w:tr w14:paraId="0C054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5CB7936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V1.1</w:t>
            </w:r>
          </w:p>
        </w:tc>
        <w:tc>
          <w:tcPr>
            <w:tcW w:w="1250" w:type="pct"/>
          </w:tcPr>
          <w:p w14:paraId="3806B6C3">
            <w:pPr>
              <w:spacing w:after="0" w:line="240" w:lineRule="auto"/>
            </w:pPr>
            <w:r>
              <w:rPr>
                <w:rFonts w:ascii="Times New Roman" w:hAnsi="Calibri" w:eastAsia="宋体" w:cs="Times New Roman"/>
                <w:sz w:val="24"/>
                <w:szCs w:val="20"/>
              </w:rPr>
              <w:t>2026-03-04</w:t>
            </w:r>
          </w:p>
        </w:tc>
        <w:tc>
          <w:tcPr>
            <w:tcW w:w="1250" w:type="pct"/>
          </w:tcPr>
          <w:p w14:paraId="2723193B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  <w:r>
              <w:t>与研究方案V2.0（2026-02-28）对齐：明确利福喷丁为体重分层给药（A1=20 mg/kg/日；A2=15 mg/kg/日；最高1200 mg/日，方案标签为缩写）；将HRZ/HR更新为HRZE/HR并补充乙胺丁醇（E）剂量与视力监测/停药规则；更新队列A/B方案概览与剂量表备注。</w:t>
            </w:r>
          </w:p>
        </w:tc>
        <w:tc>
          <w:tcPr>
            <w:tcW w:w="1250" w:type="pct"/>
          </w:tcPr>
          <w:p w14:paraId="2607D498">
            <w:pPr>
              <w:spacing w:after="0" w:line="240" w:lineRule="auto"/>
            </w:pPr>
            <w:r>
              <w:t>_____</w:t>
            </w:r>
          </w:p>
        </w:tc>
      </w:tr>
    </w:tbl>
    <w:p w14:paraId="10DEC41D"/>
    <w:sectPr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564995"/>
    <w:multiLevelType w:val="singleLevel"/>
    <w:tmpl w:val="B5564995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DE6D27E6"/>
    <w:multiLevelType w:val="singleLevel"/>
    <w:tmpl w:val="DE6D27E6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E8C48704"/>
    <w:multiLevelType w:val="singleLevel"/>
    <w:tmpl w:val="E8C48704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402BC6C"/>
    <w:multiLevelType w:val="singleLevel"/>
    <w:tmpl w:val="F402BC6C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130F10F4"/>
    <w:multiLevelType w:val="singleLevel"/>
    <w:tmpl w:val="130F10F4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0">
    <w:nsid w:val="7F621B52"/>
    <w:multiLevelType w:val="singleLevel"/>
    <w:tmpl w:val="7F621B5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10"/>
  </w:num>
  <w:num w:numId="9">
    <w:abstractNumId w:val="9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F5AB9"/>
    <w:rsid w:val="09880942"/>
    <w:rsid w:val="0D2564A8"/>
    <w:rsid w:val="10E326D9"/>
    <w:rsid w:val="13B10A95"/>
    <w:rsid w:val="1D547061"/>
    <w:rsid w:val="21CC3CDF"/>
    <w:rsid w:val="237A0EA4"/>
    <w:rsid w:val="237B69CA"/>
    <w:rsid w:val="3F730975"/>
    <w:rsid w:val="4CC132CB"/>
    <w:rsid w:val="51965F7A"/>
    <w:rsid w:val="64BB664B"/>
    <w:rsid w:val="64F56A42"/>
    <w:rsid w:val="66D66A1B"/>
    <w:rsid w:val="694675AC"/>
    <w:rsid w:val="6C375151"/>
    <w:rsid w:val="7F03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表格标题"/>
    <w:next w:val="1"/>
    <w:qFormat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1772</Words>
  <Characters>2550</Characters>
  <Lines>0</Lines>
  <Paragraphs>0</Paragraphs>
  <TotalTime>43</TotalTime>
  <ScaleCrop>false</ScaleCrop>
  <LinksUpToDate>false</LinksUpToDate>
  <CharactersWithSpaces>2668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2026-03-20T01:47:35Z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EBBFEAC26E174863B474946785D444C4_12</vt:lpwstr>
  </property>
</Properties>
</file>