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F0805">
      <w:pPr>
        <w:pStyle w:val="31"/>
        <w:widowControl/>
        <w:ind w:left="0" w:leftChars="0" w:firstLine="321" w:firstLineChars="100"/>
      </w:pPr>
      <w:r>
        <w:t>TDSC 研究 SOP08：研究药物—服药方法与依从性管理</w:t>
      </w:r>
    </w:p>
    <w:p w14:paraId="16AD78B4">
      <w:pPr>
        <w:pStyle w:val="26"/>
        <w:widowControl/>
      </w:pPr>
      <w:r>
        <w:t>（适用于结核病合并2型糖尿病（TB-DM）治疗队列A与队列B）</w:t>
      </w:r>
    </w:p>
    <w:p w14:paraId="7FF071AE"/>
    <w:p w14:paraId="7F6B6CAB">
      <w:pPr>
        <w:pStyle w:val="3"/>
        <w:widowControl/>
      </w:pPr>
      <w:r>
        <w:t>文件控制信息</w:t>
      </w:r>
    </w:p>
    <w:p w14:paraId="0785D542">
      <w:pPr>
        <w:pStyle w:val="19"/>
        <w:widowControl/>
        <w:rPr>
          <w:rFonts w:hint="eastAsia" w:ascii="Times New Roman" w:hAnsi="Calibri" w:eastAsia="宋体" w:cs="Times New Roman"/>
          <w:sz w:val="24"/>
          <w:lang w:eastAsia="zh-CN"/>
        </w:rPr>
      </w:pPr>
      <w:r>
        <w:rPr>
          <w:rFonts w:ascii="Times New Roman" w:hAnsi="Calibri" w:eastAsia="宋体" w:cs="Times New Roman"/>
          <w:sz w:val="24"/>
        </w:rPr>
        <w:t>SOP编号：TDSC-SOP0</w:t>
      </w:r>
      <w:r>
        <w:rPr>
          <w:rFonts w:hint="eastAsia" w:cs="Times New Roman"/>
          <w:sz w:val="24"/>
          <w:lang w:val="en-US" w:eastAsia="zh-CN"/>
        </w:rPr>
        <w:t>8</w:t>
      </w:r>
    </w:p>
    <w:p w14:paraId="04A22549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版本：V1.1</w:t>
      </w:r>
    </w:p>
    <w:p w14:paraId="2EFBF851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生效日期：2026-03-04</w:t>
      </w:r>
    </w:p>
    <w:p w14:paraId="536088C0">
      <w:pPr>
        <w:pStyle w:val="19"/>
        <w:widowControl/>
        <w:rPr>
          <w:rFonts w:hint="eastAsia" w:cs="Times New Roman"/>
          <w:sz w:val="24"/>
          <w:lang w:val="en-US" w:eastAsia="zh-CN"/>
        </w:rPr>
      </w:pPr>
      <w:r>
        <w:rPr>
          <w:rFonts w:ascii="Times New Roman" w:hAnsi="Calibri" w:eastAsia="宋体" w:cs="Times New Roman"/>
          <w:sz w:val="24"/>
        </w:rPr>
        <w:t>关联文件：TDSC研究方案V2.0（2026-02-28）；SOP0</w:t>
      </w:r>
      <w:r>
        <w:rPr>
          <w:rFonts w:hint="eastAsia" w:cs="Times New Roman"/>
          <w:sz w:val="24"/>
          <w:lang w:val="en-US" w:eastAsia="zh-CN"/>
        </w:rPr>
        <w:t>7</w:t>
      </w:r>
      <w:r>
        <w:rPr>
          <w:rFonts w:ascii="Times New Roman" w:hAnsi="Calibri" w:eastAsia="宋体" w:cs="Times New Roman"/>
          <w:sz w:val="24"/>
        </w:rPr>
        <w:t>《研究药物：药物组合与药物剂量表》（V1.1）；SOP</w:t>
      </w:r>
      <w:r>
        <w:rPr>
          <w:rFonts w:hint="eastAsia" w:cs="Times New Roman"/>
          <w:sz w:val="24"/>
          <w:lang w:val="en-US" w:eastAsia="zh-CN"/>
        </w:rPr>
        <w:t>10</w:t>
      </w:r>
      <w:r>
        <w:rPr>
          <w:rFonts w:ascii="Times New Roman" w:hAnsi="Calibri" w:eastAsia="宋体" w:cs="Times New Roman"/>
          <w:sz w:val="24"/>
        </w:rPr>
        <w:t>《DAIDS AE分级与PRO-CTCAE联合应用》；SOP</w:t>
      </w:r>
      <w:r>
        <w:rPr>
          <w:rFonts w:hint="eastAsia" w:cs="Times New Roman"/>
          <w:sz w:val="24"/>
          <w:lang w:val="en-US" w:eastAsia="zh-CN"/>
        </w:rPr>
        <w:t>09</w:t>
      </w:r>
      <w:r>
        <w:rPr>
          <w:rFonts w:ascii="Times New Roman" w:hAnsi="Calibri" w:eastAsia="宋体" w:cs="Times New Roman"/>
          <w:sz w:val="24"/>
        </w:rPr>
        <w:t>《</w:t>
      </w:r>
      <w:r>
        <w:rPr>
          <w:rFonts w:hint="eastAsia" w:cs="Times New Roman"/>
          <w:sz w:val="24"/>
          <w:lang w:val="en-US" w:eastAsia="zh-CN"/>
        </w:rPr>
        <w:t>研究药物不良反应处理方法</w:t>
      </w:r>
      <w:r>
        <w:rPr>
          <w:rFonts w:ascii="Times New Roman" w:hAnsi="Calibri" w:eastAsia="宋体" w:cs="Times New Roman"/>
          <w:sz w:val="24"/>
        </w:rPr>
        <w:t>》；</w:t>
      </w:r>
      <w:r>
        <w:rPr>
          <w:rFonts w:hint="eastAsia" w:cs="Times New Roman"/>
          <w:sz w:val="24"/>
          <w:lang w:val="en-US" w:eastAsia="zh-CN"/>
        </w:rPr>
        <w:t>SOP00《文件体系与版本控制/培训管理》。</w:t>
      </w:r>
    </w:p>
    <w:p w14:paraId="6AAE640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目的</w:t>
      </w:r>
    </w:p>
    <w:p w14:paraId="2233609A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规范TDSC研究中研究药物的发放、服用时间窗口、服药方法与依从性管理，最大化药物暴露一致性，降低服药错误与胃肠道不耐受导致的偏倚，确保受试者安全与研究数据质量。</w:t>
      </w:r>
    </w:p>
    <w:p w14:paraId="41E1144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适用范围</w:t>
      </w:r>
    </w:p>
    <w:p w14:paraId="2DFB4A56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适用于所有参加TDSC研究并接受研究方案规定抗结核治疗的受试者（队列A与队列B），以及负责发药、宣教、随访与依从性管理的研究团队成员。</w:t>
      </w:r>
    </w:p>
    <w:p w14:paraId="3EE434F7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术语与缩略语</w:t>
      </w:r>
    </w:p>
    <w:p w14:paraId="73EEB577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说明：本研究对照组/队列B的标准方案为2HRZE/4HR或2HRZE/7HR，强化期（前2个月）包含乙胺丁醇（E）。E暴露期间需至少每月视力监测（视力/色觉/视野条件允许时），疑似视神经病变应立即停E并按SOP10记录为AESI。队列A利福喷丁方案不含E。所有药物构成与剂量以SOP03为唯一依据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D17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EE454CA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术语/缩略语</w:t>
            </w:r>
          </w:p>
        </w:tc>
        <w:tc>
          <w:tcPr>
            <w:tcW w:w="2500" w:type="pct"/>
          </w:tcPr>
          <w:p w14:paraId="6C3E1FC0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定义</w:t>
            </w:r>
          </w:p>
        </w:tc>
      </w:tr>
      <w:tr w14:paraId="7D26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D08AC0A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TDSC</w:t>
            </w:r>
          </w:p>
        </w:tc>
        <w:tc>
          <w:tcPr>
            <w:tcW w:w="2500" w:type="pct"/>
          </w:tcPr>
          <w:p w14:paraId="6E457386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Tuberculosis–Diabetes Short Course（结核病-糖尿病短程治疗研究）</w:t>
            </w:r>
          </w:p>
        </w:tc>
      </w:tr>
      <w:tr w14:paraId="11034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D545C1D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TB-DM</w:t>
            </w:r>
          </w:p>
        </w:tc>
        <w:tc>
          <w:tcPr>
            <w:tcW w:w="2500" w:type="pct"/>
          </w:tcPr>
          <w:p w14:paraId="4A0F1714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Tuberculosis with Type 2 Diabetes Mellitus（结核病合并2型糖尿病）</w:t>
            </w:r>
          </w:p>
        </w:tc>
      </w:tr>
      <w:tr w14:paraId="7D1DB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2788625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H</w:t>
            </w:r>
          </w:p>
        </w:tc>
        <w:tc>
          <w:tcPr>
            <w:tcW w:w="2500" w:type="pct"/>
          </w:tcPr>
          <w:p w14:paraId="1138DEAA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异烟肼（Isoniazid）</w:t>
            </w:r>
          </w:p>
        </w:tc>
      </w:tr>
      <w:tr w14:paraId="77F2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0A636483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R</w:t>
            </w:r>
          </w:p>
        </w:tc>
        <w:tc>
          <w:tcPr>
            <w:tcW w:w="2500" w:type="pct"/>
          </w:tcPr>
          <w:p w14:paraId="443E3774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利福平（Rifampicin/Rifampin）</w:t>
            </w:r>
          </w:p>
        </w:tc>
      </w:tr>
      <w:tr w14:paraId="3B5B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E2DD7CA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P</w:t>
            </w:r>
          </w:p>
        </w:tc>
        <w:tc>
          <w:tcPr>
            <w:tcW w:w="2500" w:type="pct"/>
          </w:tcPr>
          <w:p w14:paraId="71BC462F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利福喷丁（Rifapentine）</w:t>
            </w:r>
          </w:p>
        </w:tc>
      </w:tr>
      <w:tr w14:paraId="7FA2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0917281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E</w:t>
            </w:r>
          </w:p>
        </w:tc>
        <w:tc>
          <w:tcPr>
            <w:tcW w:w="2500" w:type="pct"/>
          </w:tcPr>
          <w:p w14:paraId="47C517A3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乙胺丁醇（Ethambutol；仅HRZE强化期使用；需视力监测，疑似视神经病变立即停E并记录）</w:t>
            </w:r>
          </w:p>
        </w:tc>
      </w:tr>
      <w:tr w14:paraId="5B74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698EB782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M</w:t>
            </w:r>
          </w:p>
        </w:tc>
        <w:tc>
          <w:tcPr>
            <w:tcW w:w="2500" w:type="pct"/>
          </w:tcPr>
          <w:p w14:paraId="159B9BCA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莫西沙星（Moxifloxacin）</w:t>
            </w:r>
          </w:p>
        </w:tc>
      </w:tr>
      <w:tr w14:paraId="2FD5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4B149517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Vit B6</w:t>
            </w:r>
          </w:p>
        </w:tc>
        <w:tc>
          <w:tcPr>
            <w:tcW w:w="2500" w:type="pct"/>
          </w:tcPr>
          <w:p w14:paraId="3E9E29CD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维生素B6/吡哆醇（30 mg qd，全疗程常规补充；用于周围神经症状预防/支持，详见SOP10）</w:t>
            </w:r>
          </w:p>
        </w:tc>
      </w:tr>
      <w:tr w14:paraId="02D46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50F72FFE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DOT</w:t>
            </w:r>
          </w:p>
        </w:tc>
        <w:tc>
          <w:tcPr>
            <w:tcW w:w="2500" w:type="pct"/>
          </w:tcPr>
          <w:p w14:paraId="22C731C8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直接面视下服药（Directly Observed Therapy）</w:t>
            </w:r>
          </w:p>
        </w:tc>
      </w:tr>
      <w:tr w14:paraId="124EB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72C1F068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Video-DOT</w:t>
            </w:r>
          </w:p>
        </w:tc>
        <w:tc>
          <w:tcPr>
            <w:tcW w:w="2500" w:type="pct"/>
          </w:tcPr>
          <w:p w14:paraId="1D3B1775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视频督导服药（Video Directly Observed Therapy）</w:t>
            </w:r>
          </w:p>
        </w:tc>
      </w:tr>
      <w:tr w14:paraId="1033B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EAE7E1A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ePillbox</w:t>
            </w:r>
          </w:p>
        </w:tc>
        <w:tc>
          <w:tcPr>
            <w:tcW w:w="2500" w:type="pct"/>
          </w:tcPr>
          <w:p w14:paraId="57925E73">
            <w:pPr>
              <w:pStyle w:val="19"/>
              <w:widowControl/>
              <w:rPr>
                <w:rFonts w:ascii="Times New Roman" w:hAnsi="Calibri" w:eastAsia="宋体" w:cs="Times New Roman"/>
                <w:sz w:val="24"/>
              </w:rPr>
            </w:pPr>
            <w:r>
              <w:rPr>
                <w:rFonts w:ascii="Times New Roman" w:hAnsi="Calibri" w:eastAsia="宋体" w:cs="Times New Roman"/>
                <w:sz w:val="24"/>
              </w:rPr>
              <w:t>电子药盒/智能药盒（用于客观记录实际服药）</w:t>
            </w:r>
          </w:p>
        </w:tc>
      </w:tr>
    </w:tbl>
    <w:p w14:paraId="2E1F507B">
      <w:pPr>
        <w:pStyle w:val="4"/>
        <w:widowControl/>
      </w:pPr>
      <w:r>
        <w:t>3.1 服药时间窗口统一定义（用于全中心一致宣教）</w:t>
      </w:r>
    </w:p>
    <w:p w14:paraId="3489B4BB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为便于受试者理解与中心间一致执行，本SOP采用以下可操作性定义：</w:t>
      </w:r>
    </w:p>
    <w:p w14:paraId="5C433D8A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rFonts w:ascii="Times New Roman" w:hAnsi="Calibri" w:eastAsia="宋体" w:cs="Times New Roman"/>
          <w:b/>
          <w:sz w:val="24"/>
        </w:rPr>
      </w:pPr>
      <w:r>
        <w:rPr>
          <w:rFonts w:ascii="Times New Roman" w:hAnsi="Calibri" w:eastAsia="宋体" w:cs="Times New Roman"/>
          <w:b/>
          <w:sz w:val="24"/>
        </w:rPr>
        <w:t>空腹：</w:t>
      </w:r>
      <w:r>
        <w:rPr>
          <w:rFonts w:ascii="Times New Roman" w:hAnsi="Calibri" w:eastAsia="宋体" w:cs="Times New Roman"/>
          <w:sz w:val="24"/>
        </w:rPr>
        <w:t>餐前≥1小时 或 餐后≥2小时（优先考虑清晨空腹）。</w:t>
      </w:r>
    </w:p>
    <w:p w14:paraId="4E4037D1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rFonts w:ascii="Times New Roman" w:hAnsi="Calibri" w:eastAsia="宋体" w:cs="Times New Roman"/>
          <w:b/>
          <w:sz w:val="24"/>
        </w:rPr>
      </w:pPr>
      <w:r>
        <w:rPr>
          <w:rFonts w:ascii="Times New Roman" w:hAnsi="Calibri" w:eastAsia="宋体" w:cs="Times New Roman"/>
          <w:b/>
          <w:sz w:val="24"/>
        </w:rPr>
        <w:t>随餐：</w:t>
      </w:r>
      <w:r>
        <w:rPr>
          <w:rFonts w:ascii="Times New Roman" w:hAnsi="Calibri" w:eastAsia="宋体" w:cs="Times New Roman"/>
          <w:sz w:val="24"/>
        </w:rPr>
        <w:t>餐中或餐后≤30分钟。</w:t>
      </w:r>
    </w:p>
    <w:p w14:paraId="0C145D23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rFonts w:ascii="Times New Roman" w:hAnsi="Calibri" w:eastAsia="宋体" w:cs="Times New Roman"/>
          <w:b/>
          <w:sz w:val="24"/>
        </w:rPr>
      </w:pPr>
      <w:r>
        <w:rPr>
          <w:rFonts w:ascii="Times New Roman" w:hAnsi="Calibri" w:eastAsia="宋体" w:cs="Times New Roman"/>
          <w:b/>
          <w:sz w:val="24"/>
        </w:rPr>
        <w:t>灰区：</w:t>
      </w:r>
      <w:r>
        <w:rPr>
          <w:rFonts w:ascii="Times New Roman" w:hAnsi="Calibri" w:eastAsia="宋体" w:cs="Times New Roman"/>
          <w:sz w:val="24"/>
        </w:rPr>
        <w:t>餐后30–120分钟（尽量避免；若发生须记录原因）。</w:t>
      </w:r>
    </w:p>
    <w:p w14:paraId="47B7F4A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责任分工</w:t>
      </w:r>
    </w:p>
    <w:p w14:paraId="57E05EBB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研究医生：确认分组方案与剂量（以SOP03为准）；评估不良反应；决定是否需要调整支持治疗、处理漏服/呕吐/不耐受及必要的方案处置。</w:t>
      </w:r>
    </w:p>
    <w:p w14:paraId="477BDDFB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研究护士/CRC：完成宣教与演示；配置DOT/家庭督导与电子工具；随访核对依从性（ePillbox/Video-DOT/记录卡对账）；发现风险及时升级。</w:t>
      </w:r>
    </w:p>
    <w:p w14:paraId="209856E8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研究药师/发药人员：按随机分组与SOP03发放药品；核对批号、有效期与储存；完成发药台账与药品追溯。</w:t>
      </w:r>
    </w:p>
    <w:p w14:paraId="6DCE39F6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受试者及家庭督导员：按规定时间与方式服药；完成观察与记录；出现不适、漏服或设备异常及时联系研究团队。</w:t>
      </w:r>
    </w:p>
    <w:p w14:paraId="1EAF585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操作流程</w:t>
      </w:r>
    </w:p>
    <w:p w14:paraId="26D7CE6F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首次发药前宣教（必须完成并记录）</w:t>
      </w:r>
    </w:p>
    <w:p w14:paraId="5A02640F">
      <w:pPr>
        <w:pStyle w:val="19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解释“空腹/随餐/灰区”等关键概念，并结合受试者日常作息举例确认其理解。</w:t>
      </w:r>
    </w:p>
    <w:p w14:paraId="5CC6C123">
      <w:pPr>
        <w:pStyle w:val="19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强调本研究要求尽量保持“每日同一时间、同一方式服药”，以保持稳定药物暴露。</w:t>
      </w:r>
    </w:p>
    <w:p w14:paraId="3008B0C7">
      <w:pPr>
        <w:pStyle w:val="19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配置依从性监测方式：按研究方案优先采用DOT（医务人员或经培训家庭督导员）并结合电子药盒和/或Video-DOT。</w:t>
      </w:r>
    </w:p>
    <w:p w14:paraId="10F0DA2E">
      <w:pPr>
        <w:pStyle w:val="19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发放《服药记录卡》（附件A）与《服药时间窗口速查卡》（附件B），现场示范填写。</w:t>
      </w:r>
    </w:p>
    <w:p w14:paraId="3B632A5C">
      <w:pPr>
        <w:pStyle w:val="19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核对并用药物与可能相互作用/影响吸收的制剂（如抗酸药、含金属离子补充剂等）；如需间隔，由研究医生给出个体化建议，并记录。</w:t>
      </w:r>
    </w:p>
    <w:p w14:paraId="142C6F4F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依从性监测与对账（DOT + 电子工具为主）</w:t>
      </w:r>
    </w:p>
    <w:p w14:paraId="78414F23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ascii="Times New Roman" w:hAnsi="Calibri" w:eastAsia="宋体" w:cs="Times New Roman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DOT安排：住院或门诊条件允许时由医务人员面视；出院后由经培训的家庭督导员执行DOT，并按规定上传Video-DOT或使用ePillbox记录。</w:t>
      </w:r>
    </w:p>
    <w:p w14:paraId="161FCB8B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ascii="Times New Roman" w:hAnsi="Calibri" w:eastAsia="宋体" w:cs="Times New Roman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ePillbox：研究团队在每次访视下载/核对电子药盒数据，作为主要依从性数据源；若设备故障或缺失，需用Video-DOT与记录卡补证并注明原因。</w:t>
      </w:r>
    </w:p>
    <w:p w14:paraId="59975FE4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ascii="Times New Roman" w:hAnsi="Calibri" w:eastAsia="宋体" w:cs="Times New Roman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Video-DOT：用于补充或强化依从性监督（按中心统一平台执行）；须避免泄露隐私信息。</w:t>
      </w:r>
    </w:p>
    <w:p w14:paraId="2C26CBD2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对账频率：至少每次随访进行一次对账；治疗早期可根据中心管理需要提高频次。</w:t>
      </w:r>
    </w:p>
    <w:p w14:paraId="4DA9F2E3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纠正措施：当依从性下降且可能影响“规定疗程完成（如PP人群所需服药率≥80%）”时，应立即启动再宣教、督导强化或设备更换，并记录纠正过程。</w:t>
      </w:r>
    </w:p>
    <w:p w14:paraId="325B5CC8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通用服药原则（所有分组通用）</w:t>
      </w:r>
    </w:p>
    <w:p w14:paraId="702E1243">
      <w:pPr>
        <w:pStyle w:val="19"/>
        <w:widowControl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方案与剂量以SOP03为唯一依据；任何剂量/方案变更必须由研究医生依据方案与不良反应处置流程决定，并完成记录。</w:t>
      </w:r>
    </w:p>
    <w:p w14:paraId="73C9A7D7">
      <w:pPr>
        <w:pStyle w:val="19"/>
        <w:widowControl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同日药物尽量同一时点服用（顿服），并保持固定餐次/固定窗口。</w:t>
      </w:r>
    </w:p>
    <w:p w14:paraId="3FC91C24">
      <w:pPr>
        <w:pStyle w:val="19"/>
        <w:widowControl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充足饮水整粒吞服；避免自行掰碎/研磨（除非研究医生另有指示）。</w:t>
      </w:r>
    </w:p>
    <w:p w14:paraId="10CB73FF">
      <w:pPr>
        <w:pStyle w:val="19"/>
        <w:widowControl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如出现明显胃肠道反应：优先通过“随餐/足量饮水/调整吞服方式”等支持措施缓解；仍不能耐受者须联系研究医生评估，不得自行停药。</w:t>
      </w:r>
    </w:p>
    <w:p w14:paraId="501EB454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方案特异服药要求（以方案代码区分）</w:t>
      </w:r>
    </w:p>
    <w:p w14:paraId="26579AA6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提示：本节仅规定服药“时间窗口与方法”。具体药物构成与剂量分带详见SOP03。</w:t>
      </w:r>
    </w:p>
    <w:p w14:paraId="6C997501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补充说明（E视神经毒性预警）：凡执行含E的HRZE强化期方案，应至少每月评估视力（建议含色觉/视野条件允许时），并对“视力下降、视物模糊、色觉异常”等进行宣教与主动询问；一旦怀疑视神经病变，立即停用E并按SOP10作为AESI记录与报告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2247"/>
        <w:gridCol w:w="1673"/>
        <w:gridCol w:w="1662"/>
        <w:gridCol w:w="1646"/>
      </w:tblGrid>
      <w:tr w14:paraId="430F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pct"/>
          </w:tcPr>
          <w:p w14:paraId="6487BBDF">
            <w:pPr>
              <w:spacing w:after="0" w:line="240" w:lineRule="auto"/>
            </w:pPr>
            <w:r>
              <w:t>适用队列</w:t>
            </w:r>
          </w:p>
        </w:tc>
        <w:tc>
          <w:tcPr>
            <w:tcW w:w="1268" w:type="pct"/>
          </w:tcPr>
          <w:p w14:paraId="19186246">
            <w:pPr>
              <w:spacing w:after="0" w:line="240" w:lineRule="auto"/>
            </w:pPr>
            <w:r>
              <w:t>方案代码（示例）</w:t>
            </w:r>
          </w:p>
        </w:tc>
        <w:tc>
          <w:tcPr>
            <w:tcW w:w="944" w:type="pct"/>
          </w:tcPr>
          <w:p w14:paraId="1A3458BD">
            <w:pPr>
              <w:spacing w:after="0" w:line="240" w:lineRule="auto"/>
            </w:pPr>
            <w:r>
              <w:t>关键服药要求</w:t>
            </w:r>
          </w:p>
        </w:tc>
        <w:tc>
          <w:tcPr>
            <w:tcW w:w="938" w:type="pct"/>
          </w:tcPr>
          <w:p w14:paraId="2EC70ADF">
            <w:pPr>
              <w:spacing w:after="0" w:line="240" w:lineRule="auto"/>
            </w:pPr>
            <w:r>
              <w:t>推荐时间窗口</w:t>
            </w:r>
          </w:p>
        </w:tc>
        <w:tc>
          <w:tcPr>
            <w:tcW w:w="929" w:type="pct"/>
          </w:tcPr>
          <w:p w14:paraId="39B6C719">
            <w:pPr>
              <w:spacing w:after="0" w:line="240" w:lineRule="auto"/>
            </w:pPr>
            <w:r>
              <w:t>记录要点</w:t>
            </w:r>
          </w:p>
        </w:tc>
      </w:tr>
      <w:tr w14:paraId="6664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pct"/>
          </w:tcPr>
          <w:p w14:paraId="0353CE2A">
            <w:pPr>
              <w:spacing w:after="0" w:line="240" w:lineRule="auto"/>
            </w:pPr>
            <w:r>
              <w:t>队列A</w:t>
            </w:r>
          </w:p>
        </w:tc>
        <w:tc>
          <w:tcPr>
            <w:tcW w:w="1268" w:type="pct"/>
          </w:tcPr>
          <w:p w14:paraId="0F696808">
            <w:pPr>
              <w:spacing w:after="0" w:line="240" w:lineRule="auto"/>
            </w:pPr>
            <w:r>
              <w:t>2HP1200MZ/2HPM；2HP900MZ/2HPM（含P）</w:t>
            </w:r>
          </w:p>
        </w:tc>
        <w:tc>
          <w:tcPr>
            <w:tcW w:w="944" w:type="pct"/>
          </w:tcPr>
          <w:p w14:paraId="1515AA0D">
            <w:pPr>
              <w:spacing w:after="0" w:line="240" w:lineRule="auto"/>
            </w:pPr>
            <w:r>
              <w:t>利福喷丁（P）需随餐服用以增加吸收；建议将当日所有药物与同一顿主餐同服（“三明治法”）以减少错误。漏服处理遵循“尽快补服、避免加倍”原则（见5.5；同日漏服且距下一次给药&gt;12小时可补服1次）。</w:t>
            </w:r>
          </w:p>
        </w:tc>
        <w:tc>
          <w:tcPr>
            <w:tcW w:w="938" w:type="pct"/>
          </w:tcPr>
          <w:p w14:paraId="1CC4EE7E">
            <w:pPr>
              <w:spacing w:after="0" w:line="240" w:lineRule="auto"/>
            </w:pPr>
            <w:r>
              <w:t>随餐：餐中或餐后≤30分钟（或按方案要求餐后1小时内）；尽量避免灰区。</w:t>
            </w:r>
          </w:p>
        </w:tc>
        <w:tc>
          <w:tcPr>
            <w:tcW w:w="929" w:type="pct"/>
          </w:tcPr>
          <w:p w14:paraId="7700679B">
            <w:pPr>
              <w:spacing w:after="0" w:line="240" w:lineRule="auto"/>
            </w:pPr>
            <w:r>
              <w:t>记录是否随餐/餐后≤1小时及是否进入灰区；记录漏服与补服（如适用）及原因。</w:t>
            </w:r>
          </w:p>
        </w:tc>
      </w:tr>
      <w:tr w14:paraId="047D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9" w:type="pct"/>
          </w:tcPr>
          <w:p w14:paraId="5396A79E">
            <w:pPr>
              <w:spacing w:after="0" w:line="240" w:lineRule="auto"/>
            </w:pPr>
            <w:r>
              <w:t>队列A/队列B</w:t>
            </w:r>
          </w:p>
        </w:tc>
        <w:tc>
          <w:tcPr>
            <w:tcW w:w="1268" w:type="pct"/>
          </w:tcPr>
          <w:p w14:paraId="091C557F">
            <w:pPr>
              <w:spacing w:after="0" w:line="240" w:lineRule="auto"/>
            </w:pPr>
            <w:r>
              <w:t>2HRZE/4HR（对照/短程）；2HRZE/7HR（延长；队列B继续策略）</w:t>
            </w:r>
          </w:p>
        </w:tc>
        <w:tc>
          <w:tcPr>
            <w:tcW w:w="944" w:type="pct"/>
          </w:tcPr>
          <w:p w14:paraId="5306242F">
            <w:pPr>
              <w:spacing w:after="0" w:line="240" w:lineRule="auto"/>
            </w:pPr>
            <w:r>
              <w:t>利福平（R）为核心方案时，优先空腹顿服以优化暴露；若空腹不耐受，可在研究医生指导下选择替代窗口并保持一致。HRZE强化期包含乙胺丁醇（E），需按月进行视力监测并宣教识别视力下降/视物模糊/色觉异常等症状。</w:t>
            </w:r>
          </w:p>
        </w:tc>
        <w:tc>
          <w:tcPr>
            <w:tcW w:w="938" w:type="pct"/>
          </w:tcPr>
          <w:p w14:paraId="2EE60191">
            <w:pPr>
              <w:spacing w:after="0" w:line="240" w:lineRule="auto"/>
            </w:pPr>
            <w:r>
              <w:t>优先空腹：餐前≥1小时或餐后≥2小时（如清晨空腹）；必要时采用中心一致的替代窗口。</w:t>
            </w:r>
          </w:p>
        </w:tc>
        <w:tc>
          <w:tcPr>
            <w:tcW w:w="929" w:type="pct"/>
          </w:tcPr>
          <w:p w14:paraId="689E0410">
            <w:pPr>
              <w:spacing w:after="0" w:line="240" w:lineRule="auto"/>
            </w:pPr>
            <w:r>
              <w:t>记录实际服药时间与窗口类型；如由空腹改为替代窗口需记录原因及批准人；E暴露期记录视力监测完成情况与异常处置。</w:t>
            </w:r>
          </w:p>
        </w:tc>
      </w:tr>
    </w:tbl>
    <w:p w14:paraId="2A6A8763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漏服/错服/呕吐等特殊情况处理（原则性处置）</w:t>
      </w:r>
    </w:p>
    <w:p w14:paraId="43B7A4F0">
      <w:pPr>
        <w:pStyle w:val="19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漏服：遵循“尽快补服、避免加倍”原则。对含利福喷丁（P）的方案：若同日发现漏服且距下一次计划给药&gt;12小时，可在当日补服1次（尽量仍满足随餐/餐后≤1小时窗口）；若≤12小时则跳过漏服剂量，次日按原计划恢复，不得加倍。对其他方案亦参照上述“&gt;12小时可补服1次；≤12小时跳过”规则执行。所有漏服/补服须记录并及时告知研究团队。</w:t>
      </w:r>
    </w:p>
    <w:p w14:paraId="26F65442">
      <w:pPr>
        <w:pStyle w:val="19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错服（时间窗口错误或药物错误）：应立即联系研究团队；研究医生评估风险并给出处置；须按方案偏差流程记录（含原因、影响评估与纠正措施）。</w:t>
      </w:r>
    </w:p>
    <w:p w14:paraId="45ED3FA9">
      <w:pPr>
        <w:pStyle w:val="19"/>
        <w:widowControl/>
        <w:numPr>
          <w:ilvl w:val="0"/>
          <w:numId w:val="13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呕吐：服药后发生呕吐时，受试者应停止自行补服并立即联系研究团队。研究医生结合呕吐发生时间（距服药时间）、症状程度与药物吸收特点评估是否需要补服或观察，并记录处置结论。</w:t>
      </w:r>
    </w:p>
    <w:p w14:paraId="59084E4F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b/>
        </w:rPr>
      </w:pPr>
      <w:r>
        <w:t>记录与EDC填写要点</w:t>
      </w:r>
    </w:p>
    <w:p w14:paraId="7AAE3C39">
      <w:pPr>
        <w:pStyle w:val="19"/>
        <w:widowControl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核心字段：实际服药时间；窗口类型（空腹/随餐/灰区）；DOT执行者；ePillbox/Video-DOT证据；漏服/呕吐/不耐受及处理。</w:t>
      </w:r>
    </w:p>
    <w:p w14:paraId="1D0048D1">
      <w:pPr>
        <w:pStyle w:val="19"/>
        <w:widowControl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如餐后30–120分钟服药，须勾选“进入灰区”并在备注栏写明原因。</w:t>
      </w:r>
    </w:p>
    <w:p w14:paraId="10F837D8">
      <w:pPr>
        <w:pStyle w:val="19"/>
        <w:widowControl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研究团队需在源文件中保留：宣教完成记录、DOT/设备配置记录、依从性对账记录、纠正措施记录。</w:t>
      </w:r>
    </w:p>
    <w:p w14:paraId="30CD02C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</w:rPr>
      </w:pPr>
      <w:r>
        <w:t>质量控制（QC）</w:t>
      </w:r>
    </w:p>
    <w:p w14:paraId="18095A94">
      <w:pPr>
        <w:pStyle w:val="19"/>
        <w:widowControl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中心启动前培训：统一时间窗口定义、方案代码口径、DOT与电子工具流程。</w:t>
      </w:r>
    </w:p>
    <w:p w14:paraId="641E633C">
      <w:pPr>
        <w:pStyle w:val="19"/>
        <w:widowControl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定期抽查：PMO/数据管理抽查ePillbox与EDC记录一致性；发现系统性偏差需组织再培训。</w:t>
      </w:r>
    </w:p>
    <w:p w14:paraId="3079AA83">
      <w:pPr>
        <w:pStyle w:val="19"/>
        <w:widowControl/>
        <w:numPr>
          <w:ilvl w:val="0"/>
          <w:numId w:val="15"/>
        </w:numPr>
        <w:topLinePunct w:val="0"/>
        <w:ind w:left="0" w:leftChars="0" w:firstLine="0" w:firstLineChars="0"/>
        <w:rPr>
          <w:rFonts w:hint="eastAsia" w:ascii="宋体" w:hAnsi="宋体" w:eastAsia="宋体" w:cs="宋体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关键偏差：连续漏服、依从性显著下降、擅自停药或不按规定时间窗长期服药，均需按偏差流程记录并评估对主要终点的潜在影响。</w:t>
      </w:r>
    </w:p>
    <w:p w14:paraId="322C14B3">
      <w:pPr>
        <w:pStyle w:val="164"/>
        <w:widowControl/>
      </w:pPr>
      <w:r>
        <w:t>附件A：服药记录卡（示例字段）</w:t>
      </w:r>
    </w:p>
    <w:p w14:paraId="7698C616">
      <w:pPr>
        <w:pStyle w:val="19"/>
        <w:widowControl/>
        <w:rPr>
          <w:rFonts w:ascii="Times New Roman" w:hAnsi="Calibri" w:eastAsia="宋体" w:cs="Times New Roman"/>
          <w:sz w:val="24"/>
        </w:rPr>
      </w:pPr>
      <w:r>
        <w:rPr>
          <w:rFonts w:ascii="Times New Roman" w:hAnsi="Calibri" w:eastAsia="宋体" w:cs="Times New Roman"/>
          <w:sz w:val="24"/>
        </w:rPr>
        <w:t>日期｜方案代码｜实际服药时间｜空腹/随餐/灰区｜DOT执行者｜ePillbox记录（是/否）｜Video-DOT（是/否）｜漏服/呕吐/不适（简述）｜备注/联系研究团队（时间）</w:t>
      </w:r>
    </w:p>
    <w:p w14:paraId="087C5C50">
      <w:pPr>
        <w:pStyle w:val="164"/>
        <w:widowControl/>
      </w:pPr>
      <w:r>
        <w:t>附件B：服药时间窗口速查卡（现场宣教用）</w:t>
      </w:r>
    </w:p>
    <w:p w14:paraId="06650209">
      <w:pPr>
        <w:pStyle w:val="19"/>
        <w:widowControl/>
        <w:numPr>
          <w:ilvl w:val="0"/>
          <w:numId w:val="16"/>
        </w:numPr>
        <w:ind w:left="0" w:leftChars="0" w:firstLine="0" w:firstLineChars="0"/>
        <w:rPr>
          <w:rFonts w:ascii="Times New Roman" w:hAnsi="Calibri" w:eastAsia="宋体" w:cs="Times New Roman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含利福喷丁（P）的方案：随餐服用（餐中或餐后≤30分钟，或按方案要求餐后≤1小时）；尽量避免餐后30–120分钟灰区。</w:t>
      </w:r>
    </w:p>
    <w:p w14:paraId="09AE463D">
      <w:pPr>
        <w:pStyle w:val="19"/>
        <w:widowControl/>
        <w:numPr>
          <w:ilvl w:val="0"/>
          <w:numId w:val="16"/>
        </w:numPr>
        <w:ind w:left="0" w:leftChars="0" w:firstLine="0" w:firstLineChars="0"/>
        <w:rPr>
          <w:rFonts w:ascii="Times New Roman" w:hAnsi="Calibri" w:eastAsia="宋体" w:cs="Times New Roman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含利福平（R）的方案：优先空腹（餐前≥1小时或餐后≥2小时），如不耐受请联系研究医生，不要自行改变。HRZE强化期含乙胺丁醇（E），需按月做视力监测并及时报告视力下降/色觉异常。</w:t>
      </w:r>
      <w:bookmarkStart w:id="0" w:name="_GoBack"/>
      <w:bookmarkEnd w:id="0"/>
    </w:p>
    <w:p w14:paraId="3A805630">
      <w:pPr>
        <w:pStyle w:val="19"/>
        <w:widowControl/>
        <w:numPr>
          <w:ilvl w:val="0"/>
          <w:numId w:val="16"/>
        </w:numPr>
        <w:ind w:left="0" w:leftChars="0" w:firstLine="0" w:firstLineChars="0"/>
        <w:rPr>
          <w:rFonts w:ascii="Times New Roman" w:hAnsi="Calibri" w:eastAsia="宋体" w:cs="Times New Roman"/>
          <w:b w:val="0"/>
          <w:sz w:val="24"/>
        </w:rPr>
      </w:pPr>
      <w:r>
        <w:rPr>
          <w:rFonts w:ascii="Times New Roman" w:hAnsi="Calibri" w:eastAsia="宋体" w:cs="Times New Roman"/>
          <w:sz w:val="24"/>
        </w:rPr>
        <w:t>发现漏服/呕吐/严重不适：不要自行加倍补服或停药。一般规则：同日漏服且距下一次给药&gt;12小时可补服1次，≤12小时跳过；尽快联系研究团队并如实记录。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1CBF29"/>
    <w:multiLevelType w:val="singleLevel"/>
    <w:tmpl w:val="941CBF2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">
    <w:nsid w:val="C0E2316E"/>
    <w:multiLevelType w:val="singleLevel"/>
    <w:tmpl w:val="C0E2316E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2">
    <w:nsid w:val="CAC51E09"/>
    <w:multiLevelType w:val="singleLevel"/>
    <w:tmpl w:val="CAC51E0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3">
    <w:nsid w:val="CE789C99"/>
    <w:multiLevelType w:val="singleLevel"/>
    <w:tmpl w:val="CE789C99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4">
    <w:nsid w:val="D7B8DE8B"/>
    <w:multiLevelType w:val="singleLevel"/>
    <w:tmpl w:val="D7B8DE8B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5">
    <w:nsid w:val="FC23AC43"/>
    <w:multiLevelType w:val="singleLevel"/>
    <w:tmpl w:val="FC23AC43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04C0F75B"/>
    <w:multiLevelType w:val="singleLevel"/>
    <w:tmpl w:val="04C0F75B"/>
    <w:lvl w:ilvl="0" w:tentative="0">
      <w:start w:val="1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3">
    <w:nsid w:val="3A108805"/>
    <w:multiLevelType w:val="singleLevel"/>
    <w:tmpl w:val="3A108805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4">
    <w:nsid w:val="602BF1FC"/>
    <w:multiLevelType w:val="singleLevel"/>
    <w:tmpl w:val="602BF1FC"/>
    <w:lvl w:ilvl="0" w:tentative="0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</w:abstractNum>
  <w:abstractNum w:abstractNumId="15">
    <w:nsid w:val="747C6413"/>
    <w:multiLevelType w:val="singleLevel"/>
    <w:tmpl w:val="747C6413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4"/>
  </w:num>
  <w:num w:numId="8">
    <w:abstractNumId w:val="12"/>
  </w:num>
  <w:num w:numId="9">
    <w:abstractNumId w:val="13"/>
  </w:num>
  <w:num w:numId="10">
    <w:abstractNumId w:val="1"/>
  </w:num>
  <w:num w:numId="11">
    <w:abstractNumId w:val="3"/>
  </w:num>
  <w:num w:numId="12">
    <w:abstractNumId w:val="5"/>
  </w:num>
  <w:num w:numId="13">
    <w:abstractNumId w:val="0"/>
  </w:num>
  <w:num w:numId="14">
    <w:abstractNumId w:val="15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E07976"/>
    <w:rsid w:val="471A0423"/>
    <w:rsid w:val="5C6A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widowControl/>
      <w:spacing w:before="160" w:after="40" w:line="240" w:lineRule="auto"/>
      <w:ind w:left="0" w:leftChars="0" w:firstLine="0" w:firstLineChars="0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widowControl/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/>
      <w:spacing w:before="240" w:after="120" w:line="240" w:lineRule="auto"/>
      <w:ind w:firstLine="2249" w:firstLineChars="700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widowControl/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3126</Words>
  <Characters>3702</Characters>
  <Lines>0</Lines>
  <Paragraphs>0</Paragraphs>
  <TotalTime>10</TotalTime>
  <ScaleCrop>false</ScaleCrop>
  <LinksUpToDate>false</LinksUpToDate>
  <CharactersWithSpaces>3725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2026-03-13T06:14:21Z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DEEAC6D619B0463F8C8B104CCD5A1283_12</vt:lpwstr>
  </property>
</Properties>
</file>