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54005">
      <w:pPr>
        <w:pStyle w:val="31"/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>TDSC 项目</w:t>
      </w: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>治疗中断和恢复标准操作规程（SOP）</w:t>
      </w:r>
    </w:p>
    <w:p w14:paraId="6B910B9E">
      <w:pPr>
        <w:pStyle w:val="26"/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color w:val="5A5A5A"/>
          <w:sz w:val="24"/>
          <w:szCs w:val="24"/>
        </w:rPr>
        <w:t>Draft v1.0 | 基于 TDSC 方案 V2.0 与深度调研报告形成的研究专用版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1596F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C464B2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文件名称</w:t>
            </w:r>
          </w:p>
        </w:tc>
        <w:tc>
          <w:tcPr>
            <w:tcW w:w="3118" w:type="dxa"/>
            <w:shd w:val="clear" w:color="auto" w:fill="F7FBFE"/>
            <w:vAlign w:val="center"/>
          </w:tcPr>
          <w:p w14:paraId="2F3CE43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治疗中断和恢复 SOP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A2712A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适用项目</w:t>
            </w:r>
          </w:p>
        </w:tc>
        <w:tc>
          <w:tcPr>
            <w:tcW w:w="3118" w:type="dxa"/>
            <w:shd w:val="clear" w:color="auto" w:fill="F7FBFE"/>
            <w:vAlign w:val="center"/>
          </w:tcPr>
          <w:p w14:paraId="0E8BBE9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TDSC</w:t>
            </w:r>
          </w:p>
        </w:tc>
      </w:tr>
      <w:tr w14:paraId="7F66F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83B051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版本号</w:t>
            </w:r>
          </w:p>
        </w:tc>
        <w:tc>
          <w:tcPr>
            <w:tcW w:w="3118" w:type="dxa"/>
            <w:shd w:val="clear" w:color="auto" w:fill="F7FBFE"/>
            <w:vAlign w:val="center"/>
          </w:tcPr>
          <w:p w14:paraId="2317597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v1.0（Draft）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E24425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生效日期</w:t>
            </w:r>
          </w:p>
        </w:tc>
        <w:tc>
          <w:tcPr>
            <w:tcW w:w="3118" w:type="dxa"/>
            <w:shd w:val="clear" w:color="auto" w:fill="F7FBFE"/>
            <w:vAlign w:val="center"/>
          </w:tcPr>
          <w:p w14:paraId="79FE346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待批准</w:t>
            </w:r>
          </w:p>
        </w:tc>
      </w:tr>
      <w:tr w14:paraId="1012F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E0A122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拟定依据</w:t>
            </w:r>
          </w:p>
        </w:tc>
        <w:tc>
          <w:tcPr>
            <w:tcW w:w="3118" w:type="dxa"/>
            <w:shd w:val="clear" w:color="auto" w:fill="F7FBFE"/>
            <w:vAlign w:val="center"/>
          </w:tcPr>
          <w:p w14:paraId="683B92B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TDSC 研究方案 V2.0；治疗中断与恢复深度调研报告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9943D0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适用对象</w:t>
            </w:r>
          </w:p>
        </w:tc>
        <w:tc>
          <w:tcPr>
            <w:tcW w:w="3118" w:type="dxa"/>
            <w:shd w:val="clear" w:color="auto" w:fill="F7FBFE"/>
            <w:vAlign w:val="center"/>
          </w:tcPr>
          <w:p w14:paraId="47D9665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研究医生、研究护士、药师、数据管理员</w:t>
            </w:r>
          </w:p>
        </w:tc>
      </w:tr>
      <w:tr w14:paraId="047E2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8F1B69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文件属性</w:t>
            </w:r>
          </w:p>
        </w:tc>
        <w:tc>
          <w:tcPr>
            <w:tcW w:w="3118" w:type="dxa"/>
            <w:shd w:val="clear" w:color="auto" w:fill="F7FBFE"/>
            <w:vAlign w:val="center"/>
          </w:tcPr>
          <w:p w14:paraId="2D15278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研究专用操作文件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2B12F8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替代范围</w:t>
            </w:r>
          </w:p>
        </w:tc>
        <w:tc>
          <w:tcPr>
            <w:tcW w:w="3118" w:type="dxa"/>
            <w:shd w:val="clear" w:color="auto" w:fill="F7FBFE"/>
            <w:vAlign w:val="center"/>
          </w:tcPr>
          <w:p w14:paraId="3459156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不替代临床急救与当地法定诊疗规范</w:t>
            </w:r>
          </w:p>
        </w:tc>
      </w:tr>
    </w:tbl>
    <w:p w14:paraId="078DC06A">
      <w:pPr>
        <w:spacing w:before="0" w:after="16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8A83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EDF4FC"/>
            <w:vAlign w:val="center"/>
          </w:tcPr>
          <w:p w14:paraId="681205E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一句话原则：TDSC 中的治疗中断处理，优先保证受试者安全，其次保证有效药物暴露和耐药排查，再决定“按原方案恢复”“重新起始阶段”“停止研究治疗并转救援/常规治疗”，而不是机械地按日历月份继续。</w:t>
            </w:r>
          </w:p>
        </w:tc>
      </w:tr>
    </w:tbl>
    <w:p w14:paraId="6C223870">
      <w:pPr>
        <w:pStyle w:val="3"/>
        <w:spacing w:before="120" w:after="8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1. 目的</w:t>
      </w:r>
    </w:p>
    <w:p w14:paraId="3BF8BDAB">
      <w:pPr>
        <w:spacing w:before="0" w:after="120" w:line="288" w:lineRule="auto"/>
        <w:ind w:firstLine="42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规范 TDSC 研究中抗结核研究治疗发生暂时停药、漏服、整方案中断、单药暂停、毒性后复药及长期中断后的评估与处置流程，统一各中心的判定口径、复药阈值、随机资格影响、EDC 留痕与方案偏差管理，尽量同时实现三项目标：受试者安全、方案一致性与研究可解释性。</w:t>
      </w:r>
      <w:bookmarkStart w:id="0" w:name="_GoBack"/>
      <w:bookmarkEnd w:id="0"/>
    </w:p>
    <w:p w14:paraId="1B30134B">
      <w:pPr>
        <w:pStyle w:val="3"/>
        <w:spacing w:before="120" w:after="8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2. 适用范围</w:t>
      </w:r>
    </w:p>
    <w:p w14:paraId="2D025DA8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适用于 TDSC 全部研究中心、全部随机前与随机后的研究治疗阶段。</w:t>
      </w:r>
    </w:p>
    <w:p w14:paraId="05CEF30F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适用于队列A的 4 个月含利福喷丁方案（A1/A2）、对照A3（2HRZE/4HR），以及队列B统一治疗期与继续治疗期（2HRZE/4HR 或 2HRZE/7HR）。</w:t>
      </w:r>
    </w:p>
    <w:p w14:paraId="1A53A63B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适用于非自愿漏服、患者自行停药、药物供应延迟、研究团队指令性暂停、以及因不良事件实施的药物暂停/复药。</w:t>
      </w:r>
    </w:p>
    <w:p w14:paraId="78D5E538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不适用于已证实耐药结核、妊娠后继续研究给药、危及生命严重不良事件后的最终个体化救援治疗设计；上述情形按方案“停止研究治疗”路径执行。</w:t>
      </w:r>
    </w:p>
    <w:p w14:paraId="59982B75">
      <w:pPr>
        <w:pStyle w:val="3"/>
        <w:spacing w:before="120" w:after="8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3. 术语与定义</w:t>
      </w:r>
    </w:p>
    <w:p w14:paraId="75E37DFA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漏服（missed dose）：单次或少量计划剂量未按规定服用，但未形成连续 &gt;=48 小时的整方案停药。</w:t>
      </w:r>
    </w:p>
    <w:p w14:paraId="1FFF3537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整方案中断（whole-regimen interruption）：全部抗结核研究药物连续停用 &gt;=48 小时，或累计漏服已使方案目标剂数/允许窗口明显受威胁。</w:t>
      </w:r>
    </w:p>
    <w:p w14:paraId="451421C8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单药或部分方案暂停（component interruption）：因毒性、相互作用或专科会诊意见，研究团队有计划地暂停 1 种或多种药物，但其他有效药物继续给药。</w:t>
      </w:r>
    </w:p>
    <w:p w14:paraId="5D8005A3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失访相关长期中断：连续中断 &gt;=8 周，按结核病项目管理通常视为 LTFU / return-patient 情形，需要重新进行细菌学与耐药学评估后再决定后续治疗路径。</w:t>
      </w:r>
    </w:p>
    <w:p w14:paraId="26F91091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恢复（resumption）：在完成必要安全性与细菌学评估后，重新启动原分配方案或其允许的预设药物组合。</w:t>
      </w:r>
    </w:p>
    <w:p w14:paraId="5AF36BD0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重新开始阶段（restart of phase）：中断发生于治疗早期且持续较久，需把强化阶段从头计算。</w:t>
      </w:r>
    </w:p>
    <w:p w14:paraId="3D3D825A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停止研究治疗（stop study treatment）：不再按随机/分配到的研究方案继续给药，但尽可能继续研究随访和结局收集。</w:t>
      </w:r>
    </w:p>
    <w:p w14:paraId="64BE88A9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Hard Gate：仅适用于队列B，在完成足够治疗暴露后基于微生物学标准判断 6 个月停药随机资格；不使用 TB22、影像学或临床印象代替。</w:t>
      </w:r>
    </w:p>
    <w:p w14:paraId="1957D9A4">
      <w:pPr>
        <w:pStyle w:val="3"/>
        <w:spacing w:before="120" w:after="8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4. 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7"/>
        <w:gridCol w:w="4111"/>
        <w:gridCol w:w="3249"/>
      </w:tblGrid>
      <w:tr w14:paraId="24BE3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shd w:val="clear" w:color="auto" w:fill="D9EAF7"/>
            <w:vAlign w:val="center"/>
          </w:tcPr>
          <w:p w14:paraId="210EA20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岗位</w:t>
            </w:r>
          </w:p>
        </w:tc>
        <w:tc>
          <w:tcPr>
            <w:tcW w:w="4111" w:type="dxa"/>
            <w:shd w:val="clear" w:color="auto" w:fill="D9EAF7"/>
            <w:vAlign w:val="center"/>
          </w:tcPr>
          <w:p w14:paraId="442C6C3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核心职责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048B312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时限/关键要求</w:t>
            </w:r>
          </w:p>
        </w:tc>
      </w:tr>
      <w:tr w14:paraId="5888E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shd w:val="clear" w:color="auto" w:fill="F7FBFE"/>
            <w:vAlign w:val="center"/>
          </w:tcPr>
          <w:p w14:paraId="7377317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研究医生/PI</w:t>
            </w:r>
          </w:p>
        </w:tc>
        <w:tc>
          <w:tcPr>
            <w:tcW w:w="4111" w:type="dxa"/>
            <w:shd w:val="clear" w:color="auto" w:fill="FFFFFF"/>
            <w:vAlign w:val="center"/>
          </w:tcPr>
          <w:p w14:paraId="606EB80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完成中断分类、临床评估、复药判定、是否停止研究治疗决定</w:t>
            </w:r>
          </w:p>
        </w:tc>
        <w:tc>
          <w:tcPr>
            <w:tcW w:w="3249" w:type="dxa"/>
            <w:shd w:val="clear" w:color="auto" w:fill="FFFFFF"/>
            <w:vAlign w:val="center"/>
          </w:tcPr>
          <w:p w14:paraId="2464903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知晓后 24 小时内完成初判；&gt;=14 天中断必须 PI 审核</w:t>
            </w:r>
          </w:p>
        </w:tc>
      </w:tr>
      <w:tr w14:paraId="43887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shd w:val="clear" w:color="auto" w:fill="F7FBFE"/>
            <w:vAlign w:val="center"/>
          </w:tcPr>
          <w:p w14:paraId="74B7E19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研究护士/CRC</w:t>
            </w:r>
          </w:p>
        </w:tc>
        <w:tc>
          <w:tcPr>
            <w:tcW w:w="4111" w:type="dxa"/>
            <w:shd w:val="clear" w:color="auto" w:fill="FFFFFF"/>
            <w:vAlign w:val="center"/>
          </w:tcPr>
          <w:p w14:paraId="5917B67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识别漏服与失约，启动电话追访、安排加做检查、EDC 初始录入</w:t>
            </w:r>
          </w:p>
        </w:tc>
        <w:tc>
          <w:tcPr>
            <w:tcW w:w="3249" w:type="dxa"/>
            <w:shd w:val="clear" w:color="auto" w:fill="FFFFFF"/>
            <w:vAlign w:val="center"/>
          </w:tcPr>
          <w:p w14:paraId="0FF7F22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知晓后当日启动联系；所有追访留痕</w:t>
            </w:r>
          </w:p>
        </w:tc>
      </w:tr>
      <w:tr w14:paraId="6B473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shd w:val="clear" w:color="auto" w:fill="F7FBFE"/>
            <w:vAlign w:val="center"/>
          </w:tcPr>
          <w:p w14:paraId="10C90F6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药师</w:t>
            </w:r>
          </w:p>
        </w:tc>
        <w:tc>
          <w:tcPr>
            <w:tcW w:w="4111" w:type="dxa"/>
            <w:shd w:val="clear" w:color="auto" w:fill="FFFFFF"/>
            <w:vAlign w:val="center"/>
          </w:tcPr>
          <w:p w14:paraId="6D346D8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核对发药、回收、剩余药量、药物相互作用与复药顺序</w:t>
            </w:r>
          </w:p>
        </w:tc>
        <w:tc>
          <w:tcPr>
            <w:tcW w:w="3249" w:type="dxa"/>
            <w:shd w:val="clear" w:color="auto" w:fill="FFFFFF"/>
            <w:vAlign w:val="center"/>
          </w:tcPr>
          <w:p w14:paraId="20B4C7B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复药前完成用药核查</w:t>
            </w:r>
          </w:p>
        </w:tc>
      </w:tr>
      <w:tr w14:paraId="5583E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shd w:val="clear" w:color="auto" w:fill="F7FBFE"/>
            <w:vAlign w:val="center"/>
          </w:tcPr>
          <w:p w14:paraId="33E474A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实验室/影像/专科</w:t>
            </w:r>
          </w:p>
        </w:tc>
        <w:tc>
          <w:tcPr>
            <w:tcW w:w="4111" w:type="dxa"/>
            <w:shd w:val="clear" w:color="auto" w:fill="FFFFFF"/>
            <w:vAlign w:val="center"/>
          </w:tcPr>
          <w:p w14:paraId="5214548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完成痰检、Xpert/培养/DST、肝功能、ECG、眼科等必要支持</w:t>
            </w:r>
          </w:p>
        </w:tc>
        <w:tc>
          <w:tcPr>
            <w:tcW w:w="3249" w:type="dxa"/>
            <w:shd w:val="clear" w:color="auto" w:fill="FFFFFF"/>
            <w:vAlign w:val="center"/>
          </w:tcPr>
          <w:p w14:paraId="01A8090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按临床优先级尽快完成</w:t>
            </w:r>
          </w:p>
        </w:tc>
      </w:tr>
      <w:tr w14:paraId="77FA0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shd w:val="clear" w:color="auto" w:fill="F7FBFE"/>
            <w:vAlign w:val="center"/>
          </w:tcPr>
          <w:p w14:paraId="2E99F77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数据管理员</w:t>
            </w:r>
          </w:p>
        </w:tc>
        <w:tc>
          <w:tcPr>
            <w:tcW w:w="4111" w:type="dxa"/>
            <w:shd w:val="clear" w:color="auto" w:fill="FFFFFF"/>
            <w:vAlign w:val="center"/>
          </w:tcPr>
          <w:p w14:paraId="5CC70F2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核对中断事件、方案偏差、AE/SAE、随机资格影响与分析标记</w:t>
            </w:r>
          </w:p>
        </w:tc>
        <w:tc>
          <w:tcPr>
            <w:tcW w:w="3249" w:type="dxa"/>
            <w:shd w:val="clear" w:color="auto" w:fill="FFFFFF"/>
            <w:vAlign w:val="center"/>
          </w:tcPr>
          <w:p w14:paraId="28D23EE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与 PI 共同完成最终口径</w:t>
            </w:r>
          </w:p>
        </w:tc>
      </w:tr>
    </w:tbl>
    <w:p w14:paraId="6E91F5CE">
      <w:pPr>
        <w:pStyle w:val="3"/>
        <w:spacing w:before="120" w:after="8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5. 总体原则</w:t>
      </w:r>
    </w:p>
    <w:p w14:paraId="1B233D4F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先分清中断原因，再决定恢复路径：非依从性/供应问题与毒性暂停的逻辑不同；整方案中断与单药暂停不能混为一谈。</w:t>
      </w:r>
    </w:p>
    <w:p w14:paraId="1A9AE52A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先保证安全，再追求按方案完成：任何存在生命危险、进行性肝损伤、明显 QTcF 异常、视神经损伤、妊娠、证实耐药或治疗失败者，优先走停止研究治疗或替代方案路径。</w:t>
      </w:r>
    </w:p>
    <w:p w14:paraId="6DE53F55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按“剂量完成 + 允许窗口”而不是仅按日历月份判断是否仍可视为按方案治疗；尤其是队列A的 4 个月含利福喷丁方案和队列B的 M6 Hard Gate 评估。</w:t>
      </w:r>
    </w:p>
    <w:p w14:paraId="6B5C011A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中断时间越早、越长，越倾向于重新开始阶段或停止研究治疗；强化期的容忍度低于继续期。</w:t>
      </w:r>
    </w:p>
    <w:p w14:paraId="5B029085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任何中断达到需要复查阈值时，必须补做细菌学与耐药评估，避免在未知耐药背景下盲目恢复原方案。</w:t>
      </w:r>
    </w:p>
    <w:p w14:paraId="2B88D493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停止研究治疗不等于退出研究。除非受试者撤回知情同意，否则应尽可能保留疗效与安全性随访。</w:t>
      </w:r>
    </w:p>
    <w:p w14:paraId="2A889EDE">
      <w:pPr>
        <w:pStyle w:val="3"/>
        <w:spacing w:before="120" w:after="8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6. 中断事件的识别与初始处置</w:t>
      </w:r>
    </w:p>
    <w:p w14:paraId="30998B95">
      <w:pPr>
        <w:pStyle w:val="4"/>
        <w:spacing w:before="0" w:after="12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6.1 触发来源</w:t>
      </w:r>
    </w:p>
    <w:p w14:paraId="11216289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现场访视发现剩余药量异常、电子服药记录异常、VOT/DOT 显示漏服；</w:t>
      </w:r>
    </w:p>
    <w:p w14:paraId="19D42CCC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患者主动报告停药、呕吐后未补服、因外院就诊/住院而停药；</w:t>
      </w:r>
    </w:p>
    <w:p w14:paraId="72A2784F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研究团队因 AE、化验异常、ECG、眼科问题、药物相互作用而指令性暂停；</w:t>
      </w:r>
    </w:p>
    <w:p w14:paraId="466B3994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药物供应中断、运输延迟或受试者失约导致的未及时发药。</w:t>
      </w:r>
    </w:p>
    <w:p w14:paraId="4E5325FA">
      <w:pPr>
        <w:pStyle w:val="4"/>
        <w:spacing w:before="0" w:after="12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6.2 初始处置（发现当日完成）</w:t>
      </w:r>
    </w:p>
    <w:p w14:paraId="47C588E7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立即确认：最后一次完整服药时间、实际漏服天数、是否为整方案停药、是否伴发热/咳嗽加重/体重下降/咯血等临床恶化。</w:t>
      </w:r>
    </w:p>
    <w:p w14:paraId="33A211F3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核对：当前处于哪个研究路径（队列A/A3/队列B统一治疗/队列B继续治疗）、已完成剂数、是否接近强化期结束或 Hard Gate 评估节点。</w:t>
      </w:r>
    </w:p>
    <w:p w14:paraId="4AE0FC65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安排检查：至少包括痰标本（涂片/培养，必要时 Xpert 或其他快速分子检测）、CBC、肝肾功能；如使用莫西沙星且有心律风险，加做 ECG；如使用 E 且有视力症状，立即眼科评估。</w:t>
      </w:r>
    </w:p>
    <w:p w14:paraId="551DEF58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对存在耐药、治疗失败、妊娠、危及生命 AE 证据者，直接进入第10节“停止研究治疗”路径，不等待常规复药算法。</w:t>
      </w:r>
    </w:p>
    <w:p w14:paraId="008947EC">
      <w:pPr>
        <w:pStyle w:val="3"/>
        <w:spacing w:before="120" w:after="8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7. 整方案中断的判定与恢复算法</w:t>
      </w:r>
    </w:p>
    <w:p w14:paraId="13AFEBF1">
      <w:pPr>
        <w:pStyle w:val="4"/>
        <w:spacing w:before="0" w:after="12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7.1 标准 HRZE/HR 路径（适用于 A3 和队列B 的 2HRZE/4HR 或 2HRZE/7HR）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5"/>
        <w:gridCol w:w="1702"/>
        <w:gridCol w:w="4003"/>
        <w:gridCol w:w="1894"/>
      </w:tblGrid>
      <w:tr w14:paraId="65069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5" w:type="dxa"/>
            <w:shd w:val="clear" w:color="auto" w:fill="D9EAF7"/>
            <w:vAlign w:val="center"/>
          </w:tcPr>
          <w:p w14:paraId="7B16152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所处阶段</w:t>
            </w:r>
          </w:p>
        </w:tc>
        <w:tc>
          <w:tcPr>
            <w:tcW w:w="1702" w:type="dxa"/>
            <w:shd w:val="clear" w:color="auto" w:fill="D9EAF7"/>
            <w:vAlign w:val="center"/>
          </w:tcPr>
          <w:p w14:paraId="6ACB490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连续整方案中断时长</w:t>
            </w:r>
          </w:p>
        </w:tc>
        <w:tc>
          <w:tcPr>
            <w:tcW w:w="4003" w:type="dxa"/>
            <w:shd w:val="clear" w:color="auto" w:fill="D9EAF7"/>
            <w:vAlign w:val="center"/>
          </w:tcPr>
          <w:p w14:paraId="329DFB2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处置原则</w:t>
            </w:r>
          </w:p>
        </w:tc>
        <w:tc>
          <w:tcPr>
            <w:tcW w:w="1894" w:type="dxa"/>
            <w:shd w:val="clear" w:color="auto" w:fill="D9EAF7"/>
            <w:vAlign w:val="center"/>
          </w:tcPr>
          <w:p w14:paraId="7EADC05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研究口径</w:t>
            </w:r>
          </w:p>
        </w:tc>
      </w:tr>
      <w:tr w14:paraId="1836F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5" w:type="dxa"/>
            <w:shd w:val="clear" w:color="auto" w:fill="F7FBFE"/>
            <w:vAlign w:val="center"/>
          </w:tcPr>
          <w:p w14:paraId="4297D7F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强化期（治疗 &lt;1 个月）</w:t>
            </w:r>
          </w:p>
        </w:tc>
        <w:tc>
          <w:tcPr>
            <w:tcW w:w="1702" w:type="dxa"/>
            <w:shd w:val="clear" w:color="auto" w:fill="FFFFFF"/>
            <w:vAlign w:val="center"/>
          </w:tcPr>
          <w:p w14:paraId="5CDEEBA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&lt;14 天</w:t>
            </w:r>
          </w:p>
        </w:tc>
        <w:tc>
          <w:tcPr>
            <w:tcW w:w="4003" w:type="dxa"/>
            <w:shd w:val="clear" w:color="auto" w:fill="FFFFFF"/>
            <w:vAlign w:val="center"/>
          </w:tcPr>
          <w:p w14:paraId="623D425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若病情稳定且无新耐药线索：恢复原方案；补齐缺失剂数；强化期以完成目标剂数为准，必要时顺延。</w:t>
            </w:r>
          </w:p>
        </w:tc>
        <w:tc>
          <w:tcPr>
            <w:tcW w:w="1894" w:type="dxa"/>
            <w:shd w:val="clear" w:color="auto" w:fill="FFFFFF"/>
            <w:vAlign w:val="center"/>
          </w:tcPr>
          <w:p w14:paraId="63BD190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记为暂时中断；通常不停止研究治疗。</w:t>
            </w:r>
          </w:p>
        </w:tc>
      </w:tr>
      <w:tr w14:paraId="77AB4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5" w:type="dxa"/>
            <w:shd w:val="clear" w:color="auto" w:fill="F7FBFE"/>
            <w:vAlign w:val="center"/>
          </w:tcPr>
          <w:p w14:paraId="0F8E9F3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强化期（治疗 &lt;1 个月）</w:t>
            </w:r>
          </w:p>
        </w:tc>
        <w:tc>
          <w:tcPr>
            <w:tcW w:w="1702" w:type="dxa"/>
            <w:shd w:val="clear" w:color="auto" w:fill="FFFFFF"/>
            <w:vAlign w:val="center"/>
          </w:tcPr>
          <w:p w14:paraId="2B75160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14–55 天</w:t>
            </w:r>
          </w:p>
        </w:tc>
        <w:tc>
          <w:tcPr>
            <w:tcW w:w="4003" w:type="dxa"/>
            <w:shd w:val="clear" w:color="auto" w:fill="FFFFFF"/>
            <w:vAlign w:val="center"/>
          </w:tcPr>
          <w:p w14:paraId="554A0AD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必须补做痰涂片/培养和快速分子检测；若仍考虑药敏 TB 且无失败/恶化，原则上从强化期重新开始。</w:t>
            </w:r>
          </w:p>
        </w:tc>
        <w:tc>
          <w:tcPr>
            <w:tcW w:w="1894" w:type="dxa"/>
            <w:shd w:val="clear" w:color="auto" w:fill="FFFFFF"/>
            <w:vAlign w:val="center"/>
          </w:tcPr>
          <w:p w14:paraId="153BF34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重大方案偏差；是否继续研究治疗需 PI 审核。</w:t>
            </w:r>
          </w:p>
        </w:tc>
      </w:tr>
      <w:tr w14:paraId="066C1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5" w:type="dxa"/>
            <w:shd w:val="clear" w:color="auto" w:fill="F7FBFE"/>
            <w:vAlign w:val="center"/>
          </w:tcPr>
          <w:p w14:paraId="32E65BA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任一阶段</w:t>
            </w:r>
          </w:p>
        </w:tc>
        <w:tc>
          <w:tcPr>
            <w:tcW w:w="1702" w:type="dxa"/>
            <w:shd w:val="clear" w:color="auto" w:fill="FFFFFF"/>
            <w:vAlign w:val="center"/>
          </w:tcPr>
          <w:p w14:paraId="434161E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&gt;=56 天</w:t>
            </w:r>
          </w:p>
        </w:tc>
        <w:tc>
          <w:tcPr>
            <w:tcW w:w="4003" w:type="dxa"/>
            <w:shd w:val="clear" w:color="auto" w:fill="FFFFFF"/>
            <w:vAlign w:val="center"/>
          </w:tcPr>
          <w:p w14:paraId="2A7B1AE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按长期中断/LTFU-return patient 处理：完成细菌学、耐药、影像与安全性重新评估。原则上不直接恢复既定研究暴露，通常停止研究治疗并转常规/救援治疗。</w:t>
            </w:r>
          </w:p>
        </w:tc>
        <w:tc>
          <w:tcPr>
            <w:tcW w:w="1894" w:type="dxa"/>
            <w:shd w:val="clear" w:color="auto" w:fill="FFFFFF"/>
            <w:vAlign w:val="center"/>
          </w:tcPr>
          <w:p w14:paraId="5501DED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不再视为按方案完成；继续研究随访。</w:t>
            </w:r>
          </w:p>
        </w:tc>
      </w:tr>
      <w:tr w14:paraId="77C25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5" w:type="dxa"/>
            <w:shd w:val="clear" w:color="auto" w:fill="F7FBFE"/>
            <w:vAlign w:val="center"/>
          </w:tcPr>
          <w:p w14:paraId="608348E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继续期（已治疗 &gt;=1 个月）</w:t>
            </w:r>
          </w:p>
        </w:tc>
        <w:tc>
          <w:tcPr>
            <w:tcW w:w="1702" w:type="dxa"/>
            <w:shd w:val="clear" w:color="auto" w:fill="FFFFFF"/>
            <w:vAlign w:val="center"/>
          </w:tcPr>
          <w:p w14:paraId="2D1E56C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&lt;14 天</w:t>
            </w:r>
          </w:p>
        </w:tc>
        <w:tc>
          <w:tcPr>
            <w:tcW w:w="4003" w:type="dxa"/>
            <w:shd w:val="clear" w:color="auto" w:fill="FFFFFF"/>
            <w:vAlign w:val="center"/>
          </w:tcPr>
          <w:p w14:paraId="79A11F6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恢复原方案；补足缺失剂数；若中断前痰菌未阴转或症状加重，则同步补做细菌学检查。</w:t>
            </w:r>
          </w:p>
        </w:tc>
        <w:tc>
          <w:tcPr>
            <w:tcW w:w="1894" w:type="dxa"/>
            <w:shd w:val="clear" w:color="auto" w:fill="FFFFFF"/>
            <w:vAlign w:val="center"/>
          </w:tcPr>
          <w:p w14:paraId="1AD1A86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记为暂时中断。</w:t>
            </w:r>
          </w:p>
        </w:tc>
      </w:tr>
      <w:tr w14:paraId="04468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5" w:type="dxa"/>
            <w:shd w:val="clear" w:color="auto" w:fill="F7FBFE"/>
            <w:vAlign w:val="center"/>
          </w:tcPr>
          <w:p w14:paraId="626CF57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继续期（已治疗 &gt;=1 个月）</w:t>
            </w:r>
          </w:p>
        </w:tc>
        <w:tc>
          <w:tcPr>
            <w:tcW w:w="1702" w:type="dxa"/>
            <w:shd w:val="clear" w:color="auto" w:fill="FFFFFF"/>
            <w:vAlign w:val="center"/>
          </w:tcPr>
          <w:p w14:paraId="6572C9D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14–27 天</w:t>
            </w:r>
          </w:p>
        </w:tc>
        <w:tc>
          <w:tcPr>
            <w:tcW w:w="4003" w:type="dxa"/>
            <w:shd w:val="clear" w:color="auto" w:fill="FFFFFF"/>
            <w:vAlign w:val="center"/>
          </w:tcPr>
          <w:p w14:paraId="68A1EB7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恢复前补做痰检；优先延长继续期以补齐剂数。若存在临床恶化或细菌学阳转，按失败/耐药路径评估。</w:t>
            </w:r>
          </w:p>
        </w:tc>
        <w:tc>
          <w:tcPr>
            <w:tcW w:w="1894" w:type="dxa"/>
            <w:shd w:val="clear" w:color="auto" w:fill="FFFFFF"/>
            <w:vAlign w:val="center"/>
          </w:tcPr>
          <w:p w14:paraId="218C9EC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重大方案偏差。</w:t>
            </w:r>
          </w:p>
        </w:tc>
      </w:tr>
      <w:tr w14:paraId="03D9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5" w:type="dxa"/>
            <w:shd w:val="clear" w:color="auto" w:fill="F7FBFE"/>
            <w:vAlign w:val="center"/>
          </w:tcPr>
          <w:p w14:paraId="6978ECF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继续期（已治疗 &gt;=1 个月）</w:t>
            </w:r>
          </w:p>
        </w:tc>
        <w:tc>
          <w:tcPr>
            <w:tcW w:w="1702" w:type="dxa"/>
            <w:shd w:val="clear" w:color="auto" w:fill="FFFFFF"/>
            <w:vAlign w:val="center"/>
          </w:tcPr>
          <w:p w14:paraId="2CDF020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28–55 天</w:t>
            </w:r>
          </w:p>
        </w:tc>
        <w:tc>
          <w:tcPr>
            <w:tcW w:w="4003" w:type="dxa"/>
            <w:shd w:val="clear" w:color="auto" w:fill="FFFFFF"/>
            <w:vAlign w:val="center"/>
          </w:tcPr>
          <w:p w14:paraId="0B0AE4A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恢复前必须完成 Xpert/培养/DST；若未证实耐药且临床稳定，可由 PI 决定是否延长继续期补足；如阳转或疑耐药，停止研究治疗。</w:t>
            </w:r>
          </w:p>
        </w:tc>
        <w:tc>
          <w:tcPr>
            <w:tcW w:w="1894" w:type="dxa"/>
            <w:shd w:val="clear" w:color="auto" w:fill="FFFFFF"/>
            <w:vAlign w:val="center"/>
          </w:tcPr>
          <w:p w14:paraId="778842B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通常不再适合按原时间点评价关键暴露。</w:t>
            </w:r>
          </w:p>
        </w:tc>
      </w:tr>
    </w:tbl>
    <w:p w14:paraId="3A5C5141">
      <w:pPr>
        <w:pStyle w:val="4"/>
        <w:spacing w:before="0" w:after="12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7.2 队列A 4 个月含利福喷丁方案（A1/A2）的专用规则</w:t>
      </w:r>
    </w:p>
    <w:p w14:paraId="024206F1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队列A按研究专用保守窗口管理：强化期 56 剂须在 70 天内完成；继续期 63 剂须在 84 天内完成。该窗口参照已发布的 4 个月 rifapentine-moxifloxacin 程序化指导，用作 TDSC 研究的一致性边界。</w:t>
      </w:r>
    </w:p>
    <w:p w14:paraId="1DC08920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若中断发生后，经补服和顺延仍可在上述窗口内完成目标剂数，且无耐药/毒性禁忌，可恢复原方案并继续。</w:t>
      </w:r>
    </w:p>
    <w:p w14:paraId="2DF0E5A3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若预计无法在 70/84 天窗口内完成目标剂数，则不再判定为“按方案完成的队列A研究治疗”；原则上停止研究治疗并转入研究外临床常规/救援治疗，同时继续研究随访。</w:t>
      </w:r>
    </w:p>
    <w:p w14:paraId="1A9ED996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若中断达到 &gt;=14 天，恢复前至少完成痰涂片/培养及快速分子检测；若出现细菌学阳转、临床恶化、明显药物不耐受或无法恢复莫西沙星/利福喷丁核心暴露，应停止研究治疗。</w:t>
      </w:r>
    </w:p>
    <w:p w14:paraId="6712B2DE">
      <w:pPr>
        <w:pStyle w:val="4"/>
        <w:spacing w:before="0" w:after="12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7.3 队列B在 Hard Gate 前后的专用规则</w:t>
      </w:r>
    </w:p>
    <w:p w14:paraId="22004FD1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队列B的随机资格取决于“足够治疗暴露 + 微生物学安全门槛”，不能仅按日历满 6 个月机械判定。</w:t>
      </w:r>
    </w:p>
    <w:p w14:paraId="306B7BD1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若在第4–6个月之间发生整方案中断 &gt;=14 天，名义 M6 访视不得直接作为 Hard Gate 判定依据；应在恢复治疗并达到足够剂量/完成所需培养序列后，再由 PI 和项目组确认是否具备 Gate 评估条件。</w:t>
      </w:r>
    </w:p>
    <w:p w14:paraId="11559190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若发生 &gt;=56 天长期中断、证实耐药、治疗失败或需要长期停用核心药物，则该受试者原则上不得进入随机化，转入“未随机/非按方案持续治疗并随访”路径。</w:t>
      </w:r>
    </w:p>
    <w:p w14:paraId="38070AB5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Hard Gate 的微生物学判断仍仅依据方案规定的培养序列和‘后续无再阳’，不得用 TB22、影像吸收或临床主观好转替代。</w:t>
      </w:r>
    </w:p>
    <w:p w14:paraId="42A14AEC">
      <w:pPr>
        <w:pStyle w:val="3"/>
        <w:spacing w:before="120" w:after="8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8. 单药或部分方案暂停与恢复</w:t>
      </w:r>
    </w:p>
    <w:p w14:paraId="4C9A84FB">
      <w:pPr>
        <w:spacing w:before="0" w:after="120" w:line="288" w:lineRule="auto"/>
        <w:ind w:firstLine="42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说明：单药暂停不等同于整方案中断。只要剩余有效药物仍在连续给药，则应记录为“剂量调整/药物修改”，同时单独评估是否已导致有效药数不足而需要停止研究治疗。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1799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36272F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触发情形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01BF9FD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立即处置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663B03E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恢复/再挑战原则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7E9237D5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sz w:val="24"/>
                <w:szCs w:val="24"/>
              </w:rPr>
              <w:t>对研究治疗影响</w:t>
            </w:r>
          </w:p>
        </w:tc>
      </w:tr>
      <w:tr w14:paraId="5CB0E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F7FBFE"/>
            <w:vAlign w:val="center"/>
          </w:tcPr>
          <w:p w14:paraId="1244232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疑似药物性肝损伤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082F647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当 ALT &gt;=3×ULN 且伴症状，或 ALT &gt;=5×ULN，或 TBIL &gt;2×ULN 时，暂停全部可疑肝毒性药物，排查其他病因。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19CFC7D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待 ALT 回落且临床稳定后，优先按“利福霉素类（R 或 P）→ H → Z”顺序阶梯复药；TDSC 中 rifapentine 作为利福霉素类按同类原则处理，但须经 PI 审核。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7A56ED8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若无法恢复核心利福霉素类或反复肝损伤，通常停止研究治疗。</w:t>
            </w:r>
          </w:p>
        </w:tc>
      </w:tr>
      <w:tr w14:paraId="42199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F7FBFE"/>
            <w:vAlign w:val="center"/>
          </w:tcPr>
          <w:p w14:paraId="61AF8E0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QTcF 延长 / 心律失常（M 相关）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1D808D6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QTcF &gt;500 ms、较基线延长 &gt;60 ms 或出现严重心律失常时，立即停用 M，纠正低钾和相互作用。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369669F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ECG 恢复且危险因素纠正后方可考虑复用；若需停用 M 超过短期可接受窗口，队列A 通常不再适合按原短程方案继续。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470D1CF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核心暴露缺失明显时，建议停止研究治疗。</w:t>
            </w:r>
          </w:p>
        </w:tc>
      </w:tr>
      <w:tr w14:paraId="2E2F2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F7FBFE"/>
            <w:vAlign w:val="center"/>
          </w:tcPr>
          <w:p w14:paraId="054191E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疑似 E 相关视神经毒性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22D1514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出现视力下降、色觉异常、视野缺损时立即停用 E，并转眼科。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03AE717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若 H/R/Z 可继续，通常不构成整方案中断；是否补替代药由 PI 结合耐药风险决定。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29415E5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多记为单药修改；若安全性要求导致多药停用，再按整方案中断处理。</w:t>
            </w:r>
          </w:p>
        </w:tc>
      </w:tr>
      <w:tr w14:paraId="3FCFE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F7FBFE"/>
            <w:vAlign w:val="center"/>
          </w:tcPr>
          <w:p w14:paraId="44C240B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皮疹/超敏反应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6BB9092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轻症可对症观察；中重度或全身反应立即停可疑药，必要时停全部研究药并急救。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36AFD15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仅在明确安全后按低风险到高风险顺序谨慎复药。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1E668D3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严重超敏或危及生命反应直接停止研究治疗。</w:t>
            </w:r>
          </w:p>
        </w:tc>
      </w:tr>
    </w:tbl>
    <w:p w14:paraId="4CA610A3">
      <w:pPr>
        <w:pStyle w:val="3"/>
        <w:spacing w:before="120" w:after="8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9. 恢复治疗前的必做评估清单</w:t>
      </w:r>
    </w:p>
    <w:p w14:paraId="4780DF23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核对中断类型：整方案中断还是单药暂停；连续天数和累计漏服天数分别记录。</w:t>
      </w:r>
    </w:p>
    <w:p w14:paraId="658A0B49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核对当前受试者路径：队列A 哪一臂、A3 还是队列B；已完成剂数、目标剂数、距离窗口上限还剩多少天。</w:t>
      </w:r>
    </w:p>
    <w:p w14:paraId="19EF8CD6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痰标本：涂片、培养；中断 &gt;=14 天或存在临床恶化时加做 Xpert/快速分子检测；中断较长或阳转时补做 DST/耐药评估。</w:t>
      </w:r>
    </w:p>
    <w:p w14:paraId="2708E263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安全性：ALT/AST/TBIL、CBC、Cr/eGFR；使用 M 者加做 ECG；使用 E 且有症状者加做眼科评估。</w:t>
      </w:r>
    </w:p>
    <w:p w14:paraId="497861AD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合并用药与糖尿病控制：复核 QT 延长药、肝毒性药、口服降糖药与利福霉素相互作用；记录近期 HbA1c/血糖控制变化。</w:t>
      </w:r>
    </w:p>
    <w:p w14:paraId="14F94491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PI 形成书面结论：继续原方案、重新开始阶段、仅改单药、停止研究治疗、或不再具备随机资格。</w:t>
      </w:r>
    </w:p>
    <w:p w14:paraId="2F6ACB27">
      <w:pPr>
        <w:pStyle w:val="3"/>
        <w:spacing w:before="120" w:after="8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10. 直接停止研究治疗的情形</w:t>
      </w:r>
    </w:p>
    <w:p w14:paraId="69460CA3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随机后或治疗中证实对研究核心药物耐药，或存在明确治疗失败证据；</w:t>
      </w:r>
    </w:p>
    <w:p w14:paraId="420C4C3F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整方案中断 &gt;=56 天，且已不再具备按方案恢复的科学合理性；</w:t>
      </w:r>
    </w:p>
    <w:p w14:paraId="09B4508E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队列A 预计无法在强化期 70 天/继续期 84 天窗口内完成目标剂数；</w:t>
      </w:r>
    </w:p>
    <w:p w14:paraId="63341A8E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无法恢复利福霉素类或莫西沙星等核心药物，导致方案有效药数不足；</w:t>
      </w:r>
    </w:p>
    <w:p w14:paraId="1735485D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妊娠、危及生命严重不良事件、研究者判断继续研究给药存在不可接受风险；</w:t>
      </w:r>
    </w:p>
    <w:p w14:paraId="660901DC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队列B因中断/失败/耐药而不再满足进入 Hard Gate 随机评估的基本前提。</w:t>
      </w:r>
    </w:p>
    <w:p w14:paraId="1B8CCD24">
      <w:pPr>
        <w:pStyle w:val="3"/>
        <w:spacing w:before="120" w:after="8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11. EDC 记录、方案偏差与随访保留</w:t>
      </w:r>
    </w:p>
    <w:p w14:paraId="79B11611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所有中断事件必须录入 EDC：起止日期、涉及药物、连续与累计时长、触发原因、是否住院、是否 AE 相关、是否影响随机资格。</w:t>
      </w:r>
    </w:p>
    <w:p w14:paraId="60BCFC4E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所有 &gt;=14 天整方案中断一律记为重大方案偏差候选事件，由 PI 与数据管理共同定级。</w:t>
      </w:r>
    </w:p>
    <w:p w14:paraId="75E588B7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停止研究治疗后，仍按方案尽可能保留疗效与安全性随访；除非受试者明确撤回知情同意，不得把“停研究药”误记为“退出研究”。</w:t>
      </w:r>
    </w:p>
    <w:p w14:paraId="5B11E314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对队列B受试者，应额外记录中断是否导致 Gate 评估延期、取消随机化、或转入未随机随访亚队列。</w:t>
      </w:r>
    </w:p>
    <w:p w14:paraId="6E800134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AE/SAE、研究药变更、偏差、失访追访与被动结局追溯的口径应与现有 TDSC 安全性、ConMed、失访保留和 CAPA/SAP 文件保持一致。</w:t>
      </w:r>
    </w:p>
    <w:p w14:paraId="084C159D">
      <w:pPr>
        <w:pStyle w:val="3"/>
        <w:spacing w:before="120" w:after="8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12. 研究专用决策树（便携版）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6E67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BFE"/>
          </w:tcPr>
          <w:p w14:paraId="6A1098E4">
            <w:pPr>
              <w:spacing w:after="6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1F4E79"/>
                <w:sz w:val="24"/>
                <w:szCs w:val="24"/>
              </w:rPr>
              <w:t>Step 1 先问：这是整方案中断，还是单药暂停？</w:t>
            </w:r>
          </w:p>
          <w:p w14:paraId="547C326E">
            <w:pPr>
              <w:spacing w:after="6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Step 2 再问：连续停了多久（&lt;14 天 / 14–55 天 / &gt;=56 天）？是否发生在强化期或 Hard Gate 前？</w:t>
            </w:r>
          </w:p>
          <w:p w14:paraId="767CE539">
            <w:pPr>
              <w:spacing w:after="6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Step 3 任何 &gt;=14 天整方案中断：恢复前必须补做细菌学评估；任何 &gt;=56 天：原则上停止研究治疗。</w:t>
            </w:r>
          </w:p>
          <w:p w14:paraId="51084644">
            <w:pPr>
              <w:spacing w:after="6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Step 4 队列A 看 70/84 天窗口能否完成目标剂数；不能完成则不再按研究方案继续。</w:t>
            </w:r>
          </w:p>
          <w:p w14:paraId="4EF57EB2">
            <w:pPr>
              <w:spacing w:after="6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Step 5 队列B 看是否仍具备足够暴露和微生物学条件进入 Hard Gate；不能则不得随机。</w:t>
            </w:r>
          </w:p>
          <w:p w14:paraId="4B36462F">
            <w:pPr>
              <w:spacing w:after="6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w:t>Step 6 任何耐药、失败、妊娠、危及生命 AE，直接走停止研究治疗路径，但继续随访。</w:t>
            </w:r>
          </w:p>
        </w:tc>
      </w:tr>
    </w:tbl>
    <w:p w14:paraId="41E6EF25">
      <w:pPr>
        <w:pStyle w:val="3"/>
        <w:spacing w:before="120" w:after="8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13. 制定依据（供文件归档）</w:t>
      </w:r>
    </w:p>
    <w:p w14:paraId="103533BB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TDSC 研究方案 V2.0（2026-02-28）：关于队列A/队列B路径、Hard Gate、停止研究治疗、失访保留、剂量调整与再挑战原则。</w:t>
      </w:r>
    </w:p>
    <w:p w14:paraId="4F8AC67A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WHO / TB Knowledge Sharing：治疗中断应综合中断时长、所处阶段和细菌学状态；症状复发时需做快速分子检测和培养/DST。</w:t>
      </w:r>
    </w:p>
    <w:p w14:paraId="261C1730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ATS/CDC/IDSA 既往结核治疗建议：治疗完成以总剂数而非日历时长更准确，强化期中断 &gt;=14 天通常应重新开始。</w:t>
      </w:r>
    </w:p>
    <w:p w14:paraId="65EA20D9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已发布 4 个月 rifapentine-moxifloxacin 程序化指导：56 剂强化期应在 70 天内完成，63 剂继续期应在 84 天内完成。</w:t>
      </w:r>
    </w:p>
    <w:p w14:paraId="4BE7C03B">
      <w:pPr>
        <w:spacing w:after="60" w:line="288" w:lineRule="auto"/>
        <w:ind w:left="283" w:hanging="198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i w:val="0"/>
          <w:color w:val="1F4E79"/>
          <w:sz w:val="24"/>
          <w:szCs w:val="24"/>
        </w:rPr>
        <w:t xml:space="preserve">•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WHO DR-TB 操作手册关于短程新药方案的原则：对长时间整方案中断需谨慎，超过关键阈值时应改为个体化替代路径。</w:t>
      </w:r>
    </w:p>
    <w:p w14:paraId="54CC3D17">
      <w:pPr>
        <w:spacing w:before="120" w:after="0" w:line="288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</w:rPr>
        <w:t>注：本文件为 TDSC 研究专用工作稿。正式启用前，建议再与安全性 SOP、ConMed SOP、失访与保留 SOP、CAPA/SAP 一并交叉核对，并由 PI、药学、统计和数据管理联合签发。</w:t>
      </w:r>
    </w:p>
    <w:sectPr>
      <w:headerReference r:id="rId5" w:type="default"/>
      <w:footerReference r:id="rId6" w:type="default"/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126F7">
    <w:pPr>
      <w:pStyle w:val="24"/>
      <w:jc w:val="center"/>
    </w:pPr>
    <w:r>
      <w:rPr>
        <w:rFonts w:ascii="Noto Sans CJK SC" w:hAnsi="Noto Sans CJK SC" w:eastAsia="Noto Sans CJK SC"/>
        <w:b w:val="0"/>
        <w:i w:val="0"/>
        <w:color w:val="6E6E6E"/>
        <w:sz w:val="17"/>
      </w:rPr>
      <w:t>TDSC 项目工作稿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941F1">
    <w:pPr>
      <w:pStyle w:val="25"/>
      <w:jc w:val="right"/>
    </w:pPr>
    <w:r>
      <w:rPr>
        <w:rFonts w:ascii="Noto Sans CJK SC" w:hAnsi="Noto Sans CJK SC" w:eastAsia="Noto Sans CJK SC"/>
        <w:b w:val="0"/>
        <w:i w:val="0"/>
        <w:color w:val="6E6E6E"/>
        <w:sz w:val="17"/>
      </w:rPr>
      <w:t>TDSC 研究项目文件 | 治疗中断和恢复 SOP（Draft）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23435A"/>
    <w:rsid w:val="5A3B68D8"/>
    <w:rsid w:val="5F3D04DC"/>
    <w:rsid w:val="6A41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5A5A5A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3239</Words>
  <Characters>3714</Characters>
  <Lines>0</Lines>
  <Paragraphs>0</Paragraphs>
  <TotalTime>2</TotalTime>
  <ScaleCrop>false</ScaleCrop>
  <LinksUpToDate>false</LinksUpToDate>
  <CharactersWithSpaces>3931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付亮</cp:lastModifiedBy>
  <dcterms:modified xsi:type="dcterms:W3CDTF">2026-03-10T11:06:16Z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eyJoZGlkIjoiZGQxYWVjOGUyMzZjNWRhOTA0ZjJhNWQ1ODFkOGE1ZDkiLCJ1c2VySWQiOiIyMDkyMjY1MzMifQ==</vt:lpwstr>
  </property>
  <property fmtid="{D5CDD505-2E9C-101B-9397-08002B2CF9AE}" pid="3" name="KSOProductBuildVer">
    <vt:lpwstr>2052-12.1.0.24657</vt:lpwstr>
  </property>
  <property fmtid="{D5CDD505-2E9C-101B-9397-08002B2CF9AE}" pid="4" name="ICV">
    <vt:lpwstr>05B8777FDF604F4A85987F1707E239FC_13</vt:lpwstr>
  </property>
</Properties>
</file>