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AD281">
      <w:pPr>
        <w:jc w:val="center"/>
      </w:pPr>
      <w:r>
        <w:rPr>
          <w:b/>
          <w:sz w:val="32"/>
        </w:rPr>
        <w:t>TDSC研究SOP</w:t>
      </w:r>
      <w:r>
        <w:rPr>
          <w:rFonts w:hint="eastAsia"/>
          <w:b/>
          <w:sz w:val="32"/>
          <w:lang w:val="en-US" w:eastAsia="zh-CN"/>
        </w:rPr>
        <w:t>09</w:t>
      </w:r>
      <w:bookmarkStart w:id="0" w:name="_GoBack"/>
      <w:bookmarkEnd w:id="0"/>
      <w:r>
        <w:rPr>
          <w:b/>
          <w:sz w:val="32"/>
        </w:rPr>
        <w:t>：研究药物不良反应处理方法</w:t>
      </w:r>
    </w:p>
    <w:p w14:paraId="39F2A7FC">
      <w:pPr>
        <w:jc w:val="center"/>
      </w:pPr>
      <w:r>
        <w:rPr>
          <w:i/>
          <w:sz w:val="22"/>
        </w:rPr>
        <w:t>覆盖：AE识别 → 分级 → 处置 → 随访 → 报告 → 数据核对闭环（与SOP06/08/09联动）</w:t>
      </w:r>
    </w:p>
    <w:p w14:paraId="34C9958A">
      <w:pPr>
        <w:jc w:val="center"/>
      </w:pPr>
      <w:r>
        <w:rPr>
          <w:i/>
          <w:sz w:val="22"/>
        </w:rPr>
        <w:t>AE Management Playbook</w:t>
      </w:r>
    </w:p>
    <w:p w14:paraId="2632E20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  <w:gridCol w:w="6134"/>
      </w:tblGrid>
      <w:tr w14:paraId="2A85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826A29">
            <w:pPr>
              <w:jc w:val="left"/>
            </w:pPr>
            <w:r>
              <w:t>SOP编号</w:t>
            </w:r>
          </w:p>
        </w:tc>
        <w:tc>
          <w:tcPr>
            <w:tcW w:w="6480" w:type="dxa"/>
          </w:tcPr>
          <w:p w14:paraId="5A644057">
            <w:pPr>
              <w:jc w:val="left"/>
            </w:pPr>
            <w:r>
              <w:t>TDSC-SOP10</w:t>
            </w:r>
          </w:p>
        </w:tc>
      </w:tr>
      <w:tr w14:paraId="0DCC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E2F63A">
            <w:pPr>
              <w:jc w:val="left"/>
            </w:pPr>
            <w:r>
              <w:t>版本</w:t>
            </w:r>
          </w:p>
        </w:tc>
        <w:tc>
          <w:tcPr>
            <w:tcW w:w="6480" w:type="dxa"/>
            <w:vAlign w:val="top"/>
          </w:tcPr>
          <w:p w14:paraId="74978BA8">
            <w:pPr>
              <w:spacing w:after="0"/>
            </w:pPr>
            <w:r>
              <w:t>V1.1</w:t>
            </w:r>
          </w:p>
        </w:tc>
      </w:tr>
      <w:tr w14:paraId="5D496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141CA9">
            <w:pPr>
              <w:jc w:val="left"/>
            </w:pPr>
            <w:r>
              <w:t>生效日期</w:t>
            </w:r>
          </w:p>
        </w:tc>
        <w:tc>
          <w:tcPr>
            <w:tcW w:w="6480" w:type="dxa"/>
            <w:vAlign w:val="top"/>
          </w:tcPr>
          <w:p w14:paraId="1FB71BAF">
            <w:pPr>
              <w:spacing w:after="0"/>
            </w:pPr>
            <w:r>
              <w:t>2026-03-04</w:t>
            </w:r>
          </w:p>
        </w:tc>
      </w:tr>
      <w:tr w14:paraId="404BA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F7CEC9">
            <w:pPr>
              <w:jc w:val="left"/>
            </w:pPr>
            <w:r>
              <w:t>适用版本</w:t>
            </w:r>
          </w:p>
        </w:tc>
        <w:tc>
          <w:tcPr>
            <w:tcW w:w="6480" w:type="dxa"/>
            <w:vAlign w:val="top"/>
          </w:tcPr>
          <w:p w14:paraId="2DC61832">
            <w:pPr>
              <w:spacing w:after="0"/>
            </w:pPr>
            <w:r>
              <w:t>TDSC V2.0（2026-02-28）及后续等效版本</w:t>
            </w:r>
          </w:p>
        </w:tc>
      </w:tr>
      <w:tr w14:paraId="243C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A0DF52">
            <w:pPr>
              <w:jc w:val="left"/>
            </w:pPr>
            <w:r>
              <w:t>依据</w:t>
            </w:r>
          </w:p>
        </w:tc>
        <w:tc>
          <w:tcPr>
            <w:tcW w:w="6480" w:type="dxa"/>
          </w:tcPr>
          <w:p w14:paraId="4C99B971">
            <w:pPr>
              <w:jc w:val="left"/>
            </w:pPr>
            <w:r>
              <w:t>TDSC研究方案安全性条款；</w:t>
            </w:r>
            <w:r>
              <w:rPr>
                <w:rFonts w:hint="eastAsia"/>
              </w:rPr>
              <w:t>DAIDS AE Grading Table v2.1（Corrected, 2017-07；作为本研究唯一严重度分级体系，用于日常分级、EDC自动分级与统计分析）</w:t>
            </w:r>
            <w:r>
              <w:t>。</w:t>
            </w:r>
          </w:p>
        </w:tc>
      </w:tr>
      <w:tr w14:paraId="0F09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FBA70A">
            <w:pPr>
              <w:jc w:val="left"/>
            </w:pPr>
            <w:r>
              <w:t>关联文件</w:t>
            </w:r>
          </w:p>
        </w:tc>
        <w:tc>
          <w:tcPr>
            <w:tcW w:w="6480" w:type="dxa"/>
          </w:tcPr>
          <w:p w14:paraId="2BA4C727">
            <w:pPr>
              <w:jc w:val="left"/>
            </w:pPr>
            <w:r>
              <w:t>SOP00：文件体系/版本控制/培训；SOP03：方案与剂量表；SOP04：服药方法与依从性；SOP06：DAIDS+PRO-CTCAE联合应用；SOP08：常见AE速查表；SOP09：实验室与QTcF自动分级规则。</w:t>
            </w:r>
          </w:p>
        </w:tc>
      </w:tr>
      <w:tr w14:paraId="0A5E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4F31A6">
            <w:pPr>
              <w:jc w:val="left"/>
            </w:pPr>
            <w:r>
              <w:t>适用对象</w:t>
            </w:r>
          </w:p>
        </w:tc>
        <w:tc>
          <w:tcPr>
            <w:tcW w:w="6480" w:type="dxa"/>
          </w:tcPr>
          <w:p w14:paraId="4464BBC3">
            <w:pPr>
              <w:jc w:val="left"/>
            </w:pPr>
            <w:r>
              <w:t>研究者/研究护士/CRC/药师/安全管理员/数据管理与监查人员</w:t>
            </w:r>
          </w:p>
        </w:tc>
      </w:tr>
    </w:tbl>
    <w:p w14:paraId="34EFC5F9">
      <w:pPr>
        <w:pStyle w:val="3"/>
      </w:pPr>
      <w:r>
        <w:t>1. 目的与适用范围</w:t>
      </w:r>
    </w:p>
    <w:p w14:paraId="470A5D8D">
      <w:r>
        <w:t>本SOP用于确保TDSC研究中与研究药物相关或可能相关的不良事件（AE）能够被早期发现、标准化分级、及时干预、合规报告，并实现数据闭环。适用于筛选期、治疗期及随访期；涵盖计划访视与非计划安全性访视。</w:t>
      </w:r>
    </w:p>
    <w:p w14:paraId="67B3557C">
      <w:r>
        <w:rPr>
          <w:rFonts w:hint="eastAsia"/>
        </w:rPr>
        <w:t>PRO-CTCAE用于患者报告症状的采集与预警；不良事件严重程度分级及所有关键安全性分析均仅基于DAIDS标准，不采用CTCAE分级体系。</w:t>
      </w:r>
    </w:p>
    <w:p w14:paraId="15E720F3">
      <w:pPr>
        <w:pStyle w:val="3"/>
      </w:pPr>
      <w:r>
        <w:t>2. 适用治疗方案与研究药物（摘要）</w:t>
      </w:r>
    </w:p>
    <w:p w14:paraId="38778409">
      <w:r>
        <w:t>TDSC研究方案包含以异烟肼（H）、利福霉素类（R或P）、乙胺丁醇（E）、莫西沙星（M）、吡嗪酰胺（Z）为核心的方案及对照方案（详见SOP03）。本SOP聚焦上述核心药物的可预见安全性风险与标准化处置。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FC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22D444">
            <w:pPr>
              <w:jc w:val="left"/>
            </w:pPr>
            <w:r>
              <w:t>药物（缩写）</w:t>
            </w:r>
          </w:p>
        </w:tc>
        <w:tc>
          <w:tcPr>
            <w:tcW w:w="2880" w:type="dxa"/>
          </w:tcPr>
          <w:p w14:paraId="4B79FDB9">
            <w:pPr>
              <w:jc w:val="left"/>
            </w:pPr>
            <w:r>
              <w:t>主要关注风险（提示）</w:t>
            </w:r>
          </w:p>
        </w:tc>
        <w:tc>
          <w:tcPr>
            <w:tcW w:w="2880" w:type="dxa"/>
          </w:tcPr>
          <w:p w14:paraId="422EE79F">
            <w:pPr>
              <w:jc w:val="left"/>
            </w:pPr>
            <w:r>
              <w:t>现场管理要点（摘要）</w:t>
            </w:r>
          </w:p>
        </w:tc>
      </w:tr>
      <w:tr w14:paraId="40E0C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A88DDD">
            <w:pPr>
              <w:jc w:val="left"/>
            </w:pPr>
            <w:r>
              <w:t>利福喷丁/利福平（P/R）</w:t>
            </w:r>
          </w:p>
        </w:tc>
        <w:tc>
          <w:tcPr>
            <w:tcW w:w="2880" w:type="dxa"/>
          </w:tcPr>
          <w:p w14:paraId="37FE38BF">
            <w:pPr>
              <w:jc w:val="left"/>
            </w:pPr>
            <w:r>
              <w:t>肝毒性；药物相互作用（酶诱导）；胃肠道反应</w:t>
            </w:r>
          </w:p>
        </w:tc>
        <w:tc>
          <w:tcPr>
            <w:tcW w:w="2880" w:type="dxa"/>
          </w:tcPr>
          <w:p w14:paraId="4021CF41">
            <w:pPr>
              <w:jc w:val="left"/>
            </w:pPr>
            <w:r>
              <w:t>与SOP04一致（P需随餐）；核对合并用药；出现DILI信号按第8.1执行</w:t>
            </w:r>
          </w:p>
        </w:tc>
      </w:tr>
      <w:tr w14:paraId="08A8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C2AA08">
            <w:pPr>
              <w:jc w:val="left"/>
            </w:pPr>
            <w:r>
              <w:t>异烟肼（H）</w:t>
            </w:r>
          </w:p>
        </w:tc>
        <w:tc>
          <w:tcPr>
            <w:tcW w:w="2880" w:type="dxa"/>
          </w:tcPr>
          <w:p w14:paraId="4B8B531E">
            <w:pPr>
              <w:jc w:val="left"/>
            </w:pPr>
            <w:r>
              <w:t>肝毒性；周围神经病变（糖尿病受试者需鉴别）</w:t>
            </w:r>
          </w:p>
        </w:tc>
        <w:tc>
          <w:tcPr>
            <w:tcW w:w="2880" w:type="dxa"/>
          </w:tcPr>
          <w:p w14:paraId="0B27F9FC">
            <w:pPr>
              <w:jc w:val="left"/>
            </w:pPr>
            <w:r>
              <w:t>常规补充Vit B6；出现神经症状按第8.4；出现DILI信号按第8.1</w:t>
            </w:r>
          </w:p>
        </w:tc>
      </w:tr>
      <w:tr w14:paraId="0C9D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369246">
            <w:pPr>
              <w:jc w:val="left"/>
            </w:pPr>
            <w:r>
              <w:t>莫西沙星（M）</w:t>
            </w:r>
          </w:p>
        </w:tc>
        <w:tc>
          <w:tcPr>
            <w:tcW w:w="2880" w:type="dxa"/>
          </w:tcPr>
          <w:p w14:paraId="1F9A7D6F">
            <w:pPr>
              <w:jc w:val="left"/>
            </w:pPr>
            <w:r>
              <w:t>QTcF延长；电解质异常联动；肌腱相关事件（少见）</w:t>
            </w:r>
          </w:p>
        </w:tc>
        <w:tc>
          <w:tcPr>
            <w:tcW w:w="2880" w:type="dxa"/>
          </w:tcPr>
          <w:p w14:paraId="55EFE0F1">
            <w:pPr>
              <w:jc w:val="left"/>
            </w:pPr>
            <w:r>
              <w:t>QTcF按第8.3；纠正K/Mg/Ca并复测；避免合并非必需致QT药</w:t>
            </w:r>
          </w:p>
        </w:tc>
      </w:tr>
      <w:tr w14:paraId="7D3D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4BE716">
            <w:pPr>
              <w:jc w:val="left"/>
            </w:pPr>
            <w:r>
              <w:t>吡嗪酰胺（Z）</w:t>
            </w:r>
          </w:p>
        </w:tc>
        <w:tc>
          <w:tcPr>
            <w:tcW w:w="2880" w:type="dxa"/>
          </w:tcPr>
          <w:p w14:paraId="1F7F618F">
            <w:pPr>
              <w:jc w:val="left"/>
            </w:pPr>
            <w:r>
              <w:t>肝毒性；高尿酸/关节痛；胃肠道反应</w:t>
            </w:r>
          </w:p>
        </w:tc>
        <w:tc>
          <w:tcPr>
            <w:tcW w:w="2880" w:type="dxa"/>
          </w:tcPr>
          <w:p w14:paraId="101E3681">
            <w:pPr>
              <w:jc w:val="left"/>
            </w:pPr>
            <w:r>
              <w:t>无症状高尿酸通常不需停药；痛风/功能受限按第8.5；DILI按第8.1</w:t>
            </w:r>
          </w:p>
        </w:tc>
      </w:tr>
      <w:tr w14:paraId="3BDF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D2425A">
            <w:r>
              <w:t>乙胺丁醇（E）</w:t>
            </w:r>
          </w:p>
        </w:tc>
        <w:tc>
          <w:tcPr>
            <w:tcW w:w="2880" w:type="dxa"/>
          </w:tcPr>
          <w:p w14:paraId="69353F9F">
            <w:r>
              <w:t>视神经毒性（视力/色觉下降）；皮疹（少见）；胃肠道反应</w:t>
            </w:r>
          </w:p>
        </w:tc>
        <w:tc>
          <w:tcPr>
            <w:tcW w:w="2880" w:type="dxa"/>
          </w:tcPr>
          <w:p w14:paraId="2DDDBAA9">
            <w:r>
              <w:t>治疗期询问视力/色觉变化；出现视力下降/色觉异常立即停E并眼科会诊（见第8.4）；疑严重过敏按第8.2</w:t>
            </w:r>
          </w:p>
        </w:tc>
      </w:tr>
    </w:tbl>
    <w:p w14:paraId="54355802">
      <w:pPr>
        <w:pStyle w:val="3"/>
      </w:pPr>
      <w:r>
        <w:t>3. 术语与分类口径</w:t>
      </w:r>
    </w:p>
    <w:p w14:paraId="1707DEDC">
      <w:pPr>
        <w:pStyle w:val="16"/>
        <w:jc w:val="left"/>
      </w:pPr>
      <w:r>
        <w:t>AE：受试者在研究期间出现的任何不良医学事件（不要求与研究药物存在因果关系）。</w:t>
      </w:r>
    </w:p>
    <w:p w14:paraId="281D4D3B">
      <w:pPr>
        <w:pStyle w:val="16"/>
        <w:jc w:val="left"/>
      </w:pPr>
      <w:r>
        <w:t>SAE：符合研究方案/伦理/法规要求的严重不良事件（如死亡、危及生命、住院或延长住院、致残/致畸等）。</w:t>
      </w:r>
    </w:p>
    <w:p w14:paraId="3E63EA56">
      <w:pPr>
        <w:pStyle w:val="16"/>
        <w:jc w:val="left"/>
      </w:pPr>
      <w:r>
        <w:t>AESI：方案预设需重点监测与快速处置的不良事件集合（与研究药物风险谱及TB-DM人群特征相关）。建议至少包括：肝损伤/疑似DILI；QTcF延长或心律失常；周围神经病变与视神经病变；骨髓抑制；严重过敏反应/重症皮肤不良反应（SCAR）；严重胃肠道不耐受（影响吸收/依从性或导致脱水/电解质紊乱）；严重低血糖或糖尿病高血糖危象（DKA/HHS）。</w:t>
      </w:r>
    </w:p>
    <w:p w14:paraId="3CB20D5E">
      <w:pPr>
        <w:pStyle w:val="16"/>
        <w:jc w:val="left"/>
      </w:pPr>
      <w:r>
        <w:t>分级口径：本研究全程以DAIDS AE Grading Table v2.1（Corrected, 2017-07）为唯一严重度分级体系（Grade 1–4）；实验室与心电（含QTcF）可由EDC自动分级提示并由研究者确认。PRO-CTCAE用于症状捕获与预警，不替代DAIDS分级。</w:t>
      </w:r>
    </w:p>
    <w:p w14:paraId="054F8510">
      <w:pPr>
        <w:pStyle w:val="16"/>
        <w:jc w:val="left"/>
      </w:pPr>
      <w:r>
        <w:t>因果关系：推荐WHO-UMC分类；多药联合情况下结合去激发（de-challenge）与再激发（re-challenge）反应判断责任药物。</w:t>
      </w:r>
    </w:p>
    <w:p w14:paraId="6ABEBF22">
      <w:pPr>
        <w:pStyle w:val="3"/>
      </w:pPr>
      <w:r>
        <w:t>4. 角色与职责</w:t>
      </w:r>
    </w:p>
    <w:p w14:paraId="2093B08A">
      <w:pPr>
        <w:pStyle w:val="16"/>
        <w:jc w:val="left"/>
      </w:pPr>
      <w:r>
        <w:t>PI：对中心受试者安全负总责；审签SAE/AESI；决定停药/退出/再引入策略。</w:t>
      </w:r>
    </w:p>
    <w:p w14:paraId="5B235C32">
      <w:pPr>
        <w:pStyle w:val="16"/>
        <w:jc w:val="left"/>
      </w:pPr>
      <w:r>
        <w:t>研究者/Sub-I：完成临床复核、DAIDS分级、因果关系判定与处置；执行停药、替换与再引入。</w:t>
      </w:r>
    </w:p>
    <w:p w14:paraId="794AE3B0">
      <w:pPr>
        <w:pStyle w:val="16"/>
        <w:jc w:val="left"/>
      </w:pPr>
      <w:r>
        <w:t>CRC/RA：组织PRO填写与提醒；采集源文件；在EDC录入并维护AE条目；跟踪随访与补充信息。</w:t>
      </w:r>
    </w:p>
    <w:p w14:paraId="2796D821">
      <w:pPr>
        <w:pStyle w:val="16"/>
        <w:jc w:val="left"/>
      </w:pPr>
      <w:r>
        <w:t>药师/药物管理人员：核对用药、相互作用与服药方法；参与分次服药、与食物/多价阳离子间隔管理；协助再引入剂量核对。</w:t>
      </w:r>
    </w:p>
    <w:p w14:paraId="783FF699">
      <w:pPr>
        <w:pStyle w:val="16"/>
        <w:jc w:val="left"/>
      </w:pPr>
      <w:r>
        <w:t>安全管理员/数据管理员：核查PRO红旗、实验室/心电红旗与AE记录一致性；推动Query闭环；协调上报流程。</w:t>
      </w:r>
    </w:p>
    <w:p w14:paraId="30C29682">
      <w:pPr>
        <w:pStyle w:val="3"/>
      </w:pPr>
      <w:r>
        <w:t>5. 安全监测与触发机制（PRO + 客观检查联动）</w:t>
      </w:r>
    </w:p>
    <w:p w14:paraId="088A5FEB">
      <w:pPr>
        <w:pStyle w:val="14"/>
        <w:jc w:val="left"/>
      </w:pPr>
      <w:r>
        <w:t>触发源：</w:t>
      </w:r>
    </w:p>
    <w:p w14:paraId="19AD0576">
      <w:pPr>
        <w:pStyle w:val="14"/>
        <w:jc w:val="left"/>
      </w:pPr>
      <w:r>
        <w:t>患者端：PRO-CTCAE®（扫码填写；默认回顾窗口为过去7天）。</w:t>
      </w:r>
    </w:p>
    <w:p w14:paraId="6901B114">
      <w:pPr>
        <w:pStyle w:val="14"/>
        <w:jc w:val="left"/>
      </w:pPr>
      <w:r>
        <w:t>研究者端：问诊/体检、合并用药核查、非计划就诊记录。</w:t>
      </w:r>
    </w:p>
    <w:p w14:paraId="39979E08">
      <w:pPr>
        <w:pStyle w:val="14"/>
        <w:jc w:val="left"/>
      </w:pPr>
      <w:r>
        <w:t>客观检查：实验室（肝肾功能、血常规、电解质等）与心电（QTcF）；TB-DM人群需结合血糖监测（指尖血糖/CGM/实验室血糖）与必要时血酮/尿酮评估；必要时专科检查。</w:t>
      </w:r>
    </w:p>
    <w:p w14:paraId="05BAB0A7">
      <w:pPr>
        <w:pStyle w:val="14"/>
        <w:jc w:val="left"/>
      </w:pPr>
      <w:r>
        <w:t>联动原则：</w:t>
      </w:r>
    </w:p>
    <w:p w14:paraId="22178149">
      <w:pPr>
        <w:pStyle w:val="14"/>
        <w:jc w:val="left"/>
      </w:pPr>
      <w:r>
        <w:t>PRO出现红旗 → EDC自动生成“待复核任务单”。</w:t>
      </w:r>
    </w:p>
    <w:p w14:paraId="75B910CE">
      <w:pPr>
        <w:pStyle w:val="14"/>
        <w:jc w:val="left"/>
      </w:pPr>
      <w:r>
        <w:t>实验室/心电触发阈值（见SOP09）→ 自动生成复核任务单并提示处置优先级。</w:t>
      </w:r>
    </w:p>
    <w:p w14:paraId="033F5830">
      <w:pPr>
        <w:pStyle w:val="14"/>
        <w:jc w:val="left"/>
      </w:pPr>
      <w:r>
        <w:t>研究者复核后必须给出结论：构成AE则建立/更新AE条目并完成分级；不构成AE则记录理由并关闭任务单。</w:t>
      </w:r>
    </w:p>
    <w:p w14:paraId="18BF2C2F">
      <w:pPr>
        <w:pStyle w:val="3"/>
      </w:pPr>
      <w:r>
        <w:t>6. AE记录与随访闭环（操作步骤）</w:t>
      </w:r>
    </w:p>
    <w:p w14:paraId="2A23A35C">
      <w:pPr>
        <w:pStyle w:val="14"/>
        <w:jc w:val="left"/>
      </w:pPr>
      <w:r>
        <w:t>确认事件：记录发生日期、症状/体征、相关检查结果、合并用药与伴随治疗。</w:t>
      </w:r>
    </w:p>
    <w:p w14:paraId="3BD82D3D">
      <w:pPr>
        <w:pStyle w:val="14"/>
        <w:jc w:val="left"/>
      </w:pPr>
      <w:r>
        <w:t>分级：实验室/心电按EDC自动Grade（若可用）并由研究者确认；临床事件按DAIDS原则分级。</w:t>
      </w:r>
    </w:p>
    <w:p w14:paraId="73ED6D43">
      <w:pPr>
        <w:pStyle w:val="14"/>
        <w:jc w:val="left"/>
      </w:pPr>
      <w:r>
        <w:t>因果关系：采用WHO-UMC；明确（至少）“可能相关/不太可能/无关/不可评估”。</w:t>
      </w:r>
    </w:p>
    <w:p w14:paraId="048F36D5">
      <w:pPr>
        <w:pStyle w:val="14"/>
        <w:jc w:val="left"/>
      </w:pPr>
      <w:r>
        <w:t>处置：按第8节算法执行（对症、监测强化、暂停/停用、替换、再引入）。</w:t>
      </w:r>
    </w:p>
    <w:p w14:paraId="53874FAE">
      <w:pPr>
        <w:pStyle w:val="14"/>
        <w:jc w:val="left"/>
      </w:pPr>
      <w:r>
        <w:t>随访：直至恢复、稳定或达到结局（含死亡）；记录关键节点（停药、复测、再引入与结果）。</w:t>
      </w:r>
    </w:p>
    <w:p w14:paraId="62781B4F">
      <w:pPr>
        <w:pStyle w:val="14"/>
        <w:jc w:val="left"/>
      </w:pPr>
      <w:r>
        <w:t>报告：按研究方案、伦理与法规执行，并遵循“分级上报+持续补报”原则（建议见第9节表格）：SAE研究者知悉后24小时内启动初报；特定AESI通常在24–72小时内上报；Grade≥3 AE（非SAE）在72小时内录入；一般AE在访视后3个自然日内录入。</w:t>
      </w:r>
    </w:p>
    <w:p w14:paraId="05275D06">
      <w:pPr>
        <w:pStyle w:val="14"/>
        <w:jc w:val="left"/>
      </w:pPr>
      <w:r>
        <w:t>数据核对：安全管理员核对“红旗触发 → 任务单 → AE条目 → 处置与结局 → 源文件”一致性并完成Query闭环。</w:t>
      </w:r>
    </w:p>
    <w:p w14:paraId="38E29887">
      <w:pPr>
        <w:pStyle w:val="3"/>
      </w:pPr>
      <w:r>
        <w:t>7. 剂量调整、暂停与退出原则（与方案一致）</w:t>
      </w:r>
    </w:p>
    <w:p w14:paraId="15E751B0">
      <w:pPr>
        <w:pStyle w:val="16"/>
        <w:jc w:val="left"/>
      </w:pPr>
      <w:r>
        <w:t>原则上不允许随意调整抗结核药物剂量；仅在研究方案允许的特定情形下执行（例如：周围神经病变可调整H剂量或加强Vit B6补充等）。</w:t>
      </w:r>
    </w:p>
    <w:p w14:paraId="3E6D82DF">
      <w:pPr>
        <w:pStyle w:val="16"/>
        <w:jc w:val="left"/>
      </w:pPr>
      <w:r>
        <w:t>出现方案中止标准时必须立即停药并启动安全流程（例如：</w:t>
      </w:r>
      <w:r>
        <w:rPr>
          <w:rFonts w:hint="eastAsia"/>
        </w:rPr>
        <w:t>满足第8.1节DILI“立即停药触发”阈值</w:t>
      </w:r>
      <w:r>
        <w:t>；QTcF &gt;500 ms 等）。</w:t>
      </w:r>
    </w:p>
    <w:p w14:paraId="798B560F">
      <w:pPr>
        <w:pStyle w:val="16"/>
        <w:jc w:val="left"/>
      </w:pPr>
      <w:r>
        <w:t>任何再引入（re-challenge）需在症状/指标恢复至安全阈值后，由PI批准并在严密监测下逐步进行（见第8.1/8.2/8.3）。</w:t>
      </w:r>
    </w:p>
    <w:p w14:paraId="07F568EF">
      <w:pPr>
        <w:pStyle w:val="3"/>
      </w:pPr>
      <w:r>
        <w:t>8. 重点不良反应处置算法（Playbook）</w:t>
      </w:r>
    </w:p>
    <w:p w14:paraId="4AFDADBB">
      <w:pPr>
        <w:pStyle w:val="4"/>
      </w:pPr>
      <w:r>
        <w:t>8.1 药物性肝损伤（DILI）</w:t>
      </w:r>
    </w:p>
    <w:p w14:paraId="3A323494">
      <w:r>
        <w:t>立即停药触发（满足任一条）：</w:t>
      </w:r>
    </w:p>
    <w:p w14:paraId="184AB372">
      <w:pPr>
        <w:pStyle w:val="16"/>
        <w:jc w:val="left"/>
      </w:pPr>
      <w:r>
        <w:t>ALT或AST &gt;3×ULN 且伴肝炎症状（恶心/呕吐/腹痛/乏力/黄疸）；或</w:t>
      </w:r>
    </w:p>
    <w:p w14:paraId="1CB91A52">
      <w:pPr>
        <w:pStyle w:val="16"/>
        <w:jc w:val="left"/>
      </w:pPr>
      <w:r>
        <w:t>ALT或AST &gt;5×ULN（无论是否有症状）；或</w:t>
      </w:r>
    </w:p>
    <w:p w14:paraId="27505585">
      <w:pPr>
        <w:pStyle w:val="16"/>
        <w:jc w:val="left"/>
      </w:pPr>
      <w:r>
        <w:t>总胆红素（TBil） &gt;2×ULN（伴或不伴转氨酶升高）。</w:t>
      </w:r>
    </w:p>
    <w:p w14:paraId="5173DA47">
      <w:r>
        <w:t>处置要点：</w:t>
      </w:r>
    </w:p>
    <w:p w14:paraId="0FB2B0D9">
      <w:pPr>
        <w:pStyle w:val="14"/>
        <w:jc w:val="left"/>
      </w:pPr>
      <w:r>
        <w:t>立即暂停所有潜在肝毒性研究药物；在研究方案允许范围内，结合临床判断保留/替换允许的非肝毒性治疗。</w:t>
      </w:r>
    </w:p>
    <w:p w14:paraId="4DFE8800">
      <w:pPr>
        <w:pStyle w:val="14"/>
        <w:jc w:val="left"/>
      </w:pPr>
      <w:r>
        <w:t>完善鉴别诊断：病毒性肝炎、酒精、胆道梗阻、合并用药等；必要时肝病专科会诊。</w:t>
      </w:r>
    </w:p>
    <w:p w14:paraId="0AA4327C">
      <w:pPr>
        <w:pStyle w:val="14"/>
        <w:jc w:val="left"/>
      </w:pPr>
      <w:r>
        <w:t>监测：建议至少每周复查肝功1–2次直至恢复；若出现肝衰风险（TBil升高、INR异常、意识改变等）按SAE处理。</w:t>
      </w:r>
    </w:p>
    <w:p w14:paraId="3722CF55">
      <w:pPr>
        <w:pStyle w:val="14"/>
        <w:jc w:val="left"/>
      </w:pPr>
      <w:r>
        <w:t>再引入（re-challenge）：肝酶降至 &lt;2×ULN 且症状消失后，在PI批准下按“一次一种、先关键后可疑”的顺序逐步恢复；每引入一种药物后3–7天复查肝功。</w:t>
      </w:r>
    </w:p>
    <w:p w14:paraId="3F3CDCC2">
      <w:pPr>
        <w:pStyle w:val="14"/>
        <w:jc w:val="left"/>
      </w:pPr>
      <w:r>
        <w:t>复发判定：再引入过程中若再次达到停药阈值或症状复燃，判定该步骤药物为责任药物并停止再引入，调整方案并记录。</w:t>
      </w:r>
    </w:p>
    <w:p w14:paraId="4557E893">
      <w:pPr>
        <w:pStyle w:val="4"/>
      </w:pPr>
      <w:r>
        <w:t>8.2 皮疹/过敏反应（含严重皮肤不良反应SCAR）</w:t>
      </w:r>
    </w:p>
    <w:p w14:paraId="6E934D85">
      <w:pPr>
        <w:pStyle w:val="16"/>
        <w:jc w:val="left"/>
      </w:pPr>
      <w:r>
        <w:t>识别要点：皮疹范围（%BSA）、形态（斑丘疹/荨麻疹/起疱）、黏膜受累、伴发热/淋巴结肿大/嗜酸细胞增多等。</w:t>
      </w:r>
    </w:p>
    <w:p w14:paraId="7CF93C41">
      <w:pPr>
        <w:pStyle w:val="16"/>
        <w:jc w:val="left"/>
      </w:pPr>
      <w:r>
        <w:t>轻度（通常G1）：可继续给药 + 抗组胺/外用治疗，密切随访。</w:t>
      </w:r>
    </w:p>
    <w:p w14:paraId="3944C4A2">
      <w:pPr>
        <w:pStyle w:val="16"/>
        <w:jc w:val="left"/>
      </w:pPr>
      <w:r>
        <w:t>中度（G2）：通常暂停可疑药物并对症治疗；完全消退后在PI批准下可考虑单药逐步、小剂量递增的再引入/脱敏策略。</w:t>
      </w:r>
    </w:p>
    <w:p w14:paraId="15E225D2">
      <w:pPr>
        <w:pStyle w:val="16"/>
        <w:jc w:val="left"/>
      </w:pPr>
      <w:r>
        <w:t>重度/危及生命（G3–G4；疑SJS/TEN、DRESS、过敏性休克）：立即停用所有可疑药物，住院抢救；绝对禁忌再激发；按SAE/AESI快速报告。</w:t>
      </w:r>
    </w:p>
    <w:p w14:paraId="02ABB340">
      <w:pPr>
        <w:pStyle w:val="4"/>
      </w:pPr>
      <w:r>
        <w:t>8.3 QTcF延长（以M为重点）</w:t>
      </w:r>
    </w:p>
    <w:p w14:paraId="2CD84D25">
      <w:pPr>
        <w:pStyle w:val="16"/>
        <w:jc w:val="left"/>
      </w:pPr>
      <w:r>
        <w:t>统一采用Fridericia校正（QTcF）。</w:t>
      </w:r>
    </w:p>
    <w:p w14:paraId="41386208">
      <w:pPr>
        <w:pStyle w:val="16"/>
        <w:jc w:val="left"/>
      </w:pPr>
      <w:r>
        <w:t>QTcF &gt;500 ms 或较基线延长 &gt;60 ms：立即暂停可能致QT药物（优先M），约1小时及24小时复测心电；纠正电解质（K/Mg/Ca）并停用非必需致QT药；必要时心内会诊与监护。仅当QTcF恢复至方案允许阈值并经PI批准，方可恢复或更换药物。</w:t>
      </w:r>
    </w:p>
    <w:p w14:paraId="2285E987">
      <w:pPr>
        <w:pStyle w:val="16"/>
        <w:jc w:val="left"/>
      </w:pPr>
      <w:r>
        <w:t>QTcF 481–500 ms：继续治疗但提高监测频率（按方案/PI决定）；积极纠正电解质；尽量停用非必需致QT药。</w:t>
      </w:r>
    </w:p>
    <w:p w14:paraId="62935C45">
      <w:pPr>
        <w:pStyle w:val="16"/>
        <w:jc w:val="left"/>
      </w:pPr>
      <w:r>
        <w:t>QTcF 450–480 ms：继续治疗；复核并纠正电解质；回顾合并用药。</w:t>
      </w:r>
    </w:p>
    <w:p w14:paraId="1073AE68">
      <w:pPr>
        <w:pStyle w:val="16"/>
        <w:jc w:val="left"/>
      </w:pPr>
      <w:r>
        <w:t>若出现尖端扭转型室速或严重心律失常：永久停用致QT药物并按SAE处理。</w:t>
      </w:r>
    </w:p>
    <w:p w14:paraId="184429E9">
      <w:pPr>
        <w:pStyle w:val="4"/>
      </w:pPr>
      <w:r>
        <w:t>8.4 周围神经病变与视神经毒性（以H相关为重点）</w:t>
      </w:r>
    </w:p>
    <w:p w14:paraId="387DA9F1">
      <w:pPr>
        <w:pStyle w:val="16"/>
        <w:jc w:val="left"/>
      </w:pPr>
      <w:r>
        <w:t>Vit B6：建议所有受试者常规补充；高危（如糖尿病、营养不良等）可在PI指导下加量。</w:t>
      </w:r>
    </w:p>
    <w:p w14:paraId="1A340152">
      <w:pPr>
        <w:pStyle w:val="16"/>
        <w:jc w:val="left"/>
      </w:pPr>
      <w:r>
        <w:t>周围神经症状（麻木/刺痛/灼痛）：按功能影响分级并记录；G1以继续治疗+加量Vit B6+对症为主；G2需评估暂停/调整H或并行镇痛；G3通常需停用H并神经科评估。</w:t>
      </w:r>
    </w:p>
    <w:p w14:paraId="79F3BB77">
      <w:pPr>
        <w:pStyle w:val="16"/>
        <w:jc w:val="left"/>
      </w:pPr>
      <w:r>
        <w:t>出现急性视力下降/色觉异常需紧急排除严重眼病并专科会诊；如正在使用乙胺丁醇（E），应立即停用E直至排除视神经病变；如考虑药物相关应按SAE/AESI流程记录与上报。</w:t>
      </w:r>
    </w:p>
    <w:p w14:paraId="1BF0D1C7">
      <w:pPr>
        <w:pStyle w:val="4"/>
      </w:pPr>
      <w:r>
        <w:t>8.5 高尿酸/关节痛与胃肠道耐受性（Z常见）</w:t>
      </w:r>
    </w:p>
    <w:p w14:paraId="3D87AD90">
      <w:pPr>
        <w:pStyle w:val="16"/>
        <w:jc w:val="left"/>
      </w:pPr>
      <w:r>
        <w:t>无症状尿酸升高通常不需停药；出现痛风发作或关节痛影响功能时，优先按专科路径对症处理，并评估是否需按方案调整/停用Z。</w:t>
      </w:r>
    </w:p>
    <w:p w14:paraId="73EFA3DB">
      <w:pPr>
        <w:pStyle w:val="16"/>
        <w:jc w:val="left"/>
      </w:pPr>
      <w:r>
        <w:t>恶心/呕吐/腹泻：优先对症治疗与依从性管理（分次服药、餐后策略、补液与电解质监测）；出现脱水、无法口服摄入或需急诊/住院者按G3–G4处理并评估暂停药物。</w:t>
      </w:r>
    </w:p>
    <w:p w14:paraId="230AE087">
      <w:pPr>
        <w:pStyle w:val="4"/>
      </w:pPr>
      <w:r>
        <w:t>8.6 血液学、肾功能与电解质异常（与SOP09/08联动）</w:t>
      </w:r>
    </w:p>
    <w:p w14:paraId="6F1215ED">
      <w:pPr>
        <w:pStyle w:val="16"/>
        <w:jc w:val="left"/>
      </w:pPr>
      <w:r>
        <w:t>实验室异常优先按EDC自动分级（DAIDS）与红旗任务单执行；研究者完成临床意义判断与处置。</w:t>
      </w:r>
    </w:p>
    <w:p w14:paraId="02EF3625">
      <w:pPr>
        <w:pStyle w:val="16"/>
        <w:jc w:val="left"/>
      </w:pPr>
      <w:r>
        <w:t>出现ANC显著下降伴发热、肌酐快速升高、K/Mg显著降低合并QT风险等，应优先安排非计划访视并评估SAE/AESI。</w:t>
      </w:r>
    </w:p>
    <w:p w14:paraId="48D74E31">
      <w:pPr>
        <w:pStyle w:val="4"/>
      </w:pPr>
      <w:r>
        <w:t>8.7 低血糖/高血糖危象与糖尿病相关急症（AESI）</w:t>
      </w:r>
    </w:p>
    <w:p w14:paraId="01D27587">
      <w:r>
        <w:t>本节用于TB-DM人群特异安全风险管理。发生严重低血糖或疑似DKA/HHS时，优先按急救路径处理，并在24小时内记录与上报（见第9节）。</w:t>
      </w:r>
    </w:p>
    <w:p w14:paraId="6B2A53FC">
      <w:pPr>
        <w:pStyle w:val="16"/>
      </w:pPr>
      <w:r>
        <w:t>（1）严重低血糖识别：需要他人协助的低血糖事件，或伴意识障碍/抽搐；建议现场以指尖血糖&lt;3.0 mmol/L并伴明显症状作为红旗阈值。</w:t>
      </w:r>
    </w:p>
    <w:p w14:paraId="6AE6D8AD">
      <w:pPr>
        <w:pStyle w:val="16"/>
      </w:pPr>
      <w:r>
        <w:t>处置要点：清醒者立即口服快速糖（15–20 g），15分钟复测血糖并重复；不能口服或意识障碍者给予静脉葡萄糖或肌注/鼻喷胰高血糖素并转急诊/住院；同步评估降糖药、进食与感染控制情况，必要时调整降糖方案并记录。</w:t>
      </w:r>
    </w:p>
    <w:p w14:paraId="5BC76CEB">
      <w:pPr>
        <w:pStyle w:val="16"/>
      </w:pPr>
      <w:r>
        <w:t>（2）疑似DKA/HHS：出现明显脱水、恶心呕吐/腹痛、深大呼吸、意识改变、血糖显著升高并伴血酮/尿酮阳性或酸中毒提示时，应立即启动急救/住院路径；补液、胰岛素与电解质纠正按内分泌/急诊流程执行。</w:t>
      </w:r>
    </w:p>
    <w:p w14:paraId="356DB05B">
      <w:pPr>
        <w:pStyle w:val="16"/>
      </w:pPr>
      <w:r>
        <w:t>记录与随访：记录诱因（感染、药物相互作用、依从性差、激素使用等）、关键检验（血糖、酮体、血气、渗透压、电解质）、处置、结局与是否构成SAE/AESI；出院后需强化血糖监测并复评抗结核与降糖用药相互作用。</w:t>
      </w:r>
    </w:p>
    <w:p w14:paraId="63100A30">
      <w:pPr>
        <w:pStyle w:val="3"/>
      </w:pPr>
      <w:r>
        <w:t>9. SAE/AESI报告与文档要求</w:t>
      </w:r>
    </w:p>
    <w:p w14:paraId="694EB9F0">
      <w:pPr>
        <w:pStyle w:val="16"/>
        <w:jc w:val="left"/>
      </w:pPr>
      <w:r>
        <w:t>时限与初报要求（建议，若中心法规/伦理更严格则从其规定）：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94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7854CACF">
            <w:pPr>
              <w:spacing w:after="0"/>
            </w:pPr>
            <w:r>
              <w:t>事件类型</w:t>
            </w:r>
          </w:p>
        </w:tc>
        <w:tc>
          <w:tcPr>
            <w:tcW w:w="2160" w:type="dxa"/>
            <w:vAlign w:val="top"/>
          </w:tcPr>
          <w:p w14:paraId="0FAC43C4">
            <w:pPr>
              <w:spacing w:after="0"/>
            </w:pPr>
            <w:r>
              <w:t>初报时限（建议）</w:t>
            </w:r>
          </w:p>
        </w:tc>
        <w:tc>
          <w:tcPr>
            <w:tcW w:w="2160" w:type="dxa"/>
            <w:vAlign w:val="top"/>
          </w:tcPr>
          <w:p w14:paraId="1A0D56D8">
            <w:pPr>
              <w:spacing w:after="0"/>
            </w:pPr>
            <w:r>
              <w:t>随访/补充报告</w:t>
            </w:r>
          </w:p>
        </w:tc>
        <w:tc>
          <w:tcPr>
            <w:tcW w:w="2160" w:type="dxa"/>
            <w:vAlign w:val="top"/>
          </w:tcPr>
          <w:p w14:paraId="762BF6C1">
            <w:pPr>
              <w:spacing w:after="0"/>
            </w:pPr>
            <w:r>
              <w:t>关键要求</w:t>
            </w:r>
          </w:p>
        </w:tc>
      </w:tr>
      <w:tr w14:paraId="431B3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254B2555">
            <w:pPr>
              <w:spacing w:after="0"/>
            </w:pPr>
            <w:r>
              <w:t>SAE</w:t>
            </w:r>
          </w:p>
        </w:tc>
        <w:tc>
          <w:tcPr>
            <w:tcW w:w="2160" w:type="dxa"/>
            <w:vAlign w:val="top"/>
          </w:tcPr>
          <w:p w14:paraId="2DCD1E84">
            <w:pPr>
              <w:spacing w:after="0"/>
            </w:pPr>
            <w:r>
              <w:t>研究者知悉后24小时内</w:t>
            </w:r>
          </w:p>
        </w:tc>
        <w:tc>
          <w:tcPr>
            <w:tcW w:w="2160" w:type="dxa"/>
            <w:vAlign w:val="top"/>
          </w:tcPr>
          <w:p w14:paraId="53059894">
            <w:pPr>
              <w:spacing w:after="0"/>
            </w:pPr>
            <w:r>
              <w:t>在获得新信息后及时补报，直至结局明确</w:t>
            </w:r>
          </w:p>
        </w:tc>
        <w:tc>
          <w:tcPr>
            <w:tcW w:w="2160" w:type="dxa"/>
            <w:vAlign w:val="top"/>
          </w:tcPr>
          <w:p w14:paraId="467326A6">
            <w:pPr>
              <w:spacing w:after="0"/>
            </w:pPr>
            <w:r>
              <w:t>同步通知PMO/医学监查；必要时提交IRB/监管</w:t>
            </w:r>
          </w:p>
        </w:tc>
      </w:tr>
      <w:tr w14:paraId="3F24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2BCCA61A">
            <w:pPr>
              <w:spacing w:after="0"/>
            </w:pPr>
            <w:r>
              <w:t>AESI（部分可等同SAE管理）</w:t>
            </w:r>
          </w:p>
        </w:tc>
        <w:tc>
          <w:tcPr>
            <w:tcW w:w="2160" w:type="dxa"/>
            <w:vAlign w:val="top"/>
          </w:tcPr>
          <w:p w14:paraId="10C1B075">
            <w:pPr>
              <w:spacing w:after="0"/>
            </w:pPr>
            <w:r>
              <w:t>知悉后24–72小时内（按类别）</w:t>
            </w:r>
          </w:p>
        </w:tc>
        <w:tc>
          <w:tcPr>
            <w:tcW w:w="2160" w:type="dxa"/>
            <w:vAlign w:val="top"/>
          </w:tcPr>
          <w:p w14:paraId="4D43B7E0">
            <w:pPr>
              <w:spacing w:after="0"/>
            </w:pPr>
            <w:r>
              <w:t>按处置与检查结果持续更新</w:t>
            </w:r>
          </w:p>
        </w:tc>
        <w:tc>
          <w:tcPr>
            <w:tcW w:w="2160" w:type="dxa"/>
            <w:vAlign w:val="top"/>
          </w:tcPr>
          <w:p w14:paraId="3F180185">
            <w:pPr>
              <w:spacing w:after="0"/>
            </w:pPr>
            <w:r>
              <w:t>重点关注神经/视力、骨髓抑制、DILI、QTcF、严重低血糖或DKA/HHS等</w:t>
            </w:r>
          </w:p>
        </w:tc>
      </w:tr>
      <w:tr w14:paraId="474A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3D9F309B">
            <w:pPr>
              <w:spacing w:after="0"/>
            </w:pPr>
            <w:r>
              <w:t>Grade ≥3 AE（非SAE）</w:t>
            </w:r>
          </w:p>
        </w:tc>
        <w:tc>
          <w:tcPr>
            <w:tcW w:w="2160" w:type="dxa"/>
            <w:vAlign w:val="top"/>
          </w:tcPr>
          <w:p w14:paraId="44244FE1">
            <w:pPr>
              <w:spacing w:after="0"/>
            </w:pPr>
            <w:r>
              <w:t>知悉后72小时内</w:t>
            </w:r>
          </w:p>
        </w:tc>
        <w:tc>
          <w:tcPr>
            <w:tcW w:w="2160" w:type="dxa"/>
            <w:vAlign w:val="top"/>
          </w:tcPr>
          <w:p w14:paraId="715FAE22">
            <w:pPr>
              <w:spacing w:after="0"/>
            </w:pPr>
            <w:r>
              <w:t>按随访节点评估恢复/结局</w:t>
            </w:r>
          </w:p>
        </w:tc>
        <w:tc>
          <w:tcPr>
            <w:tcW w:w="2160" w:type="dxa"/>
            <w:vAlign w:val="top"/>
          </w:tcPr>
          <w:p w14:paraId="7FD1CED4">
            <w:pPr>
              <w:spacing w:after="0"/>
            </w:pPr>
            <w:r>
              <w:t>触发处置算法与再评估；必要时升级为AESI/SAE</w:t>
            </w:r>
          </w:p>
        </w:tc>
      </w:tr>
      <w:tr w14:paraId="54AC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61C8C043">
            <w:pPr>
              <w:spacing w:after="0"/>
            </w:pPr>
            <w:r>
              <w:t>一般AE</w:t>
            </w:r>
          </w:p>
        </w:tc>
        <w:tc>
          <w:tcPr>
            <w:tcW w:w="2160" w:type="dxa"/>
            <w:vAlign w:val="top"/>
          </w:tcPr>
          <w:p w14:paraId="401A9F67">
            <w:pPr>
              <w:spacing w:after="0"/>
            </w:pPr>
            <w:r>
              <w:t>访视后3个自然日内录入</w:t>
            </w:r>
          </w:p>
        </w:tc>
        <w:tc>
          <w:tcPr>
            <w:tcW w:w="2160" w:type="dxa"/>
            <w:vAlign w:val="top"/>
          </w:tcPr>
          <w:p w14:paraId="1296856F">
            <w:pPr>
              <w:spacing w:after="0"/>
            </w:pPr>
            <w:r>
              <w:t>如未恢复需持续记录</w:t>
            </w:r>
          </w:p>
        </w:tc>
        <w:tc>
          <w:tcPr>
            <w:tcW w:w="2160" w:type="dxa"/>
            <w:vAlign w:val="top"/>
          </w:tcPr>
          <w:p w14:paraId="34632D21">
            <w:pPr>
              <w:spacing w:after="0"/>
            </w:pPr>
            <w:r>
              <w:t>按标准化字段记录；与PRO/实验室/心电任务单闭环</w:t>
            </w:r>
          </w:p>
        </w:tc>
      </w:tr>
    </w:tbl>
    <w:p w14:paraId="3A4E6233">
      <w:pPr>
        <w:pStyle w:val="16"/>
        <w:jc w:val="left"/>
      </w:pPr>
      <w:r>
        <w:t>随访：直至恢复、稳定或达到结局；对DILI、QTcF红线、SCAR、严重神经/眼毒性等AESI需记录关键检查、停药与再引入过程。</w:t>
      </w:r>
    </w:p>
    <w:p w14:paraId="39CADA2C">
      <w:pPr>
        <w:pStyle w:val="16"/>
        <w:jc w:val="left"/>
      </w:pPr>
      <w:r>
        <w:t>源文件：门急诊/住院病历、检验报告、心电图原始记录、照片（皮疹）等必须可追溯。</w:t>
      </w:r>
    </w:p>
    <w:p w14:paraId="28384482">
      <w:pPr>
        <w:pStyle w:val="3"/>
      </w:pPr>
      <w:r>
        <w:t>10. 培训与质量控制（建议）</w:t>
      </w:r>
    </w:p>
    <w:p w14:paraId="0F33BB03">
      <w:pPr>
        <w:pStyle w:val="16"/>
        <w:jc w:val="left"/>
      </w:pPr>
      <w:r>
        <w:t>上岗培训：DAIDS分级原则、红线触发（DILI/QTcF）、SAE/AESI报告流程、EDC任务单闭环。</w:t>
      </w:r>
    </w:p>
    <w:p w14:paraId="7643FBA5">
      <w:pPr>
        <w:pStyle w:val="16"/>
        <w:jc w:val="left"/>
      </w:pPr>
      <w:r>
        <w:t>复训与演练：建议每季度进行典型场景桌面演练（DILI、QTcF、严重皮疹、视力下降等）。</w:t>
      </w:r>
    </w:p>
    <w:p w14:paraId="07E79151">
      <w:pPr>
        <w:pStyle w:val="16"/>
        <w:jc w:val="left"/>
      </w:pPr>
      <w:r>
        <w:t>质量指标（可选）：PRO完成率；红旗任务单关闭率；SAE快速报告合规率；Query关闭时效。</w:t>
      </w:r>
    </w:p>
    <w:p w14:paraId="5EAA1776">
      <w:pPr>
        <w:pStyle w:val="3"/>
      </w:pPr>
      <w:r>
        <w:t>附录A：非计划安全性访视检查清单（可直接贴入随访表）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B8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72A86E">
            <w:pPr>
              <w:jc w:val="left"/>
            </w:pPr>
            <w:r>
              <w:t>模块</w:t>
            </w:r>
          </w:p>
        </w:tc>
        <w:tc>
          <w:tcPr>
            <w:tcW w:w="4320" w:type="dxa"/>
          </w:tcPr>
          <w:p w14:paraId="303305F5">
            <w:pPr>
              <w:jc w:val="left"/>
            </w:pPr>
            <w:r>
              <w:t>建议采集内容</w:t>
            </w:r>
          </w:p>
        </w:tc>
      </w:tr>
      <w:tr w14:paraId="1367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81FAE0">
            <w:pPr>
              <w:jc w:val="left"/>
            </w:pPr>
            <w:r>
              <w:t>主诉与症状</w:t>
            </w:r>
          </w:p>
        </w:tc>
        <w:tc>
          <w:tcPr>
            <w:tcW w:w="4320" w:type="dxa"/>
          </w:tcPr>
          <w:p w14:paraId="47A3D690">
            <w:pPr>
              <w:jc w:val="left"/>
            </w:pPr>
            <w:r>
              <w:t>本次触发原因；症状起止与严重程度；伴随症状（发热、黄疸、心悸、晕厥、皮疹、神经症状等）；回顾PRO-CTCAE红旗条目</w:t>
            </w:r>
          </w:p>
        </w:tc>
      </w:tr>
      <w:tr w14:paraId="77CD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DB99A1">
            <w:pPr>
              <w:jc w:val="left"/>
            </w:pPr>
            <w:r>
              <w:t>用药核查</w:t>
            </w:r>
          </w:p>
        </w:tc>
        <w:tc>
          <w:tcPr>
            <w:tcW w:w="4320" w:type="dxa"/>
          </w:tcPr>
          <w:p w14:paraId="68BF7A56">
            <w:pPr>
              <w:jc w:val="left"/>
            </w:pPr>
            <w:r>
              <w:t>研究药物服用时间/漏服/分次；最近7天合并用药（含止吐/抗生素/中草药等）；潜在致QT或肝毒药物</w:t>
            </w:r>
          </w:p>
        </w:tc>
      </w:tr>
      <w:tr w14:paraId="5DF6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E31E6C">
            <w:pPr>
              <w:jc w:val="left"/>
            </w:pPr>
            <w:r>
              <w:t>体征检查</w:t>
            </w:r>
          </w:p>
        </w:tc>
        <w:tc>
          <w:tcPr>
            <w:tcW w:w="4320" w:type="dxa"/>
          </w:tcPr>
          <w:p w14:paraId="3DDA6A30">
            <w:pPr>
              <w:jc w:val="left"/>
            </w:pPr>
            <w:r>
              <w:t>生命体征；皮疹面积/黏膜；脱水体征；心肺检查；神经系统简单查体</w:t>
            </w:r>
          </w:p>
        </w:tc>
      </w:tr>
      <w:tr w14:paraId="7880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76E451">
            <w:pPr>
              <w:jc w:val="left"/>
            </w:pPr>
            <w:r>
              <w:t>关键检查</w:t>
            </w:r>
          </w:p>
        </w:tc>
        <w:tc>
          <w:tcPr>
            <w:tcW w:w="4320" w:type="dxa"/>
          </w:tcPr>
          <w:p w14:paraId="0FBA8305">
            <w:r>
              <w:t>肝功（ALT/AST/TBil/ALP等）±INR；肾功（Cr/eGFR）；电解质（K/Mg/Ca）；血常规；必要时心电（QTcF）；TB-DM相关：指尖血糖/实验室血糖，疑DKA/HHS时加做血酮/尿酮、血气/渗透压等。</w:t>
            </w:r>
          </w:p>
        </w:tc>
      </w:tr>
      <w:tr w14:paraId="302E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8BD098">
            <w:pPr>
              <w:jc w:val="left"/>
            </w:pPr>
            <w:r>
              <w:t>处置与随访</w:t>
            </w:r>
          </w:p>
        </w:tc>
        <w:tc>
          <w:tcPr>
            <w:tcW w:w="4320" w:type="dxa"/>
          </w:tcPr>
          <w:p w14:paraId="56DF5D34">
            <w:pPr>
              <w:jc w:val="left"/>
            </w:pPr>
            <w:r>
              <w:t>暂停/停用药物；对症治疗；复测安排；转诊/住院；SAE/AESI上报；任务单关闭与EDC记录</w:t>
            </w:r>
          </w:p>
        </w:tc>
      </w:tr>
    </w:tbl>
    <w:p w14:paraId="31D4F80F">
      <w:pPr>
        <w:pStyle w:val="3"/>
      </w:pPr>
      <w:r>
        <w:t>附录B：EDC自动红旗建议（摘要，详见SOP09）</w:t>
      </w:r>
    </w:p>
    <w:p w14:paraId="447655BF">
      <w:pPr>
        <w:pStyle w:val="16"/>
        <w:jc w:val="left"/>
      </w:pPr>
      <w:r>
        <w:t>DILI红旗：ALT或AST ≥5×ULN；或TBil ≥2.6×ULN；或ALT/AST ≥3×ULN且TBil ≥2×ULN。</w:t>
      </w:r>
    </w:p>
    <w:p w14:paraId="419BF6DD">
      <w:pPr>
        <w:pStyle w:val="16"/>
        <w:jc w:val="left"/>
      </w:pPr>
      <w:r>
        <w:t>QT红线：QTcF &gt;500 ms或Δ&gt;60 ms；QT中风险：QTcF 481–500 ms。</w:t>
      </w:r>
    </w:p>
    <w:p w14:paraId="6182033F">
      <w:pPr>
        <w:pStyle w:val="16"/>
        <w:jc w:val="left"/>
      </w:pPr>
      <w:r>
        <w:t>电解质联动：K &lt;3.0或Mg/Ca低于阈值时提示“纠正后复测心电”。</w:t>
      </w:r>
    </w:p>
    <w:p w14:paraId="18564509">
      <w:pPr>
        <w:pStyle w:val="16"/>
        <w:jc w:val="left"/>
      </w:pPr>
      <w:r>
        <w:t>感染风险：ANC &lt;600或ANC &lt;400（红旗）。</w:t>
      </w:r>
    </w:p>
    <w:p w14:paraId="52A8CF16">
      <w:pPr>
        <w:pStyle w:val="16"/>
      </w:pPr>
      <w:r>
        <w:t>糖代谢红旗：严重低血糖（需他人协助、意识障碍/抽搐，或指尖血糖&lt;3.0 mmol/L并伴明显症状）→ 立即医学评估；疑似DKA/HHS（恶心呕吐、腹痛、深大呼吸、意识改变、严重脱水、血糖显著升高伴血酮/尿酮阳性等）→ 启动急救/住院路径，并在24小时内记录与上报。</w:t>
      </w:r>
    </w:p>
    <w:p w14:paraId="35ACB891">
      <w:pPr>
        <w:pStyle w:val="3"/>
      </w:pPr>
      <w:r>
        <w:t>11. 版本管理与修订记录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AC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3DF2067E">
            <w:pPr>
              <w:spacing w:after="0"/>
            </w:pPr>
            <w:r>
              <w:t>版本</w:t>
            </w:r>
          </w:p>
        </w:tc>
        <w:tc>
          <w:tcPr>
            <w:tcW w:w="2160" w:type="dxa"/>
            <w:vAlign w:val="top"/>
          </w:tcPr>
          <w:p w14:paraId="093A4E2C">
            <w:pPr>
              <w:spacing w:after="0"/>
            </w:pPr>
            <w:r>
              <w:t>日期</w:t>
            </w:r>
          </w:p>
        </w:tc>
        <w:tc>
          <w:tcPr>
            <w:tcW w:w="2160" w:type="dxa"/>
            <w:vAlign w:val="top"/>
          </w:tcPr>
          <w:p w14:paraId="51A6A4F1">
            <w:pPr>
              <w:spacing w:after="0"/>
            </w:pPr>
            <w:r>
              <w:t>修订说明</w:t>
            </w:r>
          </w:p>
        </w:tc>
        <w:tc>
          <w:tcPr>
            <w:tcW w:w="2160" w:type="dxa"/>
            <w:vAlign w:val="top"/>
          </w:tcPr>
          <w:p w14:paraId="0A86CCC6">
            <w:pPr>
              <w:spacing w:after="0"/>
            </w:pPr>
            <w:r>
              <w:t>批准</w:t>
            </w:r>
          </w:p>
        </w:tc>
      </w:tr>
      <w:tr w14:paraId="0A87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6D50FDF1">
            <w:pPr>
              <w:spacing w:after="0"/>
            </w:pPr>
            <w:r>
              <w:t>V1.0</w:t>
            </w:r>
          </w:p>
        </w:tc>
        <w:tc>
          <w:tcPr>
            <w:tcW w:w="2160" w:type="dxa"/>
            <w:vAlign w:val="top"/>
          </w:tcPr>
          <w:p w14:paraId="7203CF7D">
            <w:pPr>
              <w:spacing w:after="0"/>
            </w:pPr>
            <w:r>
              <w:t>2026-02-07</w:t>
            </w:r>
          </w:p>
        </w:tc>
        <w:tc>
          <w:tcPr>
            <w:tcW w:w="2160" w:type="dxa"/>
            <w:vAlign w:val="top"/>
          </w:tcPr>
          <w:p w14:paraId="207D9ED7">
            <w:pPr>
              <w:spacing w:after="0"/>
            </w:pPr>
            <w:r>
              <w:t>首次发布。</w:t>
            </w:r>
          </w:p>
        </w:tc>
        <w:tc>
          <w:tcPr>
            <w:tcW w:w="2160" w:type="dxa"/>
            <w:vAlign w:val="top"/>
          </w:tcPr>
          <w:p w14:paraId="657FE84C">
            <w:pPr>
              <w:spacing w:after="0"/>
            </w:pPr>
            <w:r>
              <w:t>_____</w:t>
            </w:r>
          </w:p>
        </w:tc>
      </w:tr>
      <w:tr w14:paraId="391F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7900E184">
            <w:pPr>
              <w:spacing w:after="0"/>
            </w:pPr>
            <w:r>
              <w:t>V1.1</w:t>
            </w:r>
          </w:p>
        </w:tc>
        <w:tc>
          <w:tcPr>
            <w:tcW w:w="2160" w:type="dxa"/>
            <w:vAlign w:val="top"/>
          </w:tcPr>
          <w:p w14:paraId="0E276855">
            <w:pPr>
              <w:spacing w:after="0"/>
            </w:pPr>
            <w:r>
              <w:t>2026-03-04</w:t>
            </w:r>
          </w:p>
        </w:tc>
        <w:tc>
          <w:tcPr>
            <w:tcW w:w="2160" w:type="dxa"/>
            <w:vAlign w:val="top"/>
          </w:tcPr>
          <w:p w14:paraId="1361961F">
            <w:pPr>
              <w:spacing w:after="0"/>
            </w:pPr>
            <w:r>
              <w:t>对齐研究方案V2.0（2026-02-28）：明确DAIDS为唯一分级体系；补充AESI清单与AE/SAE时限表；纳入乙胺丁醇（E）视神经毒性管理；新增TB-DM人群严重低血糖与DKA/HHS处置算法；更新非计划安全访视检查清单与EDC红旗。</w:t>
            </w:r>
          </w:p>
        </w:tc>
        <w:tc>
          <w:tcPr>
            <w:tcW w:w="2160" w:type="dxa"/>
            <w:vAlign w:val="top"/>
          </w:tcPr>
          <w:p w14:paraId="2E834DA0">
            <w:pPr>
              <w:spacing w:after="0"/>
            </w:pPr>
            <w:r>
              <w:t>_____</w:t>
            </w:r>
          </w:p>
        </w:tc>
      </w:tr>
    </w:tbl>
    <w:p w14:paraId="2CAC9F9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666CC"/>
    <w:rsid w:val="63D77671"/>
    <w:rsid w:val="7A2E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left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4931</Words>
  <Characters>6030</Characters>
  <Lines>0</Lines>
  <Paragraphs>0</Paragraphs>
  <TotalTime>3</TotalTime>
  <ScaleCrop>false</ScaleCrop>
  <LinksUpToDate>false</LinksUpToDate>
  <CharactersWithSpaces>6129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FB63A755CE1548F3A5BE9B5E75C0F7F0_12</vt:lpwstr>
  </property>
</Properties>
</file>