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AD281">
      <w:pPr>
        <w:pStyle w:val="31"/>
        <w:widowControl/>
        <w:ind w:firstLine="643" w:firstLineChars="200"/>
      </w:pPr>
      <w:r>
        <w:t>TDSC研究SOP09：研究药物不良反应处理方法</w:t>
      </w:r>
    </w:p>
    <w:p w14:paraId="39F2A7FC">
      <w:pPr>
        <w:spacing w:after="0"/>
      </w:pPr>
      <w:r>
        <w:t>覆盖：AE识别 → 分级 → 处置 → 随访 → 报告 → 数据核对闭环（与SOP06/08/09联动）</w:t>
      </w:r>
    </w:p>
    <w:p w14:paraId="34C9958A">
      <w:pPr>
        <w:pStyle w:val="31"/>
        <w:widowControl/>
        <w:ind w:firstLine="1928" w:firstLineChars="600"/>
      </w:pPr>
      <w:r>
        <w:t>AE Management Playbook</w:t>
      </w:r>
    </w:p>
    <w:p w14:paraId="2632E20F"/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6135"/>
      </w:tblGrid>
      <w:tr w14:paraId="2A85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pct"/>
          </w:tcPr>
          <w:p w14:paraId="1E826A29">
            <w:pPr>
              <w:jc w:val="left"/>
            </w:pPr>
            <w:r>
              <w:t>SOP编号</w:t>
            </w:r>
          </w:p>
        </w:tc>
        <w:tc>
          <w:tcPr>
            <w:tcW w:w="3463" w:type="pct"/>
          </w:tcPr>
          <w:p w14:paraId="5A644057">
            <w:pPr>
              <w:jc w:val="left"/>
            </w:pPr>
            <w:r>
              <w:t>TDSC-SOP10</w:t>
            </w:r>
          </w:p>
        </w:tc>
      </w:tr>
      <w:tr w14:paraId="0DCC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pct"/>
          </w:tcPr>
          <w:p w14:paraId="3DE2F63A">
            <w:pPr>
              <w:jc w:val="left"/>
            </w:pPr>
            <w:r>
              <w:t>版本</w:t>
            </w:r>
          </w:p>
        </w:tc>
        <w:tc>
          <w:tcPr>
            <w:tcW w:w="3463" w:type="pct"/>
            <w:vAlign w:val="top"/>
          </w:tcPr>
          <w:p w14:paraId="74978BA8">
            <w:pPr>
              <w:spacing w:after="0"/>
            </w:pPr>
            <w:r>
              <w:t>V1.1</w:t>
            </w:r>
          </w:p>
        </w:tc>
      </w:tr>
      <w:tr w14:paraId="5D496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pct"/>
          </w:tcPr>
          <w:p w14:paraId="24141CA9">
            <w:pPr>
              <w:jc w:val="left"/>
            </w:pPr>
            <w:r>
              <w:t>生效日期</w:t>
            </w:r>
          </w:p>
        </w:tc>
        <w:tc>
          <w:tcPr>
            <w:tcW w:w="3463" w:type="pct"/>
            <w:vAlign w:val="top"/>
          </w:tcPr>
          <w:p w14:paraId="1FB71BAF">
            <w:pPr>
              <w:spacing w:after="0"/>
            </w:pPr>
            <w:r>
              <w:t>2026-03-04</w:t>
            </w:r>
          </w:p>
        </w:tc>
      </w:tr>
      <w:tr w14:paraId="404BA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pct"/>
          </w:tcPr>
          <w:p w14:paraId="58F7CEC9">
            <w:pPr>
              <w:jc w:val="left"/>
            </w:pPr>
            <w:r>
              <w:t>适用版本</w:t>
            </w:r>
          </w:p>
        </w:tc>
        <w:tc>
          <w:tcPr>
            <w:tcW w:w="3463" w:type="pct"/>
            <w:vAlign w:val="top"/>
          </w:tcPr>
          <w:p w14:paraId="2DC61832">
            <w:pPr>
              <w:spacing w:after="0"/>
            </w:pPr>
            <w:r>
              <w:t>TDSC V2.0（2026-02-28）及后续等效版本</w:t>
            </w:r>
          </w:p>
        </w:tc>
      </w:tr>
      <w:tr w14:paraId="243C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pct"/>
          </w:tcPr>
          <w:p w14:paraId="22A0DF52">
            <w:pPr>
              <w:jc w:val="left"/>
            </w:pPr>
            <w:r>
              <w:t>依据</w:t>
            </w:r>
          </w:p>
        </w:tc>
        <w:tc>
          <w:tcPr>
            <w:tcW w:w="3463" w:type="pct"/>
          </w:tcPr>
          <w:p w14:paraId="4C99B971">
            <w:pPr>
              <w:jc w:val="left"/>
            </w:pPr>
            <w:r>
              <w:t>TDSC研究方案安全性条款；</w:t>
            </w:r>
            <w:r>
              <w:rPr>
                <w:rFonts w:hint="eastAsia"/>
              </w:rPr>
              <w:t>DAIDS AE Grading Table v2.1（Corrected, 2017-07；作为本研究唯一严重度分级体系，用于日常分级、EDC自动分级与统计分析）</w:t>
            </w:r>
            <w:r>
              <w:t>。</w:t>
            </w:r>
          </w:p>
        </w:tc>
      </w:tr>
      <w:tr w14:paraId="0F09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pct"/>
          </w:tcPr>
          <w:p w14:paraId="2CFBA7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关联文件</w:t>
            </w:r>
          </w:p>
        </w:tc>
        <w:tc>
          <w:tcPr>
            <w:tcW w:w="3463" w:type="pct"/>
          </w:tcPr>
          <w:p w14:paraId="2BA4C727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SOP00：文件体系/版本控制/培训；SOP0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：方案与剂量表；SOP0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：服药方法与依从性；SOP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：DAIDS+PRO-CTCAE联合应用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0A5E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pct"/>
          </w:tcPr>
          <w:p w14:paraId="414F31A6">
            <w:pPr>
              <w:jc w:val="left"/>
            </w:pPr>
            <w:r>
              <w:t>适用对象</w:t>
            </w:r>
          </w:p>
        </w:tc>
        <w:tc>
          <w:tcPr>
            <w:tcW w:w="3463" w:type="pct"/>
          </w:tcPr>
          <w:p w14:paraId="4464BBC3">
            <w:pPr>
              <w:jc w:val="left"/>
            </w:pPr>
            <w:r>
              <w:t>研究者/研究护士/CRC/药师/安全管理员/数据管理与监查人员</w:t>
            </w:r>
          </w:p>
        </w:tc>
      </w:tr>
    </w:tbl>
    <w:p w14:paraId="34EFC5F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目的与适用范围</w:t>
      </w:r>
    </w:p>
    <w:p w14:paraId="470A5D8D">
      <w:pPr>
        <w:pStyle w:val="19"/>
        <w:widowControl/>
      </w:pPr>
      <w:r>
        <w:t>本SOP用于确保TDSC研究中与研究药物相关或可能相关的不良事件（AE）能够被早期发现、标准化分级、及时干预、合规报告，并实现数据闭环。适用于筛选期、治疗期及随访期；涵盖计划访视与非计划安全性访视。</w:t>
      </w:r>
    </w:p>
    <w:p w14:paraId="67B3557C">
      <w:pPr>
        <w:pStyle w:val="19"/>
        <w:widowControl/>
      </w:pPr>
      <w:r>
        <w:t>PRO-CTCAE用于患者报告症状的采集与预警；不良事件严重程度分级及所有关键安全性分析均仅基于DAIDS标准，不采用CTCAE分级体系。</w:t>
      </w:r>
    </w:p>
    <w:p w14:paraId="15E720F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适用治疗方案与研究药物（摘要）</w:t>
      </w:r>
    </w:p>
    <w:p w14:paraId="38778409">
      <w:pPr>
        <w:pStyle w:val="19"/>
        <w:widowControl/>
      </w:pPr>
      <w:r>
        <w:t>TDSC研究方案包含以异烟肼（H）、利福霉素类（R或P）、乙胺丁醇（E）、莫西沙星（M）、吡嗪酰胺（Z）为核心的方案及对照方案（详见SOP03）。本SOP聚焦上述核心药物的可预见安全性风险与标准化处置。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AFC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822D444">
            <w:pPr>
              <w:jc w:val="left"/>
            </w:pPr>
            <w:r>
              <w:t>药物（缩写）</w:t>
            </w:r>
          </w:p>
        </w:tc>
        <w:tc>
          <w:tcPr>
            <w:tcW w:w="1666" w:type="pct"/>
          </w:tcPr>
          <w:p w14:paraId="4B79FDB9">
            <w:pPr>
              <w:jc w:val="left"/>
            </w:pPr>
            <w:r>
              <w:t>主要关注风险（提示）</w:t>
            </w:r>
          </w:p>
        </w:tc>
        <w:tc>
          <w:tcPr>
            <w:tcW w:w="1666" w:type="pct"/>
          </w:tcPr>
          <w:p w14:paraId="422EE79F">
            <w:pPr>
              <w:jc w:val="left"/>
            </w:pPr>
            <w:r>
              <w:t>现场管理要点（摘要）</w:t>
            </w:r>
          </w:p>
        </w:tc>
      </w:tr>
      <w:tr w14:paraId="40E0C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AA88DDD">
            <w:pPr>
              <w:jc w:val="left"/>
            </w:pPr>
            <w:r>
              <w:t>利福喷丁/利福平（P/R）</w:t>
            </w:r>
          </w:p>
        </w:tc>
        <w:tc>
          <w:tcPr>
            <w:tcW w:w="1666" w:type="pct"/>
          </w:tcPr>
          <w:p w14:paraId="37FE38BF">
            <w:pPr>
              <w:jc w:val="left"/>
            </w:pPr>
            <w:r>
              <w:t>肝毒性；药物相互作用（酶诱导）；胃肠道反应</w:t>
            </w:r>
          </w:p>
        </w:tc>
        <w:tc>
          <w:tcPr>
            <w:tcW w:w="1666" w:type="pct"/>
          </w:tcPr>
          <w:p w14:paraId="4021CF41">
            <w:pPr>
              <w:jc w:val="left"/>
            </w:pPr>
            <w:r>
              <w:t>与SOP04一致（P需随餐）；核对合并用药；出现DILI信号按第8.1执行</w:t>
            </w:r>
          </w:p>
        </w:tc>
      </w:tr>
      <w:tr w14:paraId="08A8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2C2AA08">
            <w:pPr>
              <w:jc w:val="left"/>
            </w:pPr>
            <w:r>
              <w:t>异烟肼（H）</w:t>
            </w:r>
          </w:p>
        </w:tc>
        <w:tc>
          <w:tcPr>
            <w:tcW w:w="1666" w:type="pct"/>
          </w:tcPr>
          <w:p w14:paraId="4B8B531E">
            <w:pPr>
              <w:jc w:val="left"/>
            </w:pPr>
            <w:r>
              <w:t>肝毒性；周围神经病变（糖尿病受试者需鉴别）</w:t>
            </w:r>
          </w:p>
        </w:tc>
        <w:tc>
          <w:tcPr>
            <w:tcW w:w="1666" w:type="pct"/>
          </w:tcPr>
          <w:p w14:paraId="0B27F9FC">
            <w:pPr>
              <w:jc w:val="left"/>
            </w:pPr>
            <w:r>
              <w:t>常规补充Vit B6；出现神经症状按第8.4；出现DILI信号按第8.1</w:t>
            </w:r>
          </w:p>
        </w:tc>
      </w:tr>
      <w:tr w14:paraId="0C9D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1369246">
            <w:pPr>
              <w:jc w:val="left"/>
            </w:pPr>
            <w:r>
              <w:t>莫西沙星（M）</w:t>
            </w:r>
          </w:p>
        </w:tc>
        <w:tc>
          <w:tcPr>
            <w:tcW w:w="1666" w:type="pct"/>
          </w:tcPr>
          <w:p w14:paraId="1F9A7D6F">
            <w:pPr>
              <w:jc w:val="left"/>
            </w:pPr>
            <w:r>
              <w:t>QTcF延长；电解质异常联动；肌腱相关事件（少见）</w:t>
            </w:r>
          </w:p>
        </w:tc>
        <w:tc>
          <w:tcPr>
            <w:tcW w:w="1666" w:type="pct"/>
          </w:tcPr>
          <w:p w14:paraId="55EFE0F1">
            <w:pPr>
              <w:jc w:val="left"/>
            </w:pPr>
            <w:r>
              <w:t>QTcF按第8.3；纠正K/Mg/Ca并复测；避免合并非必需致QT药</w:t>
            </w:r>
          </w:p>
        </w:tc>
      </w:tr>
      <w:tr w14:paraId="7D3D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C4BE716">
            <w:pPr>
              <w:jc w:val="left"/>
            </w:pPr>
            <w:r>
              <w:t>吡嗪酰胺（Z）</w:t>
            </w:r>
          </w:p>
        </w:tc>
        <w:tc>
          <w:tcPr>
            <w:tcW w:w="1666" w:type="pct"/>
          </w:tcPr>
          <w:p w14:paraId="1F7F618F">
            <w:pPr>
              <w:jc w:val="left"/>
            </w:pPr>
            <w:r>
              <w:t>肝毒性；高尿酸/关节痛；胃肠道反应</w:t>
            </w:r>
          </w:p>
        </w:tc>
        <w:tc>
          <w:tcPr>
            <w:tcW w:w="1666" w:type="pct"/>
          </w:tcPr>
          <w:p w14:paraId="101E3681">
            <w:pPr>
              <w:jc w:val="left"/>
            </w:pPr>
            <w:r>
              <w:t>无症状高尿酸通常不需停药；痛风/功能受限按第8.5；DILI按第8.1</w:t>
            </w:r>
          </w:p>
        </w:tc>
      </w:tr>
      <w:tr w14:paraId="3BDF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3D2425A">
            <w:r>
              <w:t>乙胺丁醇（E）</w:t>
            </w:r>
          </w:p>
        </w:tc>
        <w:tc>
          <w:tcPr>
            <w:tcW w:w="1666" w:type="pct"/>
          </w:tcPr>
          <w:p w14:paraId="69353F9F">
            <w:r>
              <w:t>视神经毒性（视力/色觉下降）；皮疹（少见）；胃肠道反应</w:t>
            </w:r>
          </w:p>
        </w:tc>
        <w:tc>
          <w:tcPr>
            <w:tcW w:w="1666" w:type="pct"/>
          </w:tcPr>
          <w:p w14:paraId="2DDDBAA9">
            <w:r>
              <w:t>治疗期询问视力/色觉变化；出现视力下降/色觉异常立即停E并眼科会诊（见第8.4）；疑严重过敏按第8.2</w:t>
            </w:r>
          </w:p>
        </w:tc>
      </w:tr>
    </w:tbl>
    <w:p w14:paraId="5435580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术语与分类口径</w:t>
      </w:r>
    </w:p>
    <w:p w14:paraId="1707DEDC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AE：受试者在研究期间出现的任何不良医学事件（不要求与研究药物存在因果关系）。</w:t>
      </w:r>
    </w:p>
    <w:p w14:paraId="281D4D3B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SAE：符合研究方案/伦理/法规要求的严重不良事件（如死亡、危及生命、住院或延长住院、致残/致畸等）。</w:t>
      </w:r>
    </w:p>
    <w:p w14:paraId="3E63EA56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AESI：方案预设需重点监测与快速处置的不良事件集合（与研究药物风险谱及TB-DM人群特征相关）。建议至少包括：肝损伤/疑似DILI；QTcF延长或心律失常；周围神经病变与视神经病变；骨髓抑制；严重过敏反应/重症皮肤不良反应（SCAR）；严重胃肠道不耐受（影响吸收/依从性或导致脱水/电解质紊乱）；严重低血糖或糖尿病高血糖危象（DKA/HHS）。</w:t>
      </w:r>
    </w:p>
    <w:p w14:paraId="3CB20D5E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分级口径：本研究全程以DAIDS AE Grading Table v2.1（Corrected, 2017-07）为唯一严重度分级体系（Grade 1–4）；实验室与心电（含QTcF）可由EDC自动分级提示并由研究者确认。PRO-CTCAE用于症状捕获与预警，不替代DAIDS分级。</w:t>
      </w:r>
    </w:p>
    <w:p w14:paraId="054F8510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因果关系：推荐WHO-UMC分类；多药联合情况下结合去激发（de-challenge）与再激发（re-challenge）反应判断责任药物。</w:t>
      </w:r>
    </w:p>
    <w:p w14:paraId="6ABEBF2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角色与职责</w:t>
      </w:r>
    </w:p>
    <w:p w14:paraId="2093B08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PI：对中心受试者安全负总责；审签SAE/AESI；决定停药/退出/再引入策略。</w:t>
      </w:r>
    </w:p>
    <w:p w14:paraId="5B235C32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研究者/Sub-I：完成临床复核、DAIDS分级、因果关系判定与处置；执行停药、替换与再引入。</w:t>
      </w:r>
    </w:p>
    <w:p w14:paraId="794AE3B0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CRC/RA：组织PRO填写与提醒；采集源文件；在EDC录入并维护AE条目；跟踪随访与补充信息。</w:t>
      </w:r>
    </w:p>
    <w:p w14:paraId="2796D82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药师/药物管理人员：核对用药、相互作用与服药方法；参与分次服药、与食物/多价阳离子间隔管理；协助再引入剂量核对。</w:t>
      </w:r>
    </w:p>
    <w:p w14:paraId="783FF699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安全管理员/数据管理员：核查PRO红旗、实验室/心电红旗与AE记录一致性；推动Query闭环；协调上报流程。</w:t>
      </w:r>
    </w:p>
    <w:p w14:paraId="30C2968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安全监测与触发机制（PRO + 客观检查联动）</w:t>
      </w:r>
    </w:p>
    <w:p w14:paraId="088A5FEB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触发源：</w:t>
      </w:r>
    </w:p>
    <w:p w14:paraId="19AD0576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患者端：PRO-CTCAE®（扫码填写；默认回顾窗口为过去7天）。</w:t>
      </w:r>
    </w:p>
    <w:p w14:paraId="6901B114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研究者端：问诊/体检、合并用药核查、非计划就诊记录。</w:t>
      </w:r>
    </w:p>
    <w:p w14:paraId="39979E08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客观检查：实验室（肝肾功能、血常规、电解质等）与心电（QTcF）；TB-DM人群需结合血糖监测（指尖血糖/CGM/实验室血糖）与必要时血酮/尿酮评估；必要时专科检查。</w:t>
      </w:r>
    </w:p>
    <w:p w14:paraId="05BAB0A7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联动原则：</w:t>
      </w:r>
    </w:p>
    <w:p w14:paraId="22178149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PRO出现红旗 → EDC自动生成“待复核任务单”。</w:t>
      </w:r>
    </w:p>
    <w:p w14:paraId="75B910CE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实验室/心电触发阈值（见SOP09）→ 自动生成复核任务单并提示处置优先级。</w:t>
      </w:r>
    </w:p>
    <w:p w14:paraId="033F5830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研究者复核后必须给出结论：构成AE则建立/更新AE条目并完成分级；不构成AE则记录理由并关闭任务单。</w:t>
      </w:r>
    </w:p>
    <w:p w14:paraId="18BF2C2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AE记录与随访闭环（操作步骤）</w:t>
      </w:r>
    </w:p>
    <w:p w14:paraId="2A23A35C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确认事件：记录发生日期、症状/体征、相关检查结果、合并用药与伴随治疗。</w:t>
      </w:r>
    </w:p>
    <w:p w14:paraId="3BD82D3D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分级：实验室/心电按EDC自动Grade（若可用）并由研究者确认；临床事件按DAIDS原则分级。</w:t>
      </w:r>
    </w:p>
    <w:p w14:paraId="73ED6D43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因果关系：采用WHO-UMC；明确（至少）“可能相关/不太可能/无关/不可评估”。</w:t>
      </w:r>
    </w:p>
    <w:p w14:paraId="048F36D5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处置：按第8节算法执行（对症、监测强化、暂停/停用、替换、再引入）。</w:t>
      </w:r>
    </w:p>
    <w:p w14:paraId="53874FAE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随访：直至恢复、稳定或达到结局（含死亡）；记录关键节点（停药、复测、再引入与结果）。</w:t>
      </w:r>
    </w:p>
    <w:p w14:paraId="62781B4F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报告：按研究方案、伦理与法规执行，并遵循“分级上报+持续补报”原则（建议见第9节表格）：SAE研究者知悉后24小时内启动初报；特定AESI通常在24–72小时内上报；Grade≥3 AE（非SAE）在72小时内录入；一般AE在访视后3个自然日内录入。</w:t>
      </w:r>
    </w:p>
    <w:p w14:paraId="05275D06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数据核对：安全管理员核对“红旗触发 → 任务单 → AE条目 → 处置与结局 → 源文件”一致性并完成Query闭环。</w:t>
      </w:r>
    </w:p>
    <w:p w14:paraId="38E29887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/>
        </w:rPr>
      </w:pPr>
      <w:r>
        <w:t>剂量调整、暂停与退出原则（与方案一致）</w:t>
      </w:r>
    </w:p>
    <w:p w14:paraId="15E751B0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原则上不允许随意调整抗结核药物剂量；仅在研究方案允许的特定情形下执行（例如：周围神经病变可调整H剂量或加强Vit B6补充等）。</w:t>
      </w:r>
    </w:p>
    <w:p w14:paraId="3E6D82DF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出现方案中止标准时必须立即停药并启动安全流程（例如：满足第8.1节DILI“立即停药触发”阈值；QTcF &gt;500 ms 等）。</w:t>
      </w:r>
    </w:p>
    <w:p w14:paraId="798B560F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任何再引入（re-challenge）需在症状/指标恢复至安全阈值后，由PI批准并在严密监测下逐步进行（见第8.1/8.2/8.3）。</w:t>
      </w:r>
    </w:p>
    <w:p w14:paraId="07F568EF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/>
        </w:rPr>
      </w:pPr>
      <w:r>
        <w:t>重点不良反应处置算法（Playbook）</w:t>
      </w:r>
    </w:p>
    <w:p w14:paraId="4AFDADBB">
      <w:pPr>
        <w:pStyle w:val="4"/>
        <w:widowControl/>
      </w:pPr>
      <w:r>
        <w:t>8.1 药物性肝损伤（DILI）</w:t>
      </w:r>
    </w:p>
    <w:p w14:paraId="3A323494">
      <w:pPr>
        <w:pStyle w:val="19"/>
        <w:widowControl/>
      </w:pPr>
      <w:r>
        <w:t>立即停药触发（满足任一条）：</w:t>
      </w:r>
    </w:p>
    <w:p w14:paraId="184AB372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ALT或AST &gt;3×ULN 且伴肝炎症状（恶心/呕吐/腹痛/乏力/黄疸）；或</w:t>
      </w:r>
    </w:p>
    <w:p w14:paraId="1CB91A52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ALT或AST &gt;5×ULN（无论是否有症状）；或</w:t>
      </w:r>
    </w:p>
    <w:p w14:paraId="27505585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总胆红素（TBil） &gt;2×ULN（伴或不伴转氨酶升高）。</w:t>
      </w:r>
    </w:p>
    <w:p w14:paraId="5173DA47">
      <w:pPr>
        <w:pStyle w:val="19"/>
        <w:widowControl/>
      </w:pPr>
      <w:r>
        <w:t>处置要点：</w:t>
      </w:r>
    </w:p>
    <w:p w14:paraId="0FB2B0D9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立即暂停所有潜在肝毒性研究药物；在研究方案允许范围内，结合临床判断保留/替换允许的非肝毒性治疗。</w:t>
      </w:r>
    </w:p>
    <w:p w14:paraId="4DFE8800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完善鉴别诊断：病毒性肝炎、酒精、胆道梗阻、合并用药等；必要时肝病专科会诊。</w:t>
      </w:r>
    </w:p>
    <w:p w14:paraId="0AA4327C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监测：建议至少每周复查肝功1–2次直至恢复；若出现肝衰风险（TBil升高、INR异常、意识改变等）按SAE处理。</w:t>
      </w:r>
    </w:p>
    <w:p w14:paraId="3722CF55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再引入（re-challenge）：肝酶降至 &lt;2×ULN 且症状消失后，在PI批准下按“一次一种、先关键后可疑”的顺序逐步恢复；每引入一种药物后3–7天复查肝功。</w:t>
      </w:r>
    </w:p>
    <w:p w14:paraId="3F3CDCC2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</w:rPr>
      </w:pPr>
      <w:r>
        <w:t>复发判定：再引入过程中若再次达到停药阈值或症状复燃，判定该步骤药物为责任药物并停止再引入，调整方案并记录。</w:t>
      </w:r>
    </w:p>
    <w:p w14:paraId="4557E893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皮疹/过敏反应（含严重皮肤不良反应SCAR）</w:t>
      </w:r>
    </w:p>
    <w:p w14:paraId="6E934D85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识别要点：皮疹范围（%BSA）、形态（斑丘疹/荨麻疹/起疱）、黏膜受累、伴发热/淋巴结肿大/嗜酸细胞增多等。</w:t>
      </w:r>
    </w:p>
    <w:p w14:paraId="7CF93C4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轻度（通常G1）：可继续给药 + 抗组胺/外用治疗，密切随访。</w:t>
      </w:r>
    </w:p>
    <w:p w14:paraId="3944C4A2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中度（G2）：通常暂停可疑药物并对症治疗；完全消退后在PI批准下可考虑单药逐步、小剂量递增的再引入/脱敏策略。</w:t>
      </w:r>
    </w:p>
    <w:p w14:paraId="15E225D2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重度/危及生命（G3–G4；疑SJS/TEN、DRESS、过敏性休克）：立即停用所有可疑药物，住院抢救；绝对禁忌再激发；按SAE/AESI快速报告。</w:t>
      </w:r>
    </w:p>
    <w:p w14:paraId="02ABB340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QTcF延长（以M为重点）</w:t>
      </w:r>
    </w:p>
    <w:p w14:paraId="2CD84D25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统一采用Fridericia校正（QTcF）。</w:t>
      </w:r>
    </w:p>
    <w:p w14:paraId="41386208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QTcF &gt;500 ms 或较基线延长 &gt;60 ms：立即暂停可能致QT药物（优先M），约1小时及24小时复测心电；纠正电解质（K/Mg/Ca）并停用非必需致QT药；必要时心内会诊与监护。仅当QTcF恢复至方案允许阈值并经PI批准，方可恢复或更换药物。</w:t>
      </w:r>
    </w:p>
    <w:p w14:paraId="2285E987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QTcF 481–500 ms：继续治疗但提高监测频率（按方案/PI决定）；积极纠正电解质；尽量停用非必需致QT药。</w:t>
      </w:r>
    </w:p>
    <w:p w14:paraId="62935C45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QTcF 450–480 ms：继续治疗；复核并纠正电解质；回顾合并用药。</w:t>
      </w:r>
    </w:p>
    <w:p w14:paraId="1073AE68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若出现尖端扭转型室速或严重心律失常：永</w:t>
      </w:r>
      <w:bookmarkStart w:id="0" w:name="_GoBack"/>
      <w:bookmarkEnd w:id="0"/>
      <w:r>
        <w:t>久停用致QT药物并按SAE处理。</w:t>
      </w:r>
    </w:p>
    <w:p w14:paraId="184429E9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周围神经病变与视神经毒性（以H相关为重点）</w:t>
      </w:r>
    </w:p>
    <w:p w14:paraId="387DA9F1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Vit B6：建议所有受试者常规补充；高危（如糖尿病、营养不良等）可在PI指导下加量。</w:t>
      </w:r>
    </w:p>
    <w:p w14:paraId="1A340152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周围神经症状（麻木/刺痛/灼痛）：按功能影响分级并记录；G1以继续治疗+加量Vit B6+对症为主；G2需评估暂停/调整H或并行镇痛；G3通常需停用H并神经科评估。</w:t>
      </w:r>
    </w:p>
    <w:p w14:paraId="79F3BB77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出现急性视力下降/色觉异常需紧急排除严重眼病并专科会诊；如正在使用乙胺丁醇（E），应立即停用E直至排除视神经病变；如考虑药物相关应按SAE/AESI流程记录与上报。</w:t>
      </w:r>
    </w:p>
    <w:p w14:paraId="1BF0D1C7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高尿酸/关节痛与胃肠道耐受性（Z常见）</w:t>
      </w:r>
    </w:p>
    <w:p w14:paraId="3D87AD90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无症状尿酸升高通常不需停药；出现痛风发作或关节痛影响功能时，优先按专科路径对症处理，并评估是否需按方案调整/停用Z。</w:t>
      </w:r>
    </w:p>
    <w:p w14:paraId="73EFA3DB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恶心/呕吐/腹泻：优先对症治疗与依从性管理（分次服药、餐后策略、补液与电解质监测）；出现脱水、无法口服摄入或需急诊/住院者按G3–G4处理并评估暂停药物。</w:t>
      </w:r>
    </w:p>
    <w:p w14:paraId="230AE087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血液学、肾功能与电解质异常（与SOP09/08联动）</w:t>
      </w:r>
    </w:p>
    <w:p w14:paraId="6F1215ED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实验室异常优先按EDC自动分级（DAIDS）与红旗任务单执行；研究者完成临床意义判断与处置。</w:t>
      </w:r>
    </w:p>
    <w:p w14:paraId="02EF3625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出现ANC显著下降伴发热、肌酐快速升高、K/Mg显著降低合并QT风险等，应优先安排非计划访视并评估SAE/AESI。</w:t>
      </w:r>
    </w:p>
    <w:p w14:paraId="48D74E31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低血糖/高血糖危象与糖尿病相关急症（AESI）</w:t>
      </w:r>
    </w:p>
    <w:p w14:paraId="01D27587">
      <w:pPr>
        <w:pStyle w:val="19"/>
        <w:widowControl/>
      </w:pPr>
      <w:r>
        <w:t>本节用于TB-DM人群特异安全风险管理。发生严重低血糖或疑似DKA/HHS时，优先按急救路径处理，并在24小时内记录与上报（见第9节）。</w:t>
      </w:r>
    </w:p>
    <w:p w14:paraId="6B2A53FC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（1）严重低血糖识别：需要他人协助的低血糖事件，或伴意识障碍/抽搐；建议现场以指尖血糖&lt;3.0 mmol/L并伴明显症状作为红旗阈值。</w:t>
      </w:r>
    </w:p>
    <w:p w14:paraId="6AE6D8AD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处置要点：清醒者立即口服快速糖（15–20 g），15分钟复测血糖并重复；不能口服或意识障碍者给予静脉葡萄糖或肌注/鼻喷胰高血糖素并转急诊/住院；同步评估降糖药、进食与感染控制情况，必要时调整降糖方案并记录。</w:t>
      </w:r>
    </w:p>
    <w:p w14:paraId="5BC76CEB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（2）疑似DKA/HHS：出现明显脱水、恶心呕吐/腹痛、深大呼吸、意识改变、血糖显著升高并伴血酮/尿酮阳性或酸中毒提示时，应立即启动急救/住院路径；补液、胰岛素与电解质纠正按内分泌/急诊流程执行。</w:t>
      </w:r>
    </w:p>
    <w:p w14:paraId="356DB05B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记录与随访：记录诱因（感染、药物相互作用、依从性差、激素使用等）、关键检验（血糖、酮体、血气、渗透压、电解质）、处置、结局与是否构成SAE/AESI；出院后需强化血糖监测并复评抗结核与降糖用药相互作用。</w:t>
      </w:r>
    </w:p>
    <w:p w14:paraId="63100A30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</w:rPr>
      </w:pPr>
      <w:r>
        <w:t>SAE/AESI报告与文档要求</w:t>
      </w:r>
    </w:p>
    <w:p w14:paraId="694EB9F0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时限与初报要求（建议，若中心法规/伦理更严格则从其规定）：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294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7854CACF">
            <w:pPr>
              <w:spacing w:after="0"/>
            </w:pPr>
            <w:r>
              <w:t>事件类型</w:t>
            </w:r>
          </w:p>
        </w:tc>
        <w:tc>
          <w:tcPr>
            <w:tcW w:w="1250" w:type="pct"/>
            <w:vAlign w:val="top"/>
          </w:tcPr>
          <w:p w14:paraId="0FAC43C4">
            <w:pPr>
              <w:spacing w:after="0"/>
            </w:pPr>
            <w:r>
              <w:t>初报时限（建议）</w:t>
            </w:r>
          </w:p>
        </w:tc>
        <w:tc>
          <w:tcPr>
            <w:tcW w:w="1250" w:type="pct"/>
            <w:vAlign w:val="top"/>
          </w:tcPr>
          <w:p w14:paraId="1A0D56D8">
            <w:pPr>
              <w:spacing w:after="0"/>
            </w:pPr>
            <w:r>
              <w:t>随访/补充报告</w:t>
            </w:r>
          </w:p>
        </w:tc>
        <w:tc>
          <w:tcPr>
            <w:tcW w:w="1250" w:type="pct"/>
            <w:vAlign w:val="top"/>
          </w:tcPr>
          <w:p w14:paraId="762BF6C1">
            <w:pPr>
              <w:spacing w:after="0"/>
            </w:pPr>
            <w:r>
              <w:t>关键要求</w:t>
            </w:r>
          </w:p>
        </w:tc>
      </w:tr>
      <w:tr w14:paraId="431B3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254B2555">
            <w:pPr>
              <w:spacing w:after="0"/>
            </w:pPr>
            <w:r>
              <w:t>SAE</w:t>
            </w:r>
          </w:p>
        </w:tc>
        <w:tc>
          <w:tcPr>
            <w:tcW w:w="1250" w:type="pct"/>
            <w:vAlign w:val="top"/>
          </w:tcPr>
          <w:p w14:paraId="2DCD1E84">
            <w:pPr>
              <w:spacing w:after="0"/>
            </w:pPr>
            <w:r>
              <w:t>研究者知悉后24小时内</w:t>
            </w:r>
          </w:p>
        </w:tc>
        <w:tc>
          <w:tcPr>
            <w:tcW w:w="1250" w:type="pct"/>
            <w:vAlign w:val="top"/>
          </w:tcPr>
          <w:p w14:paraId="53059894">
            <w:pPr>
              <w:spacing w:after="0"/>
            </w:pPr>
            <w:r>
              <w:t>在获得新信息后及时补报，直至结局明确</w:t>
            </w:r>
          </w:p>
        </w:tc>
        <w:tc>
          <w:tcPr>
            <w:tcW w:w="1250" w:type="pct"/>
            <w:vAlign w:val="top"/>
          </w:tcPr>
          <w:p w14:paraId="467326A6">
            <w:pPr>
              <w:spacing w:after="0"/>
            </w:pPr>
            <w:r>
              <w:t>同步通知PMO/医学监查；必要时提交IRB/监管</w:t>
            </w:r>
          </w:p>
        </w:tc>
      </w:tr>
      <w:tr w14:paraId="3F24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2BCCA61A">
            <w:pPr>
              <w:spacing w:after="0"/>
            </w:pPr>
            <w:r>
              <w:t>AESI（部分可等同SAE管理）</w:t>
            </w:r>
          </w:p>
        </w:tc>
        <w:tc>
          <w:tcPr>
            <w:tcW w:w="1250" w:type="pct"/>
            <w:vAlign w:val="top"/>
          </w:tcPr>
          <w:p w14:paraId="10C1B075">
            <w:pPr>
              <w:spacing w:after="0"/>
            </w:pPr>
            <w:r>
              <w:t>知悉后24–72小时内（按类别）</w:t>
            </w:r>
          </w:p>
        </w:tc>
        <w:tc>
          <w:tcPr>
            <w:tcW w:w="1250" w:type="pct"/>
            <w:vAlign w:val="top"/>
          </w:tcPr>
          <w:p w14:paraId="4D43B7E0">
            <w:pPr>
              <w:spacing w:after="0"/>
            </w:pPr>
            <w:r>
              <w:t>按处置与检查结果持续更新</w:t>
            </w:r>
          </w:p>
        </w:tc>
        <w:tc>
          <w:tcPr>
            <w:tcW w:w="1250" w:type="pct"/>
            <w:vAlign w:val="top"/>
          </w:tcPr>
          <w:p w14:paraId="3F180185">
            <w:pPr>
              <w:spacing w:after="0"/>
            </w:pPr>
            <w:r>
              <w:t>重点关注神经/视力、骨髓抑制、DILI、QTcF、严重低血糖或DKA/HHS等</w:t>
            </w:r>
          </w:p>
        </w:tc>
      </w:tr>
      <w:tr w14:paraId="474A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3D9F309B">
            <w:pPr>
              <w:spacing w:after="0"/>
            </w:pPr>
            <w:r>
              <w:t>Grade ≥3 AE（非SAE）</w:t>
            </w:r>
          </w:p>
        </w:tc>
        <w:tc>
          <w:tcPr>
            <w:tcW w:w="1250" w:type="pct"/>
            <w:vAlign w:val="top"/>
          </w:tcPr>
          <w:p w14:paraId="44244FE1">
            <w:pPr>
              <w:spacing w:after="0"/>
            </w:pPr>
            <w:r>
              <w:t>知悉后72小时内</w:t>
            </w:r>
          </w:p>
        </w:tc>
        <w:tc>
          <w:tcPr>
            <w:tcW w:w="1250" w:type="pct"/>
            <w:vAlign w:val="top"/>
          </w:tcPr>
          <w:p w14:paraId="715FAE22">
            <w:pPr>
              <w:spacing w:after="0"/>
            </w:pPr>
            <w:r>
              <w:t>按随访节点评估恢复/结局</w:t>
            </w:r>
          </w:p>
        </w:tc>
        <w:tc>
          <w:tcPr>
            <w:tcW w:w="1250" w:type="pct"/>
            <w:vAlign w:val="top"/>
          </w:tcPr>
          <w:p w14:paraId="7FD1CED4">
            <w:pPr>
              <w:spacing w:after="0"/>
            </w:pPr>
            <w:r>
              <w:t>触发处置算法与再评估；必要时升级为AESI/SAE</w:t>
            </w:r>
          </w:p>
        </w:tc>
      </w:tr>
      <w:tr w14:paraId="54AC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61C8C043">
            <w:pPr>
              <w:spacing w:after="0"/>
            </w:pPr>
            <w:r>
              <w:t>一般AE</w:t>
            </w:r>
          </w:p>
        </w:tc>
        <w:tc>
          <w:tcPr>
            <w:tcW w:w="1250" w:type="pct"/>
            <w:vAlign w:val="top"/>
          </w:tcPr>
          <w:p w14:paraId="401A9F67">
            <w:pPr>
              <w:spacing w:after="0"/>
            </w:pPr>
            <w:r>
              <w:t>访视后3个自然日内录入</w:t>
            </w:r>
          </w:p>
        </w:tc>
        <w:tc>
          <w:tcPr>
            <w:tcW w:w="1250" w:type="pct"/>
            <w:vAlign w:val="top"/>
          </w:tcPr>
          <w:p w14:paraId="1296856F">
            <w:pPr>
              <w:spacing w:after="0"/>
            </w:pPr>
            <w:r>
              <w:t>如未恢复需持续记录</w:t>
            </w:r>
          </w:p>
        </w:tc>
        <w:tc>
          <w:tcPr>
            <w:tcW w:w="1250" w:type="pct"/>
            <w:vAlign w:val="top"/>
          </w:tcPr>
          <w:p w14:paraId="34632D21">
            <w:pPr>
              <w:spacing w:after="0"/>
            </w:pPr>
            <w:r>
              <w:t>按标准化字段记录；与PRO/实验室/心电任务单闭环</w:t>
            </w:r>
          </w:p>
        </w:tc>
      </w:tr>
    </w:tbl>
    <w:p w14:paraId="3A4E6233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随访：直至恢复、稳定或达到结局；对DILI、QTcF红线、SCAR、严重神经/眼毒性等AESI需记录关键检查、停药与再引入过程。</w:t>
      </w:r>
    </w:p>
    <w:p w14:paraId="39CADA2C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源文件：门急诊/住院病历、检验报告、心电图原始记录、照片（皮疹）等必须可追溯。</w:t>
      </w:r>
    </w:p>
    <w:p w14:paraId="28384482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</w:rPr>
      </w:pPr>
      <w:r>
        <w:t>培训与质量控制（建议）</w:t>
      </w:r>
    </w:p>
    <w:p w14:paraId="0F33BB03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上岗培训：DAIDS分级原则、红线触发（DILI/QTcF）、SAE/AESI报告流程、EDC任务单闭环。</w:t>
      </w:r>
    </w:p>
    <w:p w14:paraId="7643FBA5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复训与演练：建议每季度进行典型场景桌面演练（DILI、QTcF、严重皮疹、视力下降等）。</w:t>
      </w:r>
    </w:p>
    <w:p w14:paraId="07E79151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质量指标（可选）：PRO完成率；红旗任务单关闭率；SAE快速报告合规率；Query关闭时效。</w:t>
      </w:r>
    </w:p>
    <w:p w14:paraId="5EAA1776">
      <w:pPr>
        <w:pStyle w:val="164"/>
        <w:widowControl/>
        <w:rPr>
          <w:rFonts w:ascii="Times New Roman" w:hAnsi="Times New Roman" w:eastAsia="宋体" w:cs="Times New Roman"/>
          <w:b/>
          <w:sz w:val="28"/>
          <w:szCs w:val="22"/>
          <w:lang w:bidi="ar-SA"/>
        </w:rPr>
      </w:pPr>
      <w:r>
        <w:rPr>
          <w:rFonts w:ascii="Times New Roman" w:hAnsi="Times New Roman" w:eastAsia="宋体" w:cs="Times New Roman"/>
          <w:b/>
          <w:sz w:val="28"/>
          <w:szCs w:val="22"/>
          <w:lang w:bidi="ar-SA"/>
        </w:rPr>
        <w:t>附录A：非计划安全性访视检查清单（可直接贴入随访表）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BB8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F72A86E">
            <w:pPr>
              <w:jc w:val="left"/>
            </w:pPr>
            <w:r>
              <w:t>模块</w:t>
            </w:r>
          </w:p>
        </w:tc>
        <w:tc>
          <w:tcPr>
            <w:tcW w:w="2500" w:type="pct"/>
          </w:tcPr>
          <w:p w14:paraId="303305F5">
            <w:pPr>
              <w:jc w:val="left"/>
            </w:pPr>
            <w:r>
              <w:t>建议采集内容</w:t>
            </w:r>
          </w:p>
        </w:tc>
      </w:tr>
      <w:tr w14:paraId="1367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681FAE0">
            <w:pPr>
              <w:jc w:val="left"/>
            </w:pPr>
            <w:r>
              <w:t>主诉与症状</w:t>
            </w:r>
          </w:p>
        </w:tc>
        <w:tc>
          <w:tcPr>
            <w:tcW w:w="2500" w:type="pct"/>
          </w:tcPr>
          <w:p w14:paraId="47A3D690">
            <w:pPr>
              <w:jc w:val="left"/>
            </w:pPr>
            <w:r>
              <w:t>本次触发原因；症状起止与严重程度；伴随症状（发热、黄疸、心悸、晕厥、皮疹、神经症状等）；回顾PRO-CTCAE红旗条目</w:t>
            </w:r>
          </w:p>
        </w:tc>
      </w:tr>
      <w:tr w14:paraId="77CD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DDB99A1">
            <w:pPr>
              <w:jc w:val="left"/>
            </w:pPr>
            <w:r>
              <w:t>用药核查</w:t>
            </w:r>
          </w:p>
        </w:tc>
        <w:tc>
          <w:tcPr>
            <w:tcW w:w="2500" w:type="pct"/>
          </w:tcPr>
          <w:p w14:paraId="68BF7A56">
            <w:pPr>
              <w:jc w:val="left"/>
            </w:pPr>
            <w:r>
              <w:t>研究药物服用时间/漏服/分次；最近7天合并用药（含止吐/抗生素/中草药等）；潜在致QT或肝毒药物</w:t>
            </w:r>
          </w:p>
        </w:tc>
      </w:tr>
      <w:tr w14:paraId="5DF6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7E31E6C">
            <w:pPr>
              <w:jc w:val="left"/>
            </w:pPr>
            <w:r>
              <w:t>体征检查</w:t>
            </w:r>
          </w:p>
        </w:tc>
        <w:tc>
          <w:tcPr>
            <w:tcW w:w="2500" w:type="pct"/>
          </w:tcPr>
          <w:p w14:paraId="3DDA6A30">
            <w:pPr>
              <w:jc w:val="left"/>
            </w:pPr>
            <w:r>
              <w:t>生命体征；皮疹面积/黏膜；脱水体征；心肺检查；神经系统简单查体</w:t>
            </w:r>
          </w:p>
        </w:tc>
      </w:tr>
      <w:tr w14:paraId="7880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E76E451">
            <w:pPr>
              <w:jc w:val="left"/>
            </w:pPr>
            <w:r>
              <w:t>关键检查</w:t>
            </w:r>
          </w:p>
        </w:tc>
        <w:tc>
          <w:tcPr>
            <w:tcW w:w="2500" w:type="pct"/>
          </w:tcPr>
          <w:p w14:paraId="0FBA8305">
            <w:r>
              <w:t>肝功（ALT/AST/TBil/ALP等）±INR；肾功（Cr/eGFR）；电解质（K/Mg/Ca）；血常规；必要时心电（QTcF）；TB-DM相关：指尖血糖/实验室血糖，疑DKA/HHS时加做血酮/尿酮、血气/渗透压等。</w:t>
            </w:r>
          </w:p>
        </w:tc>
      </w:tr>
      <w:tr w14:paraId="302E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88BD098">
            <w:pPr>
              <w:jc w:val="left"/>
            </w:pPr>
            <w:r>
              <w:t>处置与随访</w:t>
            </w:r>
          </w:p>
        </w:tc>
        <w:tc>
          <w:tcPr>
            <w:tcW w:w="2500" w:type="pct"/>
          </w:tcPr>
          <w:p w14:paraId="56DF5D34">
            <w:pPr>
              <w:jc w:val="left"/>
            </w:pPr>
            <w:r>
              <w:t>暂停/停用药物；对症治疗；复测安排；转诊/住院；SAE/AESI上报；任务单关闭与EDC记录</w:t>
            </w:r>
          </w:p>
        </w:tc>
      </w:tr>
    </w:tbl>
    <w:p w14:paraId="31D4F80F">
      <w:pPr>
        <w:pStyle w:val="164"/>
        <w:widowControl/>
        <w:rPr>
          <w:rFonts w:ascii="Times New Roman" w:hAnsi="Times New Roman" w:eastAsia="宋体" w:cs="Times New Roman"/>
          <w:b/>
          <w:sz w:val="28"/>
          <w:szCs w:val="22"/>
          <w:lang w:bidi="ar-SA"/>
        </w:rPr>
      </w:pPr>
      <w:r>
        <w:rPr>
          <w:rFonts w:ascii="Times New Roman" w:hAnsi="Times New Roman" w:eastAsia="宋体" w:cs="Times New Roman"/>
          <w:b/>
          <w:sz w:val="28"/>
          <w:szCs w:val="22"/>
          <w:lang w:bidi="ar-SA"/>
        </w:rPr>
        <w:t>附录B：EDC自动红旗建议（摘要，详见SOP</w:t>
      </w:r>
      <w:r>
        <w:rPr>
          <w:rFonts w:hint="eastAsia" w:cs="Times New Roman"/>
          <w:b/>
          <w:sz w:val="28"/>
          <w:szCs w:val="22"/>
          <w:lang w:val="en-US" w:eastAsia="zh-CN" w:bidi="ar-SA"/>
        </w:rPr>
        <w:t>10</w:t>
      </w:r>
      <w:r>
        <w:rPr>
          <w:rFonts w:ascii="Times New Roman" w:hAnsi="Times New Roman" w:eastAsia="宋体" w:cs="Times New Roman"/>
          <w:b/>
          <w:sz w:val="28"/>
          <w:szCs w:val="22"/>
          <w:lang w:bidi="ar-SA"/>
        </w:rPr>
        <w:t>）</w:t>
      </w:r>
    </w:p>
    <w:p w14:paraId="447655BF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DILI红旗：ALT或AST ≥5×ULN；或TBil ≥2.6×ULN；或ALT/AST ≥3×ULN且TBil ≥2×ULN。</w:t>
      </w:r>
    </w:p>
    <w:p w14:paraId="419BF6DD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QT红线：QTcF &gt;500 ms或Δ&gt;60 ms；QT中风险：QTcF 481–500 ms。</w:t>
      </w:r>
    </w:p>
    <w:p w14:paraId="6182033F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电解质联动：K &lt;3.0或Mg/Ca低于阈值时提示“纠正后复测心电”。</w:t>
      </w:r>
    </w:p>
    <w:p w14:paraId="18564509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感染风险：</w:t>
      </w:r>
      <w:r>
        <w:rPr>
          <w:rFonts w:ascii="宋体" w:hAnsi="宋体" w:eastAsia="宋体" w:cs="宋体"/>
          <w:sz w:val="24"/>
          <w:szCs w:val="24"/>
        </w:rPr>
        <w:t>中性粒细胞绝对计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数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t xml:space="preserve">ANC 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t>&lt;600或ANC &lt;400（红旗）。</w:t>
      </w:r>
    </w:p>
    <w:p w14:paraId="52A8CF16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糖代谢红旗：严重低血糖（需他人协助、意识障碍/抽搐，或指尖血糖&lt;3.0 mmol/L并伴明显症状）→ 立即医学评估；疑似</w:t>
      </w:r>
      <w:r>
        <w:rPr>
          <w:rFonts w:ascii="宋体" w:hAnsi="宋体" w:eastAsia="宋体" w:cs="宋体"/>
          <w:sz w:val="24"/>
          <w:szCs w:val="24"/>
        </w:rPr>
        <w:t>糖尿病酮症酸中毒 / 高渗性高血糖状态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t>DKA/HHS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t>（恶心呕吐、腹痛、深大呼吸、意识改变、严重脱水、血糖显著升高伴血酮/尿酮阳性等）→ 启动急救/住院路径，并在24小时内记录与上报。</w:t>
      </w:r>
    </w:p>
    <w:p w14:paraId="35ACB891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b/>
        </w:rPr>
      </w:pPr>
      <w:r>
        <w:t>版本管理与修订记录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5AC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50" w:type="pct"/>
            <w:vAlign w:val="top"/>
          </w:tcPr>
          <w:p w14:paraId="3DF2067E">
            <w:pPr>
              <w:spacing w:after="0"/>
            </w:pPr>
            <w:r>
              <w:t>版本</w:t>
            </w:r>
          </w:p>
        </w:tc>
        <w:tc>
          <w:tcPr>
            <w:tcW w:w="1250" w:type="pct"/>
            <w:vAlign w:val="top"/>
          </w:tcPr>
          <w:p w14:paraId="093A4E2C">
            <w:pPr>
              <w:spacing w:after="0"/>
            </w:pPr>
            <w:r>
              <w:t>日期</w:t>
            </w:r>
          </w:p>
        </w:tc>
        <w:tc>
          <w:tcPr>
            <w:tcW w:w="1250" w:type="pct"/>
            <w:vAlign w:val="top"/>
          </w:tcPr>
          <w:p w14:paraId="51A6A4F1">
            <w:pPr>
              <w:spacing w:after="0"/>
            </w:pPr>
            <w:r>
              <w:t>修订说明</w:t>
            </w:r>
          </w:p>
        </w:tc>
        <w:tc>
          <w:tcPr>
            <w:tcW w:w="1250" w:type="pct"/>
            <w:vAlign w:val="top"/>
          </w:tcPr>
          <w:p w14:paraId="0A86CCC6">
            <w:pPr>
              <w:spacing w:after="0"/>
            </w:pPr>
            <w:r>
              <w:t>批准</w:t>
            </w:r>
          </w:p>
        </w:tc>
      </w:tr>
      <w:tr w14:paraId="0A87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6D50FDF1">
            <w:pPr>
              <w:spacing w:after="0"/>
            </w:pPr>
            <w:r>
              <w:t>V1.0</w:t>
            </w:r>
          </w:p>
        </w:tc>
        <w:tc>
          <w:tcPr>
            <w:tcW w:w="1250" w:type="pct"/>
            <w:vAlign w:val="top"/>
          </w:tcPr>
          <w:p w14:paraId="7203CF7D">
            <w:pPr>
              <w:spacing w:after="0"/>
            </w:pPr>
            <w:r>
              <w:t>2026-02-07</w:t>
            </w:r>
          </w:p>
        </w:tc>
        <w:tc>
          <w:tcPr>
            <w:tcW w:w="1250" w:type="pct"/>
            <w:vAlign w:val="top"/>
          </w:tcPr>
          <w:p w14:paraId="207D9ED7">
            <w:pPr>
              <w:spacing w:after="0"/>
            </w:pPr>
            <w:r>
              <w:t>首次发布。</w:t>
            </w:r>
          </w:p>
        </w:tc>
        <w:tc>
          <w:tcPr>
            <w:tcW w:w="1250" w:type="pct"/>
            <w:vAlign w:val="top"/>
          </w:tcPr>
          <w:p w14:paraId="657FE84C">
            <w:pPr>
              <w:spacing w:after="0"/>
            </w:pPr>
            <w:r>
              <w:t>_____</w:t>
            </w:r>
          </w:p>
        </w:tc>
      </w:tr>
      <w:tr w14:paraId="391F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vAlign w:val="top"/>
          </w:tcPr>
          <w:p w14:paraId="7900E184">
            <w:pPr>
              <w:spacing w:after="0"/>
            </w:pPr>
            <w:r>
              <w:t>V1.1</w:t>
            </w:r>
          </w:p>
        </w:tc>
        <w:tc>
          <w:tcPr>
            <w:tcW w:w="1250" w:type="pct"/>
            <w:vAlign w:val="top"/>
          </w:tcPr>
          <w:p w14:paraId="0E276855">
            <w:pPr>
              <w:spacing w:after="0"/>
            </w:pPr>
            <w:r>
              <w:t>2026-03-04</w:t>
            </w:r>
          </w:p>
        </w:tc>
        <w:tc>
          <w:tcPr>
            <w:tcW w:w="1250" w:type="pct"/>
            <w:vAlign w:val="top"/>
          </w:tcPr>
          <w:p w14:paraId="1361961F">
            <w:pPr>
              <w:spacing w:after="0"/>
            </w:pPr>
            <w:r>
              <w:t>对齐研究方案V2.0（2026-02-28）：明确DAIDS为唯一分级体系；补充AESI清单与AE/SAE时限表；纳入乙胺丁醇（E）视神经毒性管理；新增TB-DM人群严重低血糖与DKA/HHS处置算法；更新非计划安全访视检查清单与EDC红旗。</w:t>
            </w:r>
          </w:p>
        </w:tc>
        <w:tc>
          <w:tcPr>
            <w:tcW w:w="1250" w:type="pct"/>
            <w:vAlign w:val="top"/>
          </w:tcPr>
          <w:p w14:paraId="2E834DA0">
            <w:pPr>
              <w:spacing w:after="0"/>
            </w:pPr>
            <w:r>
              <w:t>_____</w:t>
            </w:r>
          </w:p>
        </w:tc>
      </w:tr>
    </w:tbl>
    <w:p w14:paraId="2CAC9F9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23712"/>
    <w:multiLevelType w:val="singleLevel"/>
    <w:tmpl w:val="A482371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A919350F"/>
    <w:multiLevelType w:val="singleLevel"/>
    <w:tmpl w:val="A919350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ABB86FE1"/>
    <w:multiLevelType w:val="singleLevel"/>
    <w:tmpl w:val="ABB86FE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B36F1CA4"/>
    <w:multiLevelType w:val="singleLevel"/>
    <w:tmpl w:val="B36F1CA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CE4DB87E"/>
    <w:multiLevelType w:val="singleLevel"/>
    <w:tmpl w:val="CE4DB87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D5CDF258"/>
    <w:multiLevelType w:val="singleLevel"/>
    <w:tmpl w:val="D5CDF25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DBCAC0EF"/>
    <w:multiLevelType w:val="singleLevel"/>
    <w:tmpl w:val="DBCAC0E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DEC55184"/>
    <w:multiLevelType w:val="singleLevel"/>
    <w:tmpl w:val="DEC55184"/>
    <w:lvl w:ilvl="0" w:tentative="0">
      <w:start w:val="2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8">
    <w:nsid w:val="DF58088A"/>
    <w:multiLevelType w:val="singleLevel"/>
    <w:tmpl w:val="DF58088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F069FF2D"/>
    <w:multiLevelType w:val="singleLevel"/>
    <w:tmpl w:val="F069FF2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F9FBDDC4"/>
    <w:multiLevelType w:val="singleLevel"/>
    <w:tmpl w:val="F9FBDDC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6">
    <w:nsid w:val="066A80ED"/>
    <w:multiLevelType w:val="singleLevel"/>
    <w:tmpl w:val="066A80ED"/>
    <w:lvl w:ilvl="0" w:tentative="0">
      <w:start w:val="9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7">
    <w:nsid w:val="076DC6E6"/>
    <w:multiLevelType w:val="singleLevel"/>
    <w:tmpl w:val="076DC6E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8">
    <w:nsid w:val="18A0E25A"/>
    <w:multiLevelType w:val="singleLevel"/>
    <w:tmpl w:val="18A0E25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27BE59F7"/>
    <w:multiLevelType w:val="singleLevel"/>
    <w:tmpl w:val="27BE59F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34778997"/>
    <w:multiLevelType w:val="singleLevel"/>
    <w:tmpl w:val="34778997"/>
    <w:lvl w:ilvl="0" w:tentative="0">
      <w:start w:val="7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3680B695"/>
    <w:multiLevelType w:val="singleLevel"/>
    <w:tmpl w:val="3680B69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60AF7C9A"/>
    <w:multiLevelType w:val="singleLevel"/>
    <w:tmpl w:val="60AF7C9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3">
    <w:nsid w:val="6D38F259"/>
    <w:multiLevelType w:val="singleLevel"/>
    <w:tmpl w:val="6D38F259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2"/>
  </w:num>
  <w:num w:numId="2">
    <w:abstractNumId w:val="15"/>
  </w:num>
  <w:num w:numId="3">
    <w:abstractNumId w:val="23"/>
  </w:num>
  <w:num w:numId="4">
    <w:abstractNumId w:val="13"/>
  </w:num>
  <w:num w:numId="5">
    <w:abstractNumId w:val="11"/>
  </w:num>
  <w:num w:numId="6">
    <w:abstractNumId w:val="14"/>
  </w:num>
  <w:num w:numId="7">
    <w:abstractNumId w:val="2"/>
  </w:num>
  <w:num w:numId="8">
    <w:abstractNumId w:val="18"/>
  </w:num>
  <w:num w:numId="9">
    <w:abstractNumId w:val="1"/>
  </w:num>
  <w:num w:numId="10">
    <w:abstractNumId w:val="8"/>
  </w:num>
  <w:num w:numId="11">
    <w:abstractNumId w:val="20"/>
  </w:num>
  <w:num w:numId="12">
    <w:abstractNumId w:val="22"/>
  </w:num>
  <w:num w:numId="13">
    <w:abstractNumId w:val="9"/>
  </w:num>
  <w:num w:numId="14">
    <w:abstractNumId w:val="17"/>
  </w:num>
  <w:num w:numId="15">
    <w:abstractNumId w:val="7"/>
  </w:num>
  <w:num w:numId="16">
    <w:abstractNumId w:val="5"/>
  </w:num>
  <w:num w:numId="17">
    <w:abstractNumId w:val="19"/>
  </w:num>
  <w:num w:numId="18">
    <w:abstractNumId w:val="0"/>
  </w:num>
  <w:num w:numId="19">
    <w:abstractNumId w:val="3"/>
  </w:num>
  <w:num w:numId="20">
    <w:abstractNumId w:val="4"/>
  </w:num>
  <w:num w:numId="21">
    <w:abstractNumId w:val="21"/>
  </w:num>
  <w:num w:numId="22">
    <w:abstractNumId w:val="16"/>
  </w:num>
  <w:num w:numId="23">
    <w:abstractNumId w:val="6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666CC"/>
    <w:rsid w:val="0BAD643E"/>
    <w:rsid w:val="16C1371A"/>
    <w:rsid w:val="211B1C44"/>
    <w:rsid w:val="27DE5709"/>
    <w:rsid w:val="331A54AE"/>
    <w:rsid w:val="37215022"/>
    <w:rsid w:val="37982C7E"/>
    <w:rsid w:val="3B8814AF"/>
    <w:rsid w:val="3DDA6B12"/>
    <w:rsid w:val="533C0B62"/>
    <w:rsid w:val="61A92379"/>
    <w:rsid w:val="63D77671"/>
    <w:rsid w:val="64357EF4"/>
    <w:rsid w:val="72555334"/>
    <w:rsid w:val="73905147"/>
    <w:rsid w:val="746960C4"/>
    <w:rsid w:val="7A2E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left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qFormat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3909</Words>
  <Characters>4653</Characters>
  <Lines>0</Lines>
  <Paragraphs>0</Paragraphs>
  <TotalTime>21</TotalTime>
  <ScaleCrop>false</ScaleCrop>
  <LinksUpToDate>false</LinksUpToDate>
  <CharactersWithSpaces>4718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2026-03-22T13:06:07Z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eyJoZGlkIjoiN2ZkN2U0NTE2ZWZjNGNkOGYwMTY5ODIwZjEyYjUxNGMiLCJ1c2VySWQiOiI5NjExNDM1MzcifQ==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FB63A755CE1548F3A5BE9B5E75C0F7F0_12</vt:lpwstr>
  </property>
</Properties>
</file>